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40746" w14:textId="77777777" w:rsidR="00813201" w:rsidRPr="004804AA"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Казахский национальный университет имени аль-Фараби</w:t>
      </w:r>
    </w:p>
    <w:p w14:paraId="53A7BCCE" w14:textId="77777777" w:rsidR="00813201" w:rsidRPr="004804AA" w:rsidRDefault="00813201" w:rsidP="005C37DF">
      <w:pPr>
        <w:spacing w:after="0" w:line="240" w:lineRule="auto"/>
        <w:jc w:val="center"/>
        <w:rPr>
          <w:rFonts w:ascii="Times New Roman" w:hAnsi="Times New Roman" w:cs="Times New Roman"/>
          <w:sz w:val="28"/>
          <w:szCs w:val="28"/>
        </w:rPr>
      </w:pPr>
    </w:p>
    <w:p w14:paraId="65030366" w14:textId="2D7CA204" w:rsidR="00813201" w:rsidRDefault="00813201" w:rsidP="005C37DF">
      <w:pPr>
        <w:spacing w:after="0" w:line="240" w:lineRule="auto"/>
        <w:jc w:val="center"/>
        <w:rPr>
          <w:rFonts w:ascii="Times New Roman" w:hAnsi="Times New Roman" w:cs="Times New Roman"/>
          <w:sz w:val="28"/>
          <w:szCs w:val="28"/>
        </w:rPr>
      </w:pPr>
    </w:p>
    <w:p w14:paraId="2160335F" w14:textId="029F74AB" w:rsidR="005C37DF" w:rsidRDefault="005C37DF" w:rsidP="005C37DF">
      <w:pPr>
        <w:spacing w:after="0" w:line="240" w:lineRule="auto"/>
        <w:jc w:val="center"/>
        <w:rPr>
          <w:rFonts w:ascii="Times New Roman" w:hAnsi="Times New Roman" w:cs="Times New Roman"/>
          <w:sz w:val="28"/>
          <w:szCs w:val="28"/>
        </w:rPr>
      </w:pPr>
    </w:p>
    <w:p w14:paraId="3A4B7D97" w14:textId="77777777" w:rsidR="005C37DF" w:rsidRPr="004804AA" w:rsidRDefault="005C37DF" w:rsidP="005C37DF">
      <w:pPr>
        <w:spacing w:after="0" w:line="240" w:lineRule="auto"/>
        <w:jc w:val="center"/>
        <w:rPr>
          <w:rFonts w:ascii="Times New Roman" w:hAnsi="Times New Roman" w:cs="Times New Roman"/>
          <w:sz w:val="28"/>
          <w:szCs w:val="28"/>
        </w:rPr>
      </w:pPr>
    </w:p>
    <w:p w14:paraId="3FA654B8" w14:textId="77777777" w:rsidR="00813201" w:rsidRPr="004804AA" w:rsidRDefault="00813201" w:rsidP="005C37DF">
      <w:pPr>
        <w:spacing w:after="0" w:line="240" w:lineRule="auto"/>
        <w:jc w:val="center"/>
        <w:rPr>
          <w:rFonts w:ascii="Times New Roman" w:hAnsi="Times New Roman" w:cs="Times New Roman"/>
          <w:sz w:val="28"/>
          <w:szCs w:val="28"/>
        </w:rPr>
      </w:pPr>
    </w:p>
    <w:p w14:paraId="6B0CE990" w14:textId="0E7A46C7" w:rsidR="00813201" w:rsidRPr="004804AA" w:rsidRDefault="00813201" w:rsidP="005C37DF">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УДК 614.2</w:t>
      </w:r>
      <w:r w:rsidR="00634489">
        <w:rPr>
          <w:rFonts w:ascii="Times New Roman" w:hAnsi="Times New Roman" w:cs="Times New Roman"/>
          <w:sz w:val="28"/>
          <w:szCs w:val="28"/>
        </w:rPr>
        <w:t>:617.753(-053.5)(043)</w:t>
      </w:r>
      <w:r w:rsidR="00634489">
        <w:rPr>
          <w:rFonts w:ascii="Times New Roman" w:hAnsi="Times New Roman" w:cs="Times New Roman"/>
          <w:sz w:val="28"/>
          <w:szCs w:val="28"/>
        </w:rPr>
        <w:tab/>
      </w:r>
      <w:r w:rsidR="00C55E82">
        <w:rPr>
          <w:rFonts w:ascii="Times New Roman" w:hAnsi="Times New Roman" w:cs="Times New Roman"/>
          <w:sz w:val="28"/>
          <w:szCs w:val="28"/>
        </w:rPr>
        <w:tab/>
      </w:r>
      <w:r w:rsidR="00C55E82">
        <w:rPr>
          <w:rFonts w:ascii="Times New Roman" w:hAnsi="Times New Roman" w:cs="Times New Roman"/>
          <w:sz w:val="28"/>
          <w:szCs w:val="28"/>
        </w:rPr>
        <w:tab/>
      </w:r>
      <w:r w:rsidR="00C55E82">
        <w:rPr>
          <w:rFonts w:ascii="Times New Roman" w:hAnsi="Times New Roman" w:cs="Times New Roman"/>
          <w:sz w:val="28"/>
          <w:szCs w:val="28"/>
        </w:rPr>
        <w:tab/>
      </w:r>
      <w:r w:rsidRPr="004804AA">
        <w:rPr>
          <w:rFonts w:ascii="Times New Roman" w:hAnsi="Times New Roman" w:cs="Times New Roman"/>
          <w:sz w:val="28"/>
          <w:szCs w:val="28"/>
        </w:rPr>
        <w:t>На правах рукописи</w:t>
      </w:r>
    </w:p>
    <w:p w14:paraId="69692788" w14:textId="77ECEA0F" w:rsidR="00813201" w:rsidRDefault="00813201" w:rsidP="005C37DF">
      <w:pPr>
        <w:spacing w:after="0" w:line="240" w:lineRule="auto"/>
        <w:jc w:val="center"/>
        <w:rPr>
          <w:rFonts w:ascii="Times New Roman" w:hAnsi="Times New Roman" w:cs="Times New Roman"/>
          <w:sz w:val="28"/>
          <w:szCs w:val="28"/>
        </w:rPr>
      </w:pPr>
    </w:p>
    <w:p w14:paraId="56DC4912" w14:textId="7D1DEFE8" w:rsidR="00160573" w:rsidRDefault="00160573" w:rsidP="005C37DF">
      <w:pPr>
        <w:spacing w:after="0" w:line="240" w:lineRule="auto"/>
        <w:jc w:val="center"/>
        <w:rPr>
          <w:rFonts w:ascii="Times New Roman" w:hAnsi="Times New Roman" w:cs="Times New Roman"/>
          <w:sz w:val="28"/>
          <w:szCs w:val="28"/>
        </w:rPr>
      </w:pPr>
    </w:p>
    <w:p w14:paraId="00899743" w14:textId="397CA21B" w:rsidR="005C37DF" w:rsidRDefault="005C37DF" w:rsidP="005C37DF">
      <w:pPr>
        <w:spacing w:after="0" w:line="240" w:lineRule="auto"/>
        <w:jc w:val="center"/>
        <w:rPr>
          <w:rFonts w:ascii="Times New Roman" w:hAnsi="Times New Roman" w:cs="Times New Roman"/>
          <w:sz w:val="28"/>
          <w:szCs w:val="28"/>
        </w:rPr>
      </w:pPr>
    </w:p>
    <w:p w14:paraId="7D63CB8F" w14:textId="78852BE0" w:rsidR="005C37DF" w:rsidRDefault="005C37DF" w:rsidP="005C37DF">
      <w:pPr>
        <w:spacing w:after="0" w:line="240" w:lineRule="auto"/>
        <w:jc w:val="center"/>
        <w:rPr>
          <w:rFonts w:ascii="Times New Roman" w:hAnsi="Times New Roman" w:cs="Times New Roman"/>
          <w:sz w:val="28"/>
          <w:szCs w:val="28"/>
        </w:rPr>
      </w:pPr>
    </w:p>
    <w:p w14:paraId="27F12531" w14:textId="692C832B" w:rsidR="005C37DF" w:rsidRDefault="005C37DF" w:rsidP="005C37DF">
      <w:pPr>
        <w:spacing w:after="0" w:line="240" w:lineRule="auto"/>
        <w:jc w:val="center"/>
        <w:rPr>
          <w:rFonts w:ascii="Times New Roman" w:hAnsi="Times New Roman" w:cs="Times New Roman"/>
          <w:sz w:val="28"/>
          <w:szCs w:val="28"/>
        </w:rPr>
      </w:pPr>
    </w:p>
    <w:p w14:paraId="6BB0F591" w14:textId="7EC9998F" w:rsidR="005C37DF" w:rsidRDefault="005C37DF" w:rsidP="005C37DF">
      <w:pPr>
        <w:spacing w:after="0" w:line="240" w:lineRule="auto"/>
        <w:jc w:val="center"/>
        <w:rPr>
          <w:rFonts w:ascii="Times New Roman" w:hAnsi="Times New Roman" w:cs="Times New Roman"/>
          <w:sz w:val="28"/>
          <w:szCs w:val="28"/>
        </w:rPr>
      </w:pPr>
    </w:p>
    <w:p w14:paraId="1714F3B8" w14:textId="77777777" w:rsidR="005C37DF" w:rsidRDefault="005C37DF" w:rsidP="005C37DF">
      <w:pPr>
        <w:spacing w:after="0" w:line="240" w:lineRule="auto"/>
        <w:jc w:val="center"/>
        <w:rPr>
          <w:rFonts w:ascii="Times New Roman" w:hAnsi="Times New Roman" w:cs="Times New Roman"/>
          <w:sz w:val="28"/>
          <w:szCs w:val="28"/>
        </w:rPr>
      </w:pPr>
    </w:p>
    <w:p w14:paraId="091616EA" w14:textId="5CBA8584" w:rsidR="00160573" w:rsidRDefault="00160573" w:rsidP="005C37DF">
      <w:pPr>
        <w:spacing w:after="0" w:line="240" w:lineRule="auto"/>
        <w:jc w:val="center"/>
        <w:rPr>
          <w:rFonts w:ascii="Times New Roman" w:hAnsi="Times New Roman" w:cs="Times New Roman"/>
          <w:sz w:val="28"/>
          <w:szCs w:val="28"/>
        </w:rPr>
      </w:pPr>
    </w:p>
    <w:p w14:paraId="7AA10BE4" w14:textId="77777777" w:rsidR="00160573" w:rsidRPr="004804AA" w:rsidRDefault="00160573" w:rsidP="005C37DF">
      <w:pPr>
        <w:spacing w:after="0" w:line="240" w:lineRule="auto"/>
        <w:jc w:val="center"/>
        <w:rPr>
          <w:rFonts w:ascii="Times New Roman" w:hAnsi="Times New Roman" w:cs="Times New Roman"/>
          <w:sz w:val="28"/>
          <w:szCs w:val="28"/>
        </w:rPr>
      </w:pPr>
    </w:p>
    <w:p w14:paraId="2462DE1D" w14:textId="77777777" w:rsidR="00813201" w:rsidRPr="004804AA"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МУКАЖАНОВА АЙНАГУЛЬ СЕРИКОВНА</w:t>
      </w:r>
    </w:p>
    <w:p w14:paraId="7FEFBA53" w14:textId="77777777" w:rsidR="00813201" w:rsidRPr="004804AA" w:rsidRDefault="00813201" w:rsidP="005C37DF">
      <w:pPr>
        <w:spacing w:after="0" w:line="240" w:lineRule="auto"/>
        <w:rPr>
          <w:rFonts w:ascii="Times New Roman" w:hAnsi="Times New Roman" w:cs="Times New Roman"/>
          <w:sz w:val="28"/>
          <w:szCs w:val="28"/>
        </w:rPr>
      </w:pPr>
    </w:p>
    <w:p w14:paraId="2ACC0068" w14:textId="5B8A1589" w:rsidR="00813201" w:rsidRDefault="009A72B9" w:rsidP="00ED6546">
      <w:pPr>
        <w:spacing w:after="0" w:line="240" w:lineRule="auto"/>
        <w:jc w:val="center"/>
        <w:rPr>
          <w:rFonts w:ascii="Times New Roman" w:hAnsi="Times New Roman" w:cs="Times New Roman"/>
          <w:sz w:val="28"/>
          <w:szCs w:val="28"/>
        </w:rPr>
      </w:pPr>
      <w:r w:rsidRPr="009A72B9">
        <w:rPr>
          <w:rFonts w:ascii="Times New Roman" w:hAnsi="Times New Roman" w:cs="Times New Roman"/>
          <w:sz w:val="28"/>
          <w:szCs w:val="28"/>
        </w:rPr>
        <w:t>Профилактика и ранне</w:t>
      </w:r>
      <w:r w:rsidR="00ED6546">
        <w:rPr>
          <w:rFonts w:ascii="Times New Roman" w:hAnsi="Times New Roman" w:cs="Times New Roman"/>
          <w:sz w:val="28"/>
          <w:szCs w:val="28"/>
        </w:rPr>
        <w:t>е выявление аномалий рефракции у</w:t>
      </w:r>
      <w:r w:rsidRPr="009A72B9">
        <w:rPr>
          <w:rFonts w:ascii="Times New Roman" w:hAnsi="Times New Roman" w:cs="Times New Roman"/>
          <w:sz w:val="28"/>
          <w:szCs w:val="28"/>
        </w:rPr>
        <w:t xml:space="preserve"> детей школьного возраста</w:t>
      </w:r>
    </w:p>
    <w:p w14:paraId="591A7BE3" w14:textId="680FA37B" w:rsidR="005C37DF" w:rsidRDefault="005C37DF" w:rsidP="005C37DF">
      <w:pPr>
        <w:spacing w:after="0" w:line="240" w:lineRule="auto"/>
        <w:jc w:val="center"/>
        <w:rPr>
          <w:rFonts w:ascii="Times New Roman" w:hAnsi="Times New Roman" w:cs="Times New Roman"/>
          <w:sz w:val="28"/>
          <w:szCs w:val="28"/>
        </w:rPr>
      </w:pPr>
    </w:p>
    <w:p w14:paraId="3AFF94BA" w14:textId="77777777" w:rsidR="005C37DF" w:rsidRPr="004804AA" w:rsidRDefault="005C37DF" w:rsidP="005C37DF">
      <w:pPr>
        <w:spacing w:after="0" w:line="240" w:lineRule="auto"/>
        <w:jc w:val="center"/>
        <w:rPr>
          <w:rFonts w:ascii="Times New Roman" w:hAnsi="Times New Roman" w:cs="Times New Roman"/>
          <w:sz w:val="28"/>
          <w:szCs w:val="28"/>
        </w:rPr>
      </w:pPr>
    </w:p>
    <w:p w14:paraId="6F38722A" w14:textId="77777777" w:rsidR="00813201" w:rsidRPr="004804AA" w:rsidRDefault="00813201" w:rsidP="005C37DF">
      <w:pPr>
        <w:spacing w:after="0" w:line="240" w:lineRule="auto"/>
        <w:jc w:val="center"/>
        <w:rPr>
          <w:rFonts w:ascii="Times New Roman" w:hAnsi="Times New Roman" w:cs="Times New Roman"/>
          <w:sz w:val="28"/>
          <w:szCs w:val="28"/>
        </w:rPr>
      </w:pPr>
    </w:p>
    <w:p w14:paraId="6380B409" w14:textId="79F984C0" w:rsidR="00813201"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w:t>
      </w:r>
      <w:r w:rsidRPr="004804AA">
        <w:rPr>
          <w:rFonts w:ascii="Times New Roman" w:hAnsi="Times New Roman" w:cs="Times New Roman"/>
          <w:sz w:val="28"/>
          <w:szCs w:val="28"/>
          <w:lang w:val="en-US"/>
        </w:rPr>
        <w:t>D</w:t>
      </w:r>
      <w:r w:rsidRPr="004804AA">
        <w:rPr>
          <w:rFonts w:ascii="Times New Roman" w:hAnsi="Times New Roman" w:cs="Times New Roman"/>
          <w:sz w:val="28"/>
          <w:szCs w:val="28"/>
        </w:rPr>
        <w:t>110200 – Общественное здравоохранение</w:t>
      </w:r>
    </w:p>
    <w:p w14:paraId="7466AA24" w14:textId="219A129A" w:rsidR="005C37DF" w:rsidRDefault="005C37DF" w:rsidP="005C37DF">
      <w:pPr>
        <w:spacing w:after="0" w:line="240" w:lineRule="auto"/>
        <w:jc w:val="center"/>
        <w:rPr>
          <w:rFonts w:ascii="Times New Roman" w:hAnsi="Times New Roman" w:cs="Times New Roman"/>
          <w:sz w:val="28"/>
          <w:szCs w:val="28"/>
        </w:rPr>
      </w:pPr>
    </w:p>
    <w:p w14:paraId="2EC86A99" w14:textId="77777777" w:rsidR="005C37DF" w:rsidRPr="004804AA" w:rsidRDefault="005C37DF" w:rsidP="005C37DF">
      <w:pPr>
        <w:spacing w:after="0" w:line="240" w:lineRule="auto"/>
        <w:jc w:val="center"/>
        <w:rPr>
          <w:rFonts w:ascii="Times New Roman" w:hAnsi="Times New Roman" w:cs="Times New Roman"/>
          <w:sz w:val="28"/>
          <w:szCs w:val="28"/>
        </w:rPr>
      </w:pPr>
    </w:p>
    <w:p w14:paraId="5B87A3FF" w14:textId="77777777" w:rsidR="00813201" w:rsidRPr="004804AA" w:rsidRDefault="00813201" w:rsidP="005C37DF">
      <w:pPr>
        <w:spacing w:after="0" w:line="240" w:lineRule="auto"/>
        <w:jc w:val="center"/>
        <w:rPr>
          <w:rFonts w:ascii="Times New Roman" w:hAnsi="Times New Roman" w:cs="Times New Roman"/>
          <w:sz w:val="28"/>
          <w:szCs w:val="28"/>
        </w:rPr>
      </w:pPr>
    </w:p>
    <w:p w14:paraId="7DAB4899" w14:textId="77777777" w:rsidR="00813201" w:rsidRPr="004804AA"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 xml:space="preserve">Диссертация на соискание степени </w:t>
      </w:r>
    </w:p>
    <w:p w14:paraId="2F0D030E" w14:textId="77777777" w:rsidR="00813201" w:rsidRPr="004804AA"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доктора философии (</w:t>
      </w:r>
      <w:r w:rsidRPr="004804AA">
        <w:rPr>
          <w:rFonts w:ascii="Times New Roman" w:hAnsi="Times New Roman" w:cs="Times New Roman"/>
          <w:sz w:val="28"/>
          <w:szCs w:val="28"/>
          <w:lang w:val="en-US"/>
        </w:rPr>
        <w:t>PhD</w:t>
      </w:r>
      <w:r w:rsidRPr="004804AA">
        <w:rPr>
          <w:rFonts w:ascii="Times New Roman" w:hAnsi="Times New Roman" w:cs="Times New Roman"/>
          <w:sz w:val="28"/>
          <w:szCs w:val="28"/>
        </w:rPr>
        <w:t>)</w:t>
      </w:r>
    </w:p>
    <w:p w14:paraId="213AF21A" w14:textId="59AE4274" w:rsidR="00813201" w:rsidRDefault="00813201" w:rsidP="005C37DF">
      <w:pPr>
        <w:spacing w:after="0" w:line="240" w:lineRule="auto"/>
        <w:jc w:val="center"/>
        <w:rPr>
          <w:rFonts w:ascii="Times New Roman" w:hAnsi="Times New Roman" w:cs="Times New Roman"/>
          <w:sz w:val="28"/>
          <w:szCs w:val="28"/>
        </w:rPr>
      </w:pPr>
    </w:p>
    <w:p w14:paraId="0D3831F0" w14:textId="3FE076D7" w:rsidR="005C37DF" w:rsidRDefault="005C37DF" w:rsidP="005C37DF">
      <w:pPr>
        <w:spacing w:after="0" w:line="240" w:lineRule="auto"/>
        <w:jc w:val="center"/>
        <w:rPr>
          <w:rFonts w:ascii="Times New Roman" w:hAnsi="Times New Roman" w:cs="Times New Roman"/>
          <w:sz w:val="28"/>
          <w:szCs w:val="28"/>
        </w:rPr>
      </w:pPr>
    </w:p>
    <w:p w14:paraId="213BE7DB" w14:textId="123A768E" w:rsidR="005C37DF" w:rsidRDefault="005C37DF" w:rsidP="005C37DF">
      <w:pPr>
        <w:spacing w:after="0" w:line="240" w:lineRule="auto"/>
        <w:jc w:val="center"/>
        <w:rPr>
          <w:rFonts w:ascii="Times New Roman" w:hAnsi="Times New Roman" w:cs="Times New Roman"/>
          <w:sz w:val="28"/>
          <w:szCs w:val="28"/>
        </w:rPr>
      </w:pPr>
    </w:p>
    <w:p w14:paraId="67E2EFB0" w14:textId="77777777" w:rsidR="005C37DF" w:rsidRPr="004804AA" w:rsidRDefault="005C37DF" w:rsidP="005C37DF">
      <w:pPr>
        <w:spacing w:after="0" w:line="240" w:lineRule="auto"/>
        <w:jc w:val="center"/>
        <w:rPr>
          <w:rFonts w:ascii="Times New Roman" w:hAnsi="Times New Roman" w:cs="Times New Roman"/>
          <w:sz w:val="28"/>
          <w:szCs w:val="28"/>
        </w:rPr>
      </w:pPr>
    </w:p>
    <w:p w14:paraId="6D6683E5" w14:textId="77777777" w:rsidR="00813201" w:rsidRPr="004804AA" w:rsidRDefault="00813201" w:rsidP="005C37DF">
      <w:pPr>
        <w:spacing w:after="0" w:line="240" w:lineRule="auto"/>
        <w:jc w:val="center"/>
        <w:rPr>
          <w:rFonts w:ascii="Times New Roman" w:hAnsi="Times New Roman" w:cs="Times New Roman"/>
          <w:sz w:val="28"/>
          <w:szCs w:val="28"/>
        </w:rPr>
      </w:pPr>
    </w:p>
    <w:p w14:paraId="10DEC7BA" w14:textId="6414128E" w:rsidR="00813201" w:rsidRPr="004804AA" w:rsidRDefault="00813201" w:rsidP="005C37DF">
      <w:pPr>
        <w:spacing w:after="0" w:line="240" w:lineRule="auto"/>
        <w:jc w:val="right"/>
        <w:rPr>
          <w:rFonts w:ascii="Times New Roman" w:hAnsi="Times New Roman" w:cs="Times New Roman"/>
          <w:sz w:val="28"/>
          <w:szCs w:val="28"/>
        </w:rPr>
      </w:pPr>
      <w:r w:rsidRPr="004804AA">
        <w:rPr>
          <w:rFonts w:ascii="Times New Roman" w:hAnsi="Times New Roman" w:cs="Times New Roman"/>
          <w:sz w:val="28"/>
          <w:szCs w:val="28"/>
        </w:rPr>
        <w:t xml:space="preserve">Научный </w:t>
      </w:r>
      <w:r w:rsidR="00A860C2">
        <w:rPr>
          <w:rFonts w:ascii="Times New Roman" w:hAnsi="Times New Roman" w:cs="Times New Roman"/>
          <w:sz w:val="28"/>
          <w:szCs w:val="28"/>
        </w:rPr>
        <w:t>консультант</w:t>
      </w:r>
      <w:r w:rsidRPr="004804AA">
        <w:rPr>
          <w:rFonts w:ascii="Times New Roman" w:hAnsi="Times New Roman" w:cs="Times New Roman"/>
          <w:sz w:val="28"/>
          <w:szCs w:val="28"/>
        </w:rPr>
        <w:t xml:space="preserve">: дмн, </w:t>
      </w:r>
      <w:r w:rsidR="004A73FA" w:rsidRPr="00A87037">
        <w:rPr>
          <w:rFonts w:ascii="Times New Roman" w:hAnsi="Times New Roman" w:cs="Times New Roman"/>
          <w:sz w:val="28"/>
          <w:szCs w:val="28"/>
        </w:rPr>
        <w:t xml:space="preserve">профессор </w:t>
      </w:r>
      <w:r w:rsidRPr="004804AA">
        <w:rPr>
          <w:rFonts w:ascii="Times New Roman" w:hAnsi="Times New Roman" w:cs="Times New Roman"/>
          <w:sz w:val="28"/>
          <w:szCs w:val="28"/>
        </w:rPr>
        <w:t>Винников Д.В.</w:t>
      </w:r>
    </w:p>
    <w:p w14:paraId="4DA0F4D3" w14:textId="4DC9DA87" w:rsidR="00813201" w:rsidRPr="004804AA" w:rsidRDefault="00813201" w:rsidP="005C37DF">
      <w:pPr>
        <w:spacing w:after="0" w:line="240" w:lineRule="auto"/>
        <w:jc w:val="right"/>
        <w:rPr>
          <w:rFonts w:ascii="Times New Roman" w:hAnsi="Times New Roman" w:cs="Times New Roman"/>
          <w:sz w:val="28"/>
          <w:szCs w:val="28"/>
        </w:rPr>
      </w:pPr>
      <w:r w:rsidRPr="004804AA">
        <w:rPr>
          <w:rFonts w:ascii="Times New Roman" w:hAnsi="Times New Roman" w:cs="Times New Roman"/>
          <w:sz w:val="28"/>
          <w:szCs w:val="28"/>
        </w:rPr>
        <w:t xml:space="preserve">Зарубежный консультант: </w:t>
      </w:r>
      <w:r w:rsidR="003D11E9" w:rsidRPr="004804AA">
        <w:rPr>
          <w:rFonts w:ascii="Times New Roman" w:hAnsi="Times New Roman" w:cs="Times New Roman"/>
          <w:sz w:val="28"/>
          <w:szCs w:val="28"/>
        </w:rPr>
        <w:t xml:space="preserve">дмн, </w:t>
      </w:r>
      <w:r w:rsidRPr="004804AA">
        <w:rPr>
          <w:rFonts w:ascii="Times New Roman" w:hAnsi="Times New Roman" w:cs="Times New Roman"/>
          <w:sz w:val="28"/>
          <w:szCs w:val="28"/>
        </w:rPr>
        <w:t>профессор Бржеский В.В.</w:t>
      </w:r>
    </w:p>
    <w:p w14:paraId="32DD1CB8" w14:textId="77777777" w:rsidR="00813201" w:rsidRPr="004804AA" w:rsidRDefault="00813201" w:rsidP="005C37DF">
      <w:pPr>
        <w:spacing w:after="0" w:line="240" w:lineRule="auto"/>
        <w:jc w:val="right"/>
        <w:rPr>
          <w:rFonts w:ascii="Times New Roman" w:hAnsi="Times New Roman" w:cs="Times New Roman"/>
          <w:sz w:val="28"/>
          <w:szCs w:val="28"/>
        </w:rPr>
      </w:pPr>
    </w:p>
    <w:p w14:paraId="67A37F0E" w14:textId="0812256F" w:rsidR="00813201" w:rsidRDefault="00813201" w:rsidP="005C37DF">
      <w:pPr>
        <w:spacing w:after="0" w:line="240" w:lineRule="auto"/>
        <w:jc w:val="right"/>
        <w:rPr>
          <w:rFonts w:ascii="Times New Roman" w:hAnsi="Times New Roman" w:cs="Times New Roman"/>
          <w:sz w:val="28"/>
          <w:szCs w:val="28"/>
        </w:rPr>
      </w:pPr>
    </w:p>
    <w:p w14:paraId="3B32B56B" w14:textId="23669626" w:rsidR="005C37DF" w:rsidRDefault="005C37DF" w:rsidP="005C37DF">
      <w:pPr>
        <w:spacing w:after="0" w:line="240" w:lineRule="auto"/>
        <w:jc w:val="right"/>
        <w:rPr>
          <w:rFonts w:ascii="Times New Roman" w:hAnsi="Times New Roman" w:cs="Times New Roman"/>
          <w:sz w:val="28"/>
          <w:szCs w:val="28"/>
        </w:rPr>
      </w:pPr>
    </w:p>
    <w:p w14:paraId="5CCB8241" w14:textId="77777777" w:rsidR="005C37DF" w:rsidRDefault="005C37DF" w:rsidP="005C37DF">
      <w:pPr>
        <w:spacing w:after="0" w:line="240" w:lineRule="auto"/>
        <w:jc w:val="right"/>
        <w:rPr>
          <w:rFonts w:ascii="Times New Roman" w:hAnsi="Times New Roman" w:cs="Times New Roman"/>
          <w:sz w:val="28"/>
          <w:szCs w:val="28"/>
        </w:rPr>
      </w:pPr>
    </w:p>
    <w:p w14:paraId="5C0C9EB5" w14:textId="6B31655C" w:rsidR="00160573" w:rsidRDefault="00160573" w:rsidP="005C37DF">
      <w:pPr>
        <w:spacing w:after="0" w:line="240" w:lineRule="auto"/>
        <w:jc w:val="right"/>
        <w:rPr>
          <w:rFonts w:ascii="Times New Roman" w:hAnsi="Times New Roman" w:cs="Times New Roman"/>
          <w:sz w:val="28"/>
          <w:szCs w:val="28"/>
        </w:rPr>
      </w:pPr>
    </w:p>
    <w:p w14:paraId="00802AAC" w14:textId="77777777" w:rsidR="00813201" w:rsidRPr="004804AA"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Республика Казахстан</w:t>
      </w:r>
    </w:p>
    <w:p w14:paraId="011FE03C" w14:textId="06EA9D82" w:rsidR="005C37DF" w:rsidRDefault="00813201" w:rsidP="005C37DF">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Алматы, 202</w:t>
      </w:r>
      <w:r w:rsidR="0098716B">
        <w:rPr>
          <w:rFonts w:ascii="Times New Roman" w:hAnsi="Times New Roman" w:cs="Times New Roman"/>
          <w:sz w:val="28"/>
          <w:szCs w:val="28"/>
        </w:rPr>
        <w:t>5</w:t>
      </w:r>
    </w:p>
    <w:p w14:paraId="751C0607" w14:textId="4F202C22" w:rsidR="005C37DF" w:rsidRDefault="005C37D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A3DE1EA" w14:textId="77777777" w:rsidR="00D90C42" w:rsidRDefault="00D90C42" w:rsidP="00D90C42">
      <w:pPr>
        <w:jc w:val="center"/>
        <w:rPr>
          <w:rFonts w:ascii="Times New Roman" w:hAnsi="Times New Roman" w:cs="Times New Roman"/>
          <w:b/>
          <w:bCs/>
          <w:sz w:val="28"/>
          <w:szCs w:val="28"/>
        </w:rPr>
      </w:pPr>
      <w:r w:rsidRPr="00B10A9A">
        <w:rPr>
          <w:rFonts w:ascii="Times New Roman" w:hAnsi="Times New Roman" w:cs="Times New Roman"/>
          <w:b/>
          <w:bCs/>
          <w:sz w:val="28"/>
          <w:szCs w:val="28"/>
        </w:rPr>
        <w:lastRenderedPageBreak/>
        <w:t>СОДЕРЖАНИЕ</w:t>
      </w:r>
    </w:p>
    <w:p w14:paraId="6310C24B" w14:textId="77777777" w:rsidR="00D90C42" w:rsidRPr="00B10A9A" w:rsidRDefault="00D90C42" w:rsidP="00D90C42">
      <w:pPr>
        <w:jc w:val="center"/>
        <w:rPr>
          <w:rFonts w:ascii="Times New Roman" w:hAnsi="Times New Roman" w:cs="Times New Roman"/>
          <w:b/>
          <w:bC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07"/>
        <w:gridCol w:w="682"/>
      </w:tblGrid>
      <w:tr w:rsidR="00D90C42" w:rsidRPr="004A1383" w14:paraId="58B7A26A" w14:textId="77777777" w:rsidTr="0058760F">
        <w:tc>
          <w:tcPr>
            <w:tcW w:w="8767" w:type="dxa"/>
            <w:gridSpan w:val="2"/>
          </w:tcPr>
          <w:p w14:paraId="14FAB3DB" w14:textId="72001988" w:rsidR="00D90C42" w:rsidRPr="00B91678" w:rsidRDefault="00D90C42" w:rsidP="005825EA">
            <w:pPr>
              <w:spacing w:after="0" w:line="240" w:lineRule="auto"/>
              <w:rPr>
                <w:rFonts w:ascii="Times New Roman" w:hAnsi="Times New Roman" w:cs="Times New Roman"/>
                <w:b/>
                <w:bCs/>
                <w:sz w:val="28"/>
                <w:szCs w:val="28"/>
              </w:rPr>
            </w:pPr>
            <w:r w:rsidRPr="00B91678">
              <w:rPr>
                <w:rFonts w:ascii="Times New Roman" w:hAnsi="Times New Roman" w:cs="Times New Roman"/>
                <w:b/>
                <w:bCs/>
                <w:sz w:val="28"/>
                <w:szCs w:val="28"/>
              </w:rPr>
              <w:t xml:space="preserve">НОРМАТИВНЫЕ ССЫЛКИ </w:t>
            </w:r>
            <w:r w:rsidRPr="00B91678">
              <w:rPr>
                <w:rFonts w:ascii="Times New Roman" w:hAnsi="Times New Roman" w:cs="Times New Roman"/>
                <w:sz w:val="28"/>
                <w:szCs w:val="28"/>
              </w:rPr>
              <w:t>………………………</w:t>
            </w:r>
            <w:r>
              <w:rPr>
                <w:rFonts w:ascii="Times New Roman" w:hAnsi="Times New Roman" w:cs="Times New Roman"/>
                <w:sz w:val="28"/>
                <w:szCs w:val="28"/>
              </w:rPr>
              <w:t>…</w:t>
            </w:r>
            <w:r w:rsidRPr="00B91678">
              <w:rPr>
                <w:rFonts w:ascii="Times New Roman" w:hAnsi="Times New Roman" w:cs="Times New Roman"/>
                <w:sz w:val="28"/>
                <w:szCs w:val="28"/>
              </w:rPr>
              <w:t>…………</w:t>
            </w:r>
            <w:r w:rsidR="00C83F35">
              <w:rPr>
                <w:rFonts w:ascii="Times New Roman" w:hAnsi="Times New Roman" w:cs="Times New Roman"/>
                <w:sz w:val="28"/>
                <w:szCs w:val="28"/>
              </w:rPr>
              <w:t>……</w:t>
            </w:r>
            <w:r w:rsidR="00D87DE6">
              <w:rPr>
                <w:rFonts w:ascii="Times New Roman" w:hAnsi="Times New Roman" w:cs="Times New Roman"/>
                <w:sz w:val="28"/>
                <w:szCs w:val="28"/>
              </w:rPr>
              <w:t>.</w:t>
            </w:r>
          </w:p>
        </w:tc>
        <w:tc>
          <w:tcPr>
            <w:tcW w:w="703" w:type="dxa"/>
            <w:vAlign w:val="bottom"/>
          </w:tcPr>
          <w:p w14:paraId="70D28EA7" w14:textId="77777777" w:rsidR="00D90C42" w:rsidRPr="004A1383" w:rsidRDefault="00D90C42" w:rsidP="00D02CCD">
            <w:pPr>
              <w:spacing w:after="0" w:line="240" w:lineRule="auto"/>
              <w:jc w:val="center"/>
              <w:rPr>
                <w:rFonts w:ascii="Times New Roman" w:hAnsi="Times New Roman" w:cs="Times New Roman"/>
                <w:sz w:val="28"/>
                <w:szCs w:val="28"/>
              </w:rPr>
            </w:pPr>
            <w:r w:rsidRPr="004A1383">
              <w:rPr>
                <w:rFonts w:ascii="Times New Roman" w:hAnsi="Times New Roman" w:cs="Times New Roman"/>
                <w:sz w:val="28"/>
                <w:szCs w:val="28"/>
              </w:rPr>
              <w:t>3</w:t>
            </w:r>
          </w:p>
        </w:tc>
      </w:tr>
      <w:tr w:rsidR="00D90C42" w:rsidRPr="004A1383" w14:paraId="26741CDA" w14:textId="77777777" w:rsidTr="0058760F">
        <w:tc>
          <w:tcPr>
            <w:tcW w:w="8767" w:type="dxa"/>
            <w:gridSpan w:val="2"/>
          </w:tcPr>
          <w:p w14:paraId="17DE9F31" w14:textId="1C580263" w:rsidR="00D90C42" w:rsidRPr="00B91678" w:rsidRDefault="00D90C42" w:rsidP="00D87DE6">
            <w:pPr>
              <w:spacing w:after="0" w:line="240" w:lineRule="auto"/>
              <w:rPr>
                <w:rFonts w:ascii="Times New Roman" w:hAnsi="Times New Roman" w:cs="Times New Roman"/>
                <w:b/>
                <w:bCs/>
                <w:sz w:val="28"/>
                <w:szCs w:val="28"/>
              </w:rPr>
            </w:pPr>
            <w:r w:rsidRPr="00B91678">
              <w:rPr>
                <w:rFonts w:ascii="Times New Roman" w:hAnsi="Times New Roman" w:cs="Times New Roman"/>
                <w:b/>
                <w:bCs/>
                <w:sz w:val="28"/>
                <w:szCs w:val="28"/>
              </w:rPr>
              <w:t xml:space="preserve">ОПРЕДЕЛЕНИЯ </w:t>
            </w:r>
            <w:r w:rsidRPr="00B91678">
              <w:rPr>
                <w:rFonts w:ascii="Times New Roman" w:hAnsi="Times New Roman" w:cs="Times New Roman"/>
                <w:sz w:val="28"/>
                <w:szCs w:val="28"/>
              </w:rPr>
              <w:t>……………………………………</w:t>
            </w:r>
            <w:r>
              <w:rPr>
                <w:rFonts w:ascii="Times New Roman" w:hAnsi="Times New Roman" w:cs="Times New Roman"/>
                <w:sz w:val="28"/>
                <w:szCs w:val="28"/>
              </w:rPr>
              <w:t>.</w:t>
            </w:r>
            <w:r w:rsidRPr="00B91678">
              <w:rPr>
                <w:rFonts w:ascii="Times New Roman" w:hAnsi="Times New Roman" w:cs="Times New Roman"/>
                <w:sz w:val="28"/>
                <w:szCs w:val="28"/>
              </w:rPr>
              <w:t>………………</w:t>
            </w:r>
            <w:r w:rsidR="00C83F35">
              <w:rPr>
                <w:rFonts w:ascii="Times New Roman" w:hAnsi="Times New Roman" w:cs="Times New Roman"/>
                <w:sz w:val="28"/>
                <w:szCs w:val="28"/>
              </w:rPr>
              <w:t>…</w:t>
            </w:r>
            <w:r w:rsidR="00D87DE6">
              <w:rPr>
                <w:rFonts w:ascii="Times New Roman" w:hAnsi="Times New Roman" w:cs="Times New Roman"/>
                <w:sz w:val="28"/>
                <w:szCs w:val="28"/>
              </w:rPr>
              <w:t>..</w:t>
            </w:r>
          </w:p>
        </w:tc>
        <w:tc>
          <w:tcPr>
            <w:tcW w:w="703" w:type="dxa"/>
            <w:vAlign w:val="bottom"/>
          </w:tcPr>
          <w:p w14:paraId="528DD6BE" w14:textId="7777777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D90C42" w:rsidRPr="004A1383" w14:paraId="1577585D" w14:textId="77777777" w:rsidTr="0058760F">
        <w:tc>
          <w:tcPr>
            <w:tcW w:w="8767" w:type="dxa"/>
            <w:gridSpan w:val="2"/>
          </w:tcPr>
          <w:p w14:paraId="4F83AB44" w14:textId="08E073FD" w:rsidR="00D90C42" w:rsidRPr="00B91678" w:rsidRDefault="00D90C42" w:rsidP="005825EA">
            <w:pPr>
              <w:spacing w:after="0" w:line="240" w:lineRule="auto"/>
              <w:rPr>
                <w:rFonts w:ascii="Times New Roman" w:hAnsi="Times New Roman" w:cs="Times New Roman"/>
                <w:b/>
                <w:bCs/>
                <w:sz w:val="28"/>
                <w:szCs w:val="28"/>
              </w:rPr>
            </w:pPr>
            <w:r w:rsidRPr="00B91678">
              <w:rPr>
                <w:rFonts w:ascii="Times New Roman" w:hAnsi="Times New Roman" w:cs="Times New Roman"/>
                <w:b/>
                <w:bCs/>
                <w:sz w:val="28"/>
                <w:szCs w:val="28"/>
              </w:rPr>
              <w:t xml:space="preserve">ОБОЗНАЧЕНИЯ И СОКРАЩЕНИЯ </w:t>
            </w:r>
            <w:r w:rsidRPr="00B91678">
              <w:rPr>
                <w:rFonts w:ascii="Times New Roman" w:hAnsi="Times New Roman" w:cs="Times New Roman"/>
                <w:sz w:val="28"/>
                <w:szCs w:val="28"/>
              </w:rPr>
              <w:t>……………………</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94E21E7" w14:textId="77777777" w:rsidR="00D90C42" w:rsidRPr="004A1383" w:rsidRDefault="00D90C42" w:rsidP="00D02CCD">
            <w:pPr>
              <w:spacing w:after="0" w:line="240" w:lineRule="auto"/>
              <w:jc w:val="center"/>
              <w:rPr>
                <w:rFonts w:ascii="Times New Roman" w:hAnsi="Times New Roman" w:cs="Times New Roman"/>
                <w:sz w:val="28"/>
                <w:szCs w:val="28"/>
              </w:rPr>
            </w:pPr>
            <w:r w:rsidRPr="004A1383">
              <w:rPr>
                <w:rFonts w:ascii="Times New Roman" w:hAnsi="Times New Roman" w:cs="Times New Roman"/>
                <w:sz w:val="28"/>
                <w:szCs w:val="28"/>
              </w:rPr>
              <w:t>7</w:t>
            </w:r>
          </w:p>
        </w:tc>
      </w:tr>
      <w:tr w:rsidR="00D90C42" w:rsidRPr="004A1383" w14:paraId="06A5568B" w14:textId="77777777" w:rsidTr="0058760F">
        <w:tc>
          <w:tcPr>
            <w:tcW w:w="8767" w:type="dxa"/>
            <w:gridSpan w:val="2"/>
          </w:tcPr>
          <w:p w14:paraId="1E85992A" w14:textId="166C0052" w:rsidR="00D90C42" w:rsidRPr="00B91678" w:rsidRDefault="00D90C42" w:rsidP="00D87DE6">
            <w:pPr>
              <w:spacing w:after="0" w:line="240" w:lineRule="auto"/>
              <w:rPr>
                <w:rFonts w:ascii="Times New Roman" w:hAnsi="Times New Roman" w:cs="Times New Roman"/>
                <w:b/>
                <w:bCs/>
                <w:sz w:val="28"/>
                <w:szCs w:val="28"/>
              </w:rPr>
            </w:pPr>
            <w:r w:rsidRPr="00B91678">
              <w:rPr>
                <w:rFonts w:ascii="Times New Roman" w:hAnsi="Times New Roman" w:cs="Times New Roman"/>
                <w:b/>
                <w:bCs/>
                <w:sz w:val="28"/>
                <w:szCs w:val="28"/>
              </w:rPr>
              <w:t xml:space="preserve">ВВЕДЕНИЕ </w:t>
            </w:r>
            <w:r w:rsidRPr="00B91678">
              <w:rPr>
                <w:rFonts w:ascii="Times New Roman" w:hAnsi="Times New Roman" w:cs="Times New Roman"/>
                <w:sz w:val="28"/>
                <w:szCs w:val="28"/>
              </w:rPr>
              <w:t>..……………………</w:t>
            </w:r>
            <w:r>
              <w:rPr>
                <w:rFonts w:ascii="Times New Roman" w:hAnsi="Times New Roman" w:cs="Times New Roman"/>
                <w:sz w:val="28"/>
                <w:szCs w:val="28"/>
              </w:rPr>
              <w:t>..</w:t>
            </w:r>
            <w:r w:rsidRPr="00B91678">
              <w:rPr>
                <w:rFonts w:ascii="Times New Roman" w:hAnsi="Times New Roman" w:cs="Times New Roman"/>
                <w:sz w:val="28"/>
                <w:szCs w:val="28"/>
              </w:rPr>
              <w:t>………………………………</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651AEA3" w14:textId="7777777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5204FA" w:rsidRPr="004A1383" w14:paraId="4C8F9D77" w14:textId="77777777" w:rsidTr="0058760F">
        <w:tc>
          <w:tcPr>
            <w:tcW w:w="8767" w:type="dxa"/>
            <w:gridSpan w:val="2"/>
          </w:tcPr>
          <w:p w14:paraId="65287710" w14:textId="785DADB1" w:rsidR="005204FA" w:rsidRPr="00B91678" w:rsidRDefault="005204FA" w:rsidP="005204F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Pr="002C2A5C">
              <w:rPr>
                <w:rFonts w:ascii="Times New Roman" w:hAnsi="Times New Roman" w:cs="Times New Roman"/>
                <w:b/>
                <w:bCs/>
                <w:sz w:val="28"/>
                <w:szCs w:val="28"/>
              </w:rPr>
              <w:t xml:space="preserve">СОВРЕМЕННОЕ СОСТОЯНИЕ ПРОБЛЕМЫ </w:t>
            </w:r>
            <w:r>
              <w:rPr>
                <w:rFonts w:ascii="Times New Roman" w:hAnsi="Times New Roman" w:cs="Times New Roman"/>
                <w:b/>
                <w:bCs/>
                <w:sz w:val="28"/>
                <w:szCs w:val="28"/>
              </w:rPr>
              <w:t>АНОМАЛИЙ</w:t>
            </w:r>
            <w:r w:rsidRPr="002C2A5C">
              <w:rPr>
                <w:rFonts w:ascii="Times New Roman" w:hAnsi="Times New Roman" w:cs="Times New Roman"/>
                <w:b/>
                <w:bCs/>
                <w:sz w:val="28"/>
                <w:szCs w:val="28"/>
              </w:rPr>
              <w:t xml:space="preserve"> РЕФРАКЦИИ У ДЕТЕЙ (ОБЗОР ЛИТЕРАТУРЫ</w:t>
            </w:r>
            <w:r>
              <w:rPr>
                <w:rFonts w:ascii="Times New Roman" w:hAnsi="Times New Roman" w:cs="Times New Roman"/>
                <w:b/>
                <w:bCs/>
                <w:sz w:val="28"/>
                <w:szCs w:val="28"/>
              </w:rPr>
              <w:t>)</w:t>
            </w:r>
            <w:r w:rsidRPr="00C83F35">
              <w:rPr>
                <w:rFonts w:ascii="Times New Roman" w:hAnsi="Times New Roman" w:cs="Times New Roman"/>
                <w:sz w:val="28"/>
                <w:szCs w:val="28"/>
              </w:rPr>
              <w:t>…………</w:t>
            </w:r>
            <w:r>
              <w:rPr>
                <w:rFonts w:ascii="Times New Roman" w:hAnsi="Times New Roman" w:cs="Times New Roman"/>
                <w:sz w:val="28"/>
                <w:szCs w:val="28"/>
              </w:rPr>
              <w:t>…..</w:t>
            </w:r>
            <w:r w:rsidRPr="00C83F35">
              <w:rPr>
                <w:rFonts w:ascii="Times New Roman" w:hAnsi="Times New Roman" w:cs="Times New Roman"/>
                <w:sz w:val="28"/>
                <w:szCs w:val="28"/>
              </w:rPr>
              <w:t>…</w:t>
            </w:r>
            <w:r>
              <w:rPr>
                <w:rFonts w:ascii="Times New Roman" w:hAnsi="Times New Roman" w:cs="Times New Roman"/>
                <w:sz w:val="28"/>
                <w:szCs w:val="28"/>
              </w:rPr>
              <w:t>…</w:t>
            </w:r>
          </w:p>
        </w:tc>
        <w:tc>
          <w:tcPr>
            <w:tcW w:w="703" w:type="dxa"/>
            <w:vAlign w:val="bottom"/>
          </w:tcPr>
          <w:p w14:paraId="5C6C94A6" w14:textId="77777777" w:rsidR="005204FA" w:rsidRPr="004A1383" w:rsidRDefault="005204F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D90C42" w:rsidRPr="004A1383" w14:paraId="7EFAD624" w14:textId="77777777" w:rsidTr="0058760F">
        <w:tc>
          <w:tcPr>
            <w:tcW w:w="562" w:type="dxa"/>
          </w:tcPr>
          <w:p w14:paraId="3C98AD0E"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1.1</w:t>
            </w:r>
          </w:p>
        </w:tc>
        <w:tc>
          <w:tcPr>
            <w:tcW w:w="8205" w:type="dxa"/>
          </w:tcPr>
          <w:p w14:paraId="4833CF39" w14:textId="0E3F3CF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Распространенность и значение аномалий рефракции …</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6A18F15" w14:textId="7777777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D90C42" w:rsidRPr="004A1383" w14:paraId="02962D82" w14:textId="77777777" w:rsidTr="0058760F">
        <w:tc>
          <w:tcPr>
            <w:tcW w:w="562" w:type="dxa"/>
          </w:tcPr>
          <w:p w14:paraId="77F62826"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1.2</w:t>
            </w:r>
          </w:p>
        </w:tc>
        <w:tc>
          <w:tcPr>
            <w:tcW w:w="8205" w:type="dxa"/>
          </w:tcPr>
          <w:p w14:paraId="396F2A6C" w14:textId="63EAC116" w:rsidR="00D90C42" w:rsidRPr="006178E5" w:rsidRDefault="00D90C42" w:rsidP="009648A0">
            <w:pPr>
              <w:spacing w:after="0" w:line="240" w:lineRule="auto"/>
              <w:jc w:val="both"/>
              <w:rPr>
                <w:rFonts w:ascii="Times New Roman" w:hAnsi="Times New Roman" w:cs="Times New Roman"/>
                <w:sz w:val="28"/>
                <w:szCs w:val="28"/>
              </w:rPr>
            </w:pPr>
            <w:r w:rsidRPr="00CE604C">
              <w:rPr>
                <w:rFonts w:ascii="Times New Roman" w:hAnsi="Times New Roman" w:cs="Times New Roman"/>
                <w:color w:val="000000"/>
                <w:sz w:val="28"/>
                <w:szCs w:val="28"/>
              </w:rPr>
              <w:t>Эпидемиологические аспекты аномалий рефракции у детей и подростков</w:t>
            </w:r>
            <w:r w:rsidR="00C83F35">
              <w:rPr>
                <w:rFonts w:ascii="Times New Roman" w:hAnsi="Times New Roman" w:cs="Times New Roman"/>
                <w:color w:val="000000"/>
                <w:sz w:val="28"/>
                <w:szCs w:val="28"/>
              </w:rPr>
              <w:t>………………………………………………………….</w:t>
            </w:r>
            <w:r w:rsidR="006A56AE">
              <w:rPr>
                <w:rFonts w:ascii="Times New Roman" w:hAnsi="Times New Roman" w:cs="Times New Roman"/>
                <w:color w:val="000000"/>
                <w:sz w:val="28"/>
                <w:szCs w:val="28"/>
              </w:rPr>
              <w:t>.</w:t>
            </w:r>
          </w:p>
        </w:tc>
        <w:tc>
          <w:tcPr>
            <w:tcW w:w="703" w:type="dxa"/>
            <w:vAlign w:val="bottom"/>
          </w:tcPr>
          <w:p w14:paraId="4447690F" w14:textId="7777777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D90C42" w:rsidRPr="004A1383" w14:paraId="4502F4C1" w14:textId="77777777" w:rsidTr="0058760F">
        <w:tc>
          <w:tcPr>
            <w:tcW w:w="562" w:type="dxa"/>
          </w:tcPr>
          <w:p w14:paraId="565C8B86"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1.3</w:t>
            </w:r>
          </w:p>
        </w:tc>
        <w:tc>
          <w:tcPr>
            <w:tcW w:w="8205" w:type="dxa"/>
          </w:tcPr>
          <w:p w14:paraId="37616F78" w14:textId="619673F1"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Обзор ф</w:t>
            </w:r>
            <w:r w:rsidRPr="006178E5">
              <w:rPr>
                <w:rFonts w:ascii="Times New Roman" w:hAnsi="Times New Roman" w:cs="Times New Roman"/>
                <w:sz w:val="28"/>
                <w:szCs w:val="28"/>
              </w:rPr>
              <w:t>актор</w:t>
            </w:r>
            <w:r>
              <w:rPr>
                <w:rFonts w:ascii="Times New Roman" w:hAnsi="Times New Roman" w:cs="Times New Roman"/>
                <w:sz w:val="28"/>
                <w:szCs w:val="28"/>
              </w:rPr>
              <w:t>ов</w:t>
            </w:r>
            <w:r w:rsidRPr="006178E5">
              <w:rPr>
                <w:rFonts w:ascii="Times New Roman" w:hAnsi="Times New Roman" w:cs="Times New Roman"/>
                <w:sz w:val="28"/>
                <w:szCs w:val="28"/>
              </w:rPr>
              <w:t xml:space="preserve"> риска </w:t>
            </w:r>
            <w:r>
              <w:rPr>
                <w:rFonts w:ascii="Times New Roman" w:hAnsi="Times New Roman" w:cs="Times New Roman"/>
                <w:sz w:val="28"/>
                <w:szCs w:val="28"/>
              </w:rPr>
              <w:t xml:space="preserve">развития </w:t>
            </w:r>
            <w:r w:rsidRPr="006178E5">
              <w:rPr>
                <w:rFonts w:ascii="Times New Roman" w:hAnsi="Times New Roman" w:cs="Times New Roman"/>
                <w:sz w:val="28"/>
                <w:szCs w:val="28"/>
              </w:rPr>
              <w:t>миопии</w:t>
            </w:r>
            <w:r>
              <w:rPr>
                <w:rFonts w:ascii="Times New Roman" w:hAnsi="Times New Roman" w:cs="Times New Roman"/>
                <w:sz w:val="28"/>
                <w:szCs w:val="28"/>
              </w:rPr>
              <w:t xml:space="preserve"> у детей</w:t>
            </w:r>
            <w:r w:rsidRPr="006178E5">
              <w:rPr>
                <w:rFonts w:ascii="Times New Roman" w:hAnsi="Times New Roman" w:cs="Times New Roman"/>
                <w:sz w:val="28"/>
                <w:szCs w:val="28"/>
              </w:rPr>
              <w:t xml:space="preserve"> ………</w:t>
            </w:r>
            <w:r>
              <w:rPr>
                <w:rFonts w:ascii="Times New Roman" w:hAnsi="Times New Roman" w:cs="Times New Roman"/>
                <w:sz w:val="28"/>
                <w:szCs w:val="28"/>
              </w:rPr>
              <w:t>……</w:t>
            </w:r>
            <w:r w:rsidR="00C83F35">
              <w:rPr>
                <w:rFonts w:ascii="Times New Roman" w:hAnsi="Times New Roman" w:cs="Times New Roman"/>
                <w:sz w:val="28"/>
                <w:szCs w:val="28"/>
              </w:rPr>
              <w:t>…</w:t>
            </w:r>
            <w:r w:rsidR="006A56AE">
              <w:rPr>
                <w:rFonts w:ascii="Times New Roman" w:hAnsi="Times New Roman" w:cs="Times New Roman"/>
                <w:sz w:val="28"/>
                <w:szCs w:val="28"/>
              </w:rPr>
              <w:t>…</w:t>
            </w:r>
          </w:p>
        </w:tc>
        <w:tc>
          <w:tcPr>
            <w:tcW w:w="703" w:type="dxa"/>
            <w:vAlign w:val="bottom"/>
          </w:tcPr>
          <w:p w14:paraId="2FFE2CA1" w14:textId="7777777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D02CCD" w:rsidRPr="004A1383" w14:paraId="72298A86" w14:textId="77777777" w:rsidTr="0058760F">
        <w:tc>
          <w:tcPr>
            <w:tcW w:w="562" w:type="dxa"/>
          </w:tcPr>
          <w:p w14:paraId="1D7468E8" w14:textId="30B325E8" w:rsidR="00D90C42" w:rsidRPr="006178E5" w:rsidRDefault="00D90C42" w:rsidP="009648A0">
            <w:pPr>
              <w:spacing w:after="0" w:line="240" w:lineRule="auto"/>
              <w:jc w:val="both"/>
              <w:rPr>
                <w:rFonts w:ascii="Times New Roman" w:hAnsi="Times New Roman" w:cs="Times New Roman"/>
                <w:sz w:val="28"/>
                <w:szCs w:val="28"/>
              </w:rPr>
            </w:pPr>
          </w:p>
        </w:tc>
        <w:tc>
          <w:tcPr>
            <w:tcW w:w="8205" w:type="dxa"/>
          </w:tcPr>
          <w:p w14:paraId="15E94920" w14:textId="691434A8" w:rsidR="00D90C42" w:rsidRDefault="006A56AE" w:rsidP="009648A0">
            <w:pPr>
              <w:spacing w:after="0" w:line="240" w:lineRule="auto"/>
              <w:jc w:val="both"/>
              <w:rPr>
                <w:rFonts w:ascii="Times New Roman" w:hAnsi="Times New Roman" w:cs="Times New Roman"/>
                <w:sz w:val="28"/>
                <w:szCs w:val="28"/>
              </w:rPr>
            </w:pPr>
            <w:r w:rsidRPr="007E7015">
              <w:rPr>
                <w:rFonts w:ascii="Times New Roman" w:hAnsi="Times New Roman" w:cs="Times New Roman"/>
                <w:sz w:val="28"/>
                <w:szCs w:val="28"/>
              </w:rPr>
              <w:t>1.3.1</w:t>
            </w:r>
            <w:r>
              <w:rPr>
                <w:rFonts w:ascii="Times New Roman" w:hAnsi="Times New Roman" w:cs="Times New Roman"/>
                <w:sz w:val="28"/>
                <w:szCs w:val="28"/>
              </w:rPr>
              <w:t xml:space="preserve"> О</w:t>
            </w:r>
            <w:r w:rsidR="00D90C42" w:rsidRPr="007E7015">
              <w:rPr>
                <w:rFonts w:ascii="Times New Roman" w:hAnsi="Times New Roman" w:cs="Times New Roman"/>
                <w:sz w:val="28"/>
                <w:szCs w:val="28"/>
              </w:rPr>
              <w:t>бразование и зрительная работа на близком расстоянии</w:t>
            </w:r>
            <w:r w:rsidR="00D90C42">
              <w:rPr>
                <w:rFonts w:ascii="Times New Roman" w:hAnsi="Times New Roman" w:cs="Times New Roman"/>
                <w:sz w:val="28"/>
                <w:szCs w:val="28"/>
              </w:rPr>
              <w:t>…</w:t>
            </w:r>
          </w:p>
        </w:tc>
        <w:tc>
          <w:tcPr>
            <w:tcW w:w="703" w:type="dxa"/>
            <w:vAlign w:val="bottom"/>
          </w:tcPr>
          <w:p w14:paraId="31A716FC" w14:textId="77777777" w:rsidR="00D90C42"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D02CCD" w:rsidRPr="004A1383" w14:paraId="129A1F64" w14:textId="77777777" w:rsidTr="0058760F">
        <w:tc>
          <w:tcPr>
            <w:tcW w:w="562" w:type="dxa"/>
          </w:tcPr>
          <w:p w14:paraId="3EB433BC" w14:textId="6AB9D758" w:rsidR="00D90C42" w:rsidRPr="006178E5" w:rsidRDefault="00D90C42" w:rsidP="009648A0">
            <w:pPr>
              <w:spacing w:after="0" w:line="240" w:lineRule="auto"/>
              <w:jc w:val="both"/>
              <w:rPr>
                <w:rFonts w:ascii="Times New Roman" w:hAnsi="Times New Roman" w:cs="Times New Roman"/>
                <w:sz w:val="28"/>
                <w:szCs w:val="28"/>
              </w:rPr>
            </w:pPr>
          </w:p>
        </w:tc>
        <w:tc>
          <w:tcPr>
            <w:tcW w:w="8205" w:type="dxa"/>
          </w:tcPr>
          <w:p w14:paraId="22319348" w14:textId="59AD0ADE" w:rsidR="00D90C42" w:rsidRDefault="006A56AE" w:rsidP="009648A0">
            <w:pPr>
              <w:spacing w:after="0" w:line="240" w:lineRule="auto"/>
              <w:jc w:val="both"/>
              <w:rPr>
                <w:rFonts w:ascii="Times New Roman" w:hAnsi="Times New Roman" w:cs="Times New Roman"/>
                <w:sz w:val="28"/>
                <w:szCs w:val="28"/>
              </w:rPr>
            </w:pPr>
            <w:r w:rsidRPr="007E7015">
              <w:rPr>
                <w:rFonts w:ascii="Times New Roman" w:hAnsi="Times New Roman" w:cs="Times New Roman"/>
                <w:sz w:val="28"/>
                <w:szCs w:val="28"/>
              </w:rPr>
              <w:t>1.3.2</w:t>
            </w:r>
            <w:r>
              <w:rPr>
                <w:rFonts w:ascii="Times New Roman" w:hAnsi="Times New Roman" w:cs="Times New Roman"/>
                <w:sz w:val="28"/>
                <w:szCs w:val="28"/>
              </w:rPr>
              <w:t xml:space="preserve"> </w:t>
            </w:r>
            <w:r w:rsidR="00D90C42" w:rsidRPr="007E7015">
              <w:rPr>
                <w:rFonts w:ascii="Times New Roman" w:hAnsi="Times New Roman" w:cs="Times New Roman"/>
                <w:sz w:val="28"/>
                <w:szCs w:val="28"/>
              </w:rPr>
              <w:t>Генетические факторы</w:t>
            </w:r>
            <w:r w:rsidR="00D90C42">
              <w:rPr>
                <w:rFonts w:ascii="Times New Roman" w:hAnsi="Times New Roman" w:cs="Times New Roman"/>
                <w:sz w:val="28"/>
                <w:szCs w:val="28"/>
              </w:rPr>
              <w:t>……………………………</w:t>
            </w:r>
            <w:r w:rsidR="00C83F35">
              <w:rPr>
                <w:rFonts w:ascii="Times New Roman" w:hAnsi="Times New Roman" w:cs="Times New Roman"/>
                <w:sz w:val="28"/>
                <w:szCs w:val="28"/>
              </w:rPr>
              <w:t>…</w:t>
            </w:r>
            <w:r>
              <w:rPr>
                <w:rFonts w:ascii="Times New Roman" w:hAnsi="Times New Roman" w:cs="Times New Roman"/>
                <w:sz w:val="28"/>
                <w:szCs w:val="28"/>
              </w:rPr>
              <w:t>………..</w:t>
            </w:r>
          </w:p>
        </w:tc>
        <w:tc>
          <w:tcPr>
            <w:tcW w:w="703" w:type="dxa"/>
            <w:vAlign w:val="bottom"/>
          </w:tcPr>
          <w:p w14:paraId="62EBFEC8" w14:textId="417B3467"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D02CCD" w:rsidRPr="004A1383" w14:paraId="692ACD54" w14:textId="77777777" w:rsidTr="0058760F">
        <w:tc>
          <w:tcPr>
            <w:tcW w:w="562" w:type="dxa"/>
          </w:tcPr>
          <w:p w14:paraId="3DB305E9" w14:textId="2BC85CC5" w:rsidR="00D90C42" w:rsidRPr="006178E5" w:rsidRDefault="00D90C42" w:rsidP="009648A0">
            <w:pPr>
              <w:spacing w:after="0" w:line="240" w:lineRule="auto"/>
              <w:jc w:val="both"/>
              <w:rPr>
                <w:rFonts w:ascii="Times New Roman" w:hAnsi="Times New Roman" w:cs="Times New Roman"/>
                <w:sz w:val="28"/>
                <w:szCs w:val="28"/>
              </w:rPr>
            </w:pPr>
          </w:p>
        </w:tc>
        <w:tc>
          <w:tcPr>
            <w:tcW w:w="8205" w:type="dxa"/>
          </w:tcPr>
          <w:p w14:paraId="17F69988" w14:textId="3BD91037" w:rsidR="00D90C42" w:rsidRDefault="006A56AE" w:rsidP="009648A0">
            <w:pPr>
              <w:spacing w:after="0" w:line="240" w:lineRule="auto"/>
              <w:jc w:val="both"/>
              <w:rPr>
                <w:rFonts w:ascii="Times New Roman" w:hAnsi="Times New Roman" w:cs="Times New Roman"/>
                <w:sz w:val="28"/>
                <w:szCs w:val="28"/>
              </w:rPr>
            </w:pPr>
            <w:r w:rsidRPr="0028146F">
              <w:rPr>
                <w:rFonts w:ascii="Times New Roman" w:hAnsi="Times New Roman" w:cs="Times New Roman"/>
                <w:sz w:val="28"/>
                <w:szCs w:val="28"/>
              </w:rPr>
              <w:t>1.3.3</w:t>
            </w:r>
            <w:r>
              <w:rPr>
                <w:rFonts w:ascii="Times New Roman" w:hAnsi="Times New Roman" w:cs="Times New Roman"/>
                <w:sz w:val="28"/>
                <w:szCs w:val="28"/>
              </w:rPr>
              <w:t xml:space="preserve"> </w:t>
            </w:r>
            <w:r w:rsidR="00D90C42" w:rsidRPr="0028146F">
              <w:rPr>
                <w:rFonts w:ascii="Times New Roman" w:hAnsi="Times New Roman" w:cs="Times New Roman"/>
                <w:sz w:val="28"/>
                <w:szCs w:val="28"/>
              </w:rPr>
              <w:t>Освещение и общее время на открытом воздухе</w:t>
            </w:r>
            <w:r w:rsidR="00D90C42">
              <w:rPr>
                <w:rFonts w:ascii="Times New Roman" w:hAnsi="Times New Roman" w:cs="Times New Roman"/>
                <w:sz w:val="28"/>
                <w:szCs w:val="28"/>
              </w:rPr>
              <w:t>……</w:t>
            </w:r>
            <w:r w:rsidR="00C83F35">
              <w:rPr>
                <w:rFonts w:ascii="Times New Roman" w:hAnsi="Times New Roman" w:cs="Times New Roman"/>
                <w:sz w:val="28"/>
                <w:szCs w:val="28"/>
              </w:rPr>
              <w:t>…</w:t>
            </w:r>
            <w:r w:rsidR="00D90C42">
              <w:rPr>
                <w:rFonts w:ascii="Times New Roman" w:hAnsi="Times New Roman" w:cs="Times New Roman"/>
                <w:sz w:val="28"/>
                <w:szCs w:val="28"/>
              </w:rPr>
              <w:t>……</w:t>
            </w:r>
          </w:p>
        </w:tc>
        <w:tc>
          <w:tcPr>
            <w:tcW w:w="703" w:type="dxa"/>
            <w:vAlign w:val="bottom"/>
          </w:tcPr>
          <w:p w14:paraId="6A6CC0BC" w14:textId="77777777" w:rsidR="00D90C42"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D02CCD" w:rsidRPr="004A1383" w14:paraId="4C28E9B2" w14:textId="77777777" w:rsidTr="0058760F">
        <w:tc>
          <w:tcPr>
            <w:tcW w:w="562" w:type="dxa"/>
          </w:tcPr>
          <w:p w14:paraId="2A13F1F9" w14:textId="6EFE9CBB" w:rsidR="00D90C42" w:rsidRPr="006178E5" w:rsidRDefault="00D90C42" w:rsidP="009648A0">
            <w:pPr>
              <w:spacing w:after="0" w:line="240" w:lineRule="auto"/>
              <w:jc w:val="both"/>
              <w:rPr>
                <w:rFonts w:ascii="Times New Roman" w:hAnsi="Times New Roman" w:cs="Times New Roman"/>
                <w:sz w:val="28"/>
                <w:szCs w:val="28"/>
              </w:rPr>
            </w:pPr>
          </w:p>
        </w:tc>
        <w:tc>
          <w:tcPr>
            <w:tcW w:w="8205" w:type="dxa"/>
          </w:tcPr>
          <w:p w14:paraId="5A36AADB" w14:textId="092B738C" w:rsidR="00D90C42" w:rsidRDefault="006A56AE" w:rsidP="009648A0">
            <w:pPr>
              <w:spacing w:after="0" w:line="240" w:lineRule="auto"/>
              <w:jc w:val="both"/>
              <w:rPr>
                <w:rFonts w:ascii="Times New Roman" w:hAnsi="Times New Roman" w:cs="Times New Roman"/>
                <w:sz w:val="28"/>
                <w:szCs w:val="28"/>
              </w:rPr>
            </w:pPr>
            <w:r w:rsidRPr="00D962D7">
              <w:rPr>
                <w:rFonts w:ascii="Times New Roman" w:hAnsi="Times New Roman" w:cs="Times New Roman"/>
                <w:sz w:val="28"/>
                <w:szCs w:val="28"/>
              </w:rPr>
              <w:t>1.3.4</w:t>
            </w:r>
            <w:r>
              <w:rPr>
                <w:rFonts w:ascii="Times New Roman" w:hAnsi="Times New Roman" w:cs="Times New Roman"/>
                <w:sz w:val="28"/>
                <w:szCs w:val="28"/>
              </w:rPr>
              <w:t xml:space="preserve"> </w:t>
            </w:r>
            <w:r w:rsidR="00D90C42" w:rsidRPr="00D962D7">
              <w:rPr>
                <w:rFonts w:ascii="Times New Roman" w:hAnsi="Times New Roman" w:cs="Times New Roman"/>
                <w:sz w:val="28"/>
                <w:szCs w:val="28"/>
              </w:rPr>
              <w:t>Другие факторы</w:t>
            </w:r>
            <w:r w:rsidR="00D90C42">
              <w:rPr>
                <w:rFonts w:ascii="Times New Roman" w:hAnsi="Times New Roman" w:cs="Times New Roman"/>
                <w:sz w:val="28"/>
                <w:szCs w:val="28"/>
              </w:rPr>
              <w:t>……………………………………………</w:t>
            </w:r>
            <w:r>
              <w:rPr>
                <w:rFonts w:ascii="Times New Roman" w:hAnsi="Times New Roman" w:cs="Times New Roman"/>
                <w:sz w:val="28"/>
                <w:szCs w:val="28"/>
              </w:rPr>
              <w:t>….</w:t>
            </w:r>
          </w:p>
        </w:tc>
        <w:tc>
          <w:tcPr>
            <w:tcW w:w="703" w:type="dxa"/>
            <w:vAlign w:val="bottom"/>
          </w:tcPr>
          <w:p w14:paraId="7E4585BF" w14:textId="203FEF8A"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D90C42" w:rsidRPr="004A1383" w14:paraId="6E6C653A" w14:textId="77777777" w:rsidTr="0058760F">
        <w:tc>
          <w:tcPr>
            <w:tcW w:w="562" w:type="dxa"/>
          </w:tcPr>
          <w:p w14:paraId="589A2E80"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1.4</w:t>
            </w:r>
          </w:p>
        </w:tc>
        <w:tc>
          <w:tcPr>
            <w:tcW w:w="8205" w:type="dxa"/>
          </w:tcPr>
          <w:p w14:paraId="2DF6C05D" w14:textId="19AC1086" w:rsidR="00D90C42" w:rsidRPr="006178E5" w:rsidRDefault="00D90C42" w:rsidP="009648A0">
            <w:pPr>
              <w:spacing w:after="0" w:line="240" w:lineRule="auto"/>
              <w:jc w:val="both"/>
              <w:rPr>
                <w:rFonts w:ascii="Times New Roman" w:hAnsi="Times New Roman" w:cs="Times New Roman"/>
                <w:sz w:val="28"/>
                <w:szCs w:val="28"/>
              </w:rPr>
            </w:pPr>
            <w:r w:rsidRPr="009F35E8">
              <w:rPr>
                <w:rFonts w:ascii="Times New Roman" w:hAnsi="Times New Roman" w:cs="Times New Roman"/>
                <w:sz w:val="28"/>
                <w:szCs w:val="28"/>
              </w:rPr>
              <w:t>Программы скрининга зрения детей в мировой практик</w:t>
            </w:r>
            <w:r w:rsidR="00C83F35">
              <w:rPr>
                <w:rFonts w:ascii="Times New Roman" w:hAnsi="Times New Roman" w:cs="Times New Roman"/>
                <w:sz w:val="28"/>
                <w:szCs w:val="28"/>
              </w:rPr>
              <w:t>е</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6E3E7DC8" w14:textId="0298B99B"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5204FA" w:rsidRPr="004A1383" w14:paraId="443BFCCD" w14:textId="77777777" w:rsidTr="0058760F">
        <w:tc>
          <w:tcPr>
            <w:tcW w:w="8767" w:type="dxa"/>
            <w:gridSpan w:val="2"/>
          </w:tcPr>
          <w:p w14:paraId="3EB16BC3" w14:textId="618F3ED6" w:rsidR="005204FA" w:rsidRPr="00B91678" w:rsidRDefault="005204FA" w:rsidP="0064693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Pr="00B91678">
              <w:rPr>
                <w:rFonts w:ascii="Times New Roman" w:hAnsi="Times New Roman" w:cs="Times New Roman"/>
                <w:b/>
                <w:bCs/>
                <w:sz w:val="28"/>
                <w:szCs w:val="28"/>
              </w:rPr>
              <w:t>МАТЕРИАЛЫ И МЕТОДЫ</w:t>
            </w:r>
            <w:r>
              <w:rPr>
                <w:rFonts w:ascii="Times New Roman" w:hAnsi="Times New Roman" w:cs="Times New Roman"/>
                <w:b/>
                <w:bCs/>
                <w:sz w:val="28"/>
                <w:szCs w:val="28"/>
              </w:rPr>
              <w:t xml:space="preserve"> ИССЛЕДОВАНИЯ</w:t>
            </w:r>
            <w:r w:rsidRPr="00CA2916">
              <w:rPr>
                <w:rFonts w:ascii="Times New Roman" w:hAnsi="Times New Roman" w:cs="Times New Roman"/>
                <w:sz w:val="28"/>
                <w:szCs w:val="28"/>
              </w:rPr>
              <w:t>…</w:t>
            </w:r>
            <w:r w:rsidRPr="00B91678">
              <w:rPr>
                <w:rFonts w:ascii="Times New Roman" w:hAnsi="Times New Roman" w:cs="Times New Roman"/>
                <w:sz w:val="28"/>
                <w:szCs w:val="28"/>
              </w:rPr>
              <w:t>……</w:t>
            </w:r>
            <w:r>
              <w:rPr>
                <w:rFonts w:ascii="Times New Roman" w:hAnsi="Times New Roman" w:cs="Times New Roman"/>
                <w:sz w:val="28"/>
                <w:szCs w:val="28"/>
              </w:rPr>
              <w:t>…………</w:t>
            </w:r>
          </w:p>
        </w:tc>
        <w:tc>
          <w:tcPr>
            <w:tcW w:w="703" w:type="dxa"/>
            <w:vAlign w:val="bottom"/>
          </w:tcPr>
          <w:p w14:paraId="377FFDE5" w14:textId="5D410A5F" w:rsidR="005204FA" w:rsidRPr="004A1383" w:rsidRDefault="005204F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30A4">
              <w:rPr>
                <w:rFonts w:ascii="Times New Roman" w:hAnsi="Times New Roman" w:cs="Times New Roman"/>
                <w:sz w:val="28"/>
                <w:szCs w:val="28"/>
              </w:rPr>
              <w:t>3</w:t>
            </w:r>
          </w:p>
        </w:tc>
      </w:tr>
      <w:tr w:rsidR="009648A0" w:rsidRPr="004A1383" w14:paraId="3FAB14D7" w14:textId="77777777" w:rsidTr="0058760F">
        <w:tc>
          <w:tcPr>
            <w:tcW w:w="562" w:type="dxa"/>
          </w:tcPr>
          <w:p w14:paraId="4C5E30AB" w14:textId="77777777"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8205" w:type="dxa"/>
          </w:tcPr>
          <w:p w14:paraId="547DF50C" w14:textId="33F27F6B" w:rsidR="00D90C42"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популяции……………………………</w:t>
            </w:r>
            <w:r w:rsidR="00C83F35">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7F2EC0E5" w14:textId="2CC4B991" w:rsidR="00D90C42"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30A4">
              <w:rPr>
                <w:rFonts w:ascii="Times New Roman" w:hAnsi="Times New Roman" w:cs="Times New Roman"/>
                <w:sz w:val="28"/>
                <w:szCs w:val="28"/>
              </w:rPr>
              <w:t>3</w:t>
            </w:r>
          </w:p>
        </w:tc>
      </w:tr>
      <w:tr w:rsidR="00D90C42" w:rsidRPr="004A1383" w14:paraId="7A502854" w14:textId="77777777" w:rsidTr="0058760F">
        <w:tc>
          <w:tcPr>
            <w:tcW w:w="562" w:type="dxa"/>
          </w:tcPr>
          <w:p w14:paraId="214B5B7E"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w:t>
            </w:r>
            <w:r>
              <w:rPr>
                <w:rFonts w:ascii="Times New Roman" w:hAnsi="Times New Roman" w:cs="Times New Roman"/>
                <w:sz w:val="28"/>
                <w:szCs w:val="28"/>
              </w:rPr>
              <w:t>2</w:t>
            </w:r>
          </w:p>
        </w:tc>
        <w:tc>
          <w:tcPr>
            <w:tcW w:w="8205" w:type="dxa"/>
          </w:tcPr>
          <w:p w14:paraId="6301AD04" w14:textId="1CC0FCB3"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Характеристика и расчет выборки…</w:t>
            </w:r>
            <w:r w:rsidRPr="006178E5">
              <w:rPr>
                <w:rFonts w:ascii="Times New Roman" w:hAnsi="Times New Roman" w:cs="Times New Roman"/>
                <w:sz w:val="28"/>
                <w:szCs w:val="28"/>
              </w:rPr>
              <w:t>…</w:t>
            </w:r>
            <w:r>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52574DCA" w14:textId="7EFB296E"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30A4">
              <w:rPr>
                <w:rFonts w:ascii="Times New Roman" w:hAnsi="Times New Roman" w:cs="Times New Roman"/>
                <w:sz w:val="28"/>
                <w:szCs w:val="28"/>
              </w:rPr>
              <w:t>4</w:t>
            </w:r>
          </w:p>
        </w:tc>
      </w:tr>
      <w:tr w:rsidR="00D90C42" w:rsidRPr="004A1383" w14:paraId="30752E54" w14:textId="77777777" w:rsidTr="0058760F">
        <w:tc>
          <w:tcPr>
            <w:tcW w:w="562" w:type="dxa"/>
          </w:tcPr>
          <w:p w14:paraId="70281892"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w:t>
            </w:r>
            <w:r>
              <w:rPr>
                <w:rFonts w:ascii="Times New Roman" w:hAnsi="Times New Roman" w:cs="Times New Roman"/>
                <w:sz w:val="28"/>
                <w:szCs w:val="28"/>
              </w:rPr>
              <w:t>3</w:t>
            </w:r>
          </w:p>
        </w:tc>
        <w:tc>
          <w:tcPr>
            <w:tcW w:w="8205" w:type="dxa"/>
          </w:tcPr>
          <w:p w14:paraId="4D439532" w14:textId="169EFA0F" w:rsidR="00D90C42" w:rsidRPr="006178E5" w:rsidRDefault="00D90C42" w:rsidP="009648A0">
            <w:pPr>
              <w:spacing w:after="0" w:line="240" w:lineRule="auto"/>
              <w:jc w:val="both"/>
              <w:rPr>
                <w:rFonts w:ascii="Times New Roman" w:hAnsi="Times New Roman" w:cs="Times New Roman"/>
                <w:sz w:val="28"/>
                <w:szCs w:val="28"/>
              </w:rPr>
            </w:pPr>
            <w:bookmarkStart w:id="0" w:name="_Hlk105280046"/>
            <w:r w:rsidRPr="006178E5">
              <w:rPr>
                <w:rFonts w:ascii="Times New Roman" w:hAnsi="Times New Roman" w:cs="Times New Roman"/>
                <w:sz w:val="28"/>
                <w:szCs w:val="28"/>
              </w:rPr>
              <w:t>Метод</w:t>
            </w:r>
            <w:r>
              <w:rPr>
                <w:rFonts w:ascii="Times New Roman" w:hAnsi="Times New Roman" w:cs="Times New Roman"/>
                <w:sz w:val="28"/>
                <w:szCs w:val="28"/>
              </w:rPr>
              <w:t>ы</w:t>
            </w:r>
            <w:r w:rsidRPr="006178E5">
              <w:rPr>
                <w:rFonts w:ascii="Times New Roman" w:hAnsi="Times New Roman" w:cs="Times New Roman"/>
                <w:sz w:val="28"/>
                <w:szCs w:val="28"/>
              </w:rPr>
              <w:t xml:space="preserve"> офтальмологического обследования</w:t>
            </w:r>
            <w:bookmarkEnd w:id="0"/>
            <w:r>
              <w:rPr>
                <w:rFonts w:ascii="Times New Roman" w:hAnsi="Times New Roman" w:cs="Times New Roman"/>
                <w:sz w:val="28"/>
                <w:szCs w:val="28"/>
              </w:rPr>
              <w:t>…………….</w:t>
            </w:r>
            <w:r w:rsidRPr="006178E5">
              <w:rPr>
                <w:rFonts w:ascii="Times New Roman" w:hAnsi="Times New Roman" w:cs="Times New Roman"/>
                <w:sz w:val="28"/>
                <w:szCs w:val="28"/>
              </w:rPr>
              <w:t xml:space="preserve"> </w:t>
            </w:r>
            <w:r>
              <w:rPr>
                <w:rFonts w:ascii="Times New Roman" w:hAnsi="Times New Roman" w:cs="Times New Roman"/>
                <w:sz w:val="28"/>
                <w:szCs w:val="28"/>
              </w:rPr>
              <w:t>…</w:t>
            </w:r>
            <w:r w:rsidR="00D87DE6">
              <w:rPr>
                <w:rFonts w:ascii="Times New Roman" w:hAnsi="Times New Roman" w:cs="Times New Roman"/>
                <w:sz w:val="28"/>
                <w:szCs w:val="28"/>
              </w:rPr>
              <w:t>…</w:t>
            </w:r>
            <w:r>
              <w:rPr>
                <w:rFonts w:ascii="Times New Roman" w:hAnsi="Times New Roman" w:cs="Times New Roman"/>
                <w:sz w:val="28"/>
                <w:szCs w:val="28"/>
              </w:rPr>
              <w:t>….</w:t>
            </w:r>
          </w:p>
        </w:tc>
        <w:tc>
          <w:tcPr>
            <w:tcW w:w="703" w:type="dxa"/>
            <w:vAlign w:val="bottom"/>
          </w:tcPr>
          <w:p w14:paraId="34BF7841" w14:textId="6A02C5F4"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30A4">
              <w:rPr>
                <w:rFonts w:ascii="Times New Roman" w:hAnsi="Times New Roman" w:cs="Times New Roman"/>
                <w:sz w:val="28"/>
                <w:szCs w:val="28"/>
              </w:rPr>
              <w:t>7</w:t>
            </w:r>
          </w:p>
        </w:tc>
      </w:tr>
      <w:tr w:rsidR="00D90C42" w:rsidRPr="004A1383" w14:paraId="7B2B19DD" w14:textId="77777777" w:rsidTr="0058760F">
        <w:tc>
          <w:tcPr>
            <w:tcW w:w="562" w:type="dxa"/>
          </w:tcPr>
          <w:p w14:paraId="1A7F28C1"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w:t>
            </w:r>
            <w:r>
              <w:rPr>
                <w:rFonts w:ascii="Times New Roman" w:hAnsi="Times New Roman" w:cs="Times New Roman"/>
                <w:sz w:val="28"/>
                <w:szCs w:val="28"/>
              </w:rPr>
              <w:t>4</w:t>
            </w:r>
          </w:p>
        </w:tc>
        <w:tc>
          <w:tcPr>
            <w:tcW w:w="8205" w:type="dxa"/>
          </w:tcPr>
          <w:p w14:paraId="1B4B3E98" w14:textId="716D1DEC"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 проведения анкетирования.</w:t>
            </w:r>
            <w:r w:rsidRPr="006178E5">
              <w:rPr>
                <w:rFonts w:ascii="Times New Roman" w:hAnsi="Times New Roman" w:cs="Times New Roman"/>
                <w:sz w:val="28"/>
                <w:szCs w:val="28"/>
              </w:rPr>
              <w:t>………</w:t>
            </w:r>
            <w:r>
              <w:rPr>
                <w:rFonts w:ascii="Times New Roman" w:hAnsi="Times New Roman" w:cs="Times New Roman"/>
                <w:sz w:val="28"/>
                <w:szCs w:val="28"/>
              </w:rPr>
              <w:t>….</w:t>
            </w:r>
            <w:r w:rsidRPr="006178E5">
              <w:rPr>
                <w:rFonts w:ascii="Times New Roman" w:hAnsi="Times New Roman" w:cs="Times New Roman"/>
                <w:sz w:val="28"/>
                <w:szCs w:val="28"/>
              </w:rPr>
              <w:t>………</w:t>
            </w:r>
            <w:r w:rsidR="00C83F35">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30AD15D3" w14:textId="0A0B9837" w:rsidR="00D90C42" w:rsidRPr="004A1383"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2630A4">
              <w:rPr>
                <w:rFonts w:ascii="Times New Roman" w:hAnsi="Times New Roman" w:cs="Times New Roman"/>
                <w:sz w:val="28"/>
                <w:szCs w:val="28"/>
              </w:rPr>
              <w:t>8</w:t>
            </w:r>
          </w:p>
        </w:tc>
      </w:tr>
      <w:tr w:rsidR="00D90C42" w:rsidRPr="004A1383" w14:paraId="53F06F73" w14:textId="77777777" w:rsidTr="0058760F">
        <w:tc>
          <w:tcPr>
            <w:tcW w:w="562" w:type="dxa"/>
          </w:tcPr>
          <w:p w14:paraId="3F8C27CD"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w:t>
            </w:r>
            <w:r>
              <w:rPr>
                <w:rFonts w:ascii="Times New Roman" w:hAnsi="Times New Roman" w:cs="Times New Roman"/>
                <w:sz w:val="28"/>
                <w:szCs w:val="28"/>
              </w:rPr>
              <w:t>5</w:t>
            </w:r>
          </w:p>
        </w:tc>
        <w:tc>
          <w:tcPr>
            <w:tcW w:w="8205" w:type="dxa"/>
          </w:tcPr>
          <w:p w14:paraId="7EDFA854" w14:textId="154345A6"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и и</w:t>
            </w:r>
            <w:r w:rsidRPr="006178E5">
              <w:rPr>
                <w:rFonts w:ascii="Times New Roman" w:hAnsi="Times New Roman" w:cs="Times New Roman"/>
                <w:sz w:val="28"/>
                <w:szCs w:val="28"/>
              </w:rPr>
              <w:t>ндикаторы нарушения рефракции…………</w:t>
            </w:r>
            <w:r w:rsidR="00C83F35">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65499BF2" w14:textId="68C94D7D" w:rsidR="00D90C42" w:rsidRPr="004A1383"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D90C42" w:rsidRPr="004A1383" w14:paraId="629D088C" w14:textId="77777777" w:rsidTr="0058760F">
        <w:tc>
          <w:tcPr>
            <w:tcW w:w="562" w:type="dxa"/>
          </w:tcPr>
          <w:p w14:paraId="49F07521"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w:t>
            </w:r>
            <w:r>
              <w:rPr>
                <w:rFonts w:ascii="Times New Roman" w:hAnsi="Times New Roman" w:cs="Times New Roman"/>
                <w:sz w:val="28"/>
                <w:szCs w:val="28"/>
              </w:rPr>
              <w:t>6</w:t>
            </w:r>
          </w:p>
        </w:tc>
        <w:tc>
          <w:tcPr>
            <w:tcW w:w="8205" w:type="dxa"/>
          </w:tcPr>
          <w:p w14:paraId="28CA5179" w14:textId="4785E957" w:rsidR="00D90C42" w:rsidRPr="006178E5" w:rsidRDefault="00D90C42" w:rsidP="009648A0">
            <w:pPr>
              <w:spacing w:after="0" w:line="240" w:lineRule="auto"/>
              <w:jc w:val="both"/>
              <w:rPr>
                <w:rFonts w:ascii="Times New Roman" w:hAnsi="Times New Roman" w:cs="Times New Roman"/>
                <w:sz w:val="28"/>
                <w:szCs w:val="28"/>
              </w:rPr>
            </w:pPr>
            <w:r w:rsidRPr="00C3043C">
              <w:rPr>
                <w:rFonts w:ascii="Times New Roman" w:hAnsi="Times New Roman" w:cs="Times New Roman"/>
                <w:sz w:val="28"/>
                <w:szCs w:val="28"/>
              </w:rPr>
              <w:t>Метод проведения компьютерного дистантного скрининга</w:t>
            </w:r>
            <w:r>
              <w:rPr>
                <w:rFonts w:ascii="Times New Roman" w:hAnsi="Times New Roman" w:cs="Times New Roman"/>
                <w:sz w:val="28"/>
                <w:szCs w:val="28"/>
              </w:rPr>
              <w:t>.</w:t>
            </w:r>
            <w:r w:rsidRPr="006178E5">
              <w:rPr>
                <w:rFonts w:ascii="Times New Roman" w:hAnsi="Times New Roman" w:cs="Times New Roman"/>
                <w:sz w:val="28"/>
                <w:szCs w:val="28"/>
              </w:rPr>
              <w:t>…</w:t>
            </w:r>
            <w:r w:rsidR="00D87DE6">
              <w:rPr>
                <w:rFonts w:ascii="Times New Roman" w:hAnsi="Times New Roman" w:cs="Times New Roman"/>
                <w:sz w:val="28"/>
                <w:szCs w:val="28"/>
              </w:rPr>
              <w:t>…</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74A46AAB" w14:textId="06E89C5B"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D90C42" w:rsidRPr="004A1383" w14:paraId="3277A2BB" w14:textId="77777777" w:rsidTr="0058760F">
        <w:tc>
          <w:tcPr>
            <w:tcW w:w="562" w:type="dxa"/>
          </w:tcPr>
          <w:p w14:paraId="3D5DC863"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2.7</w:t>
            </w:r>
          </w:p>
        </w:tc>
        <w:tc>
          <w:tcPr>
            <w:tcW w:w="8205" w:type="dxa"/>
          </w:tcPr>
          <w:p w14:paraId="51DD5C86" w14:textId="75085525"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Методы статистического анализа………………….………</w:t>
            </w:r>
            <w:r w:rsidR="00C83F35">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3433635C" w14:textId="3F4DDA7F"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D90C42" w:rsidRPr="004A1383" w14:paraId="11E94519" w14:textId="77777777" w:rsidTr="0058760F">
        <w:tc>
          <w:tcPr>
            <w:tcW w:w="562" w:type="dxa"/>
          </w:tcPr>
          <w:p w14:paraId="32AA9F66" w14:textId="77777777"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8205" w:type="dxa"/>
          </w:tcPr>
          <w:p w14:paraId="56B1E020" w14:textId="5AB3509A"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Этические вопросы……………………………………………</w:t>
            </w:r>
            <w:r w:rsidR="00C83F35">
              <w:rPr>
                <w:rFonts w:ascii="Times New Roman" w:hAnsi="Times New Roman" w:cs="Times New Roman"/>
                <w:sz w:val="28"/>
                <w:szCs w:val="28"/>
              </w:rPr>
              <w:t>…</w:t>
            </w:r>
            <w:r w:rsidR="00D87DE6">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0EFFDD3" w14:textId="06DEB319" w:rsidR="00D90C42"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204FA" w:rsidRPr="004A1383" w14:paraId="33EECE00" w14:textId="77777777" w:rsidTr="0058760F">
        <w:tc>
          <w:tcPr>
            <w:tcW w:w="8767" w:type="dxa"/>
            <w:gridSpan w:val="2"/>
          </w:tcPr>
          <w:p w14:paraId="23CF65BF" w14:textId="356E7398" w:rsidR="005204FA" w:rsidRPr="00B91678" w:rsidRDefault="00646935" w:rsidP="005B0FE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5204FA">
              <w:rPr>
                <w:rFonts w:ascii="Times New Roman" w:hAnsi="Times New Roman" w:cs="Times New Roman"/>
                <w:b/>
                <w:bCs/>
                <w:sz w:val="28"/>
                <w:szCs w:val="28"/>
              </w:rPr>
              <w:t xml:space="preserve"> </w:t>
            </w:r>
            <w:r w:rsidR="005204FA" w:rsidRPr="00B91678">
              <w:rPr>
                <w:rFonts w:ascii="Times New Roman" w:hAnsi="Times New Roman" w:cs="Times New Roman"/>
                <w:b/>
                <w:bCs/>
                <w:sz w:val="28"/>
                <w:szCs w:val="28"/>
              </w:rPr>
              <w:t xml:space="preserve">РЕЗУЛЬТАТЫ </w:t>
            </w:r>
            <w:r w:rsidR="005204FA">
              <w:rPr>
                <w:rFonts w:ascii="Times New Roman" w:hAnsi="Times New Roman" w:cs="Times New Roman"/>
                <w:b/>
                <w:bCs/>
                <w:sz w:val="28"/>
                <w:szCs w:val="28"/>
              </w:rPr>
              <w:t xml:space="preserve">СОБСТВЕННЫХ </w:t>
            </w:r>
            <w:r w:rsidR="005204FA" w:rsidRPr="00B91678">
              <w:rPr>
                <w:rFonts w:ascii="Times New Roman" w:hAnsi="Times New Roman" w:cs="Times New Roman"/>
                <w:b/>
                <w:bCs/>
                <w:sz w:val="28"/>
                <w:szCs w:val="28"/>
              </w:rPr>
              <w:t xml:space="preserve">ИССЛЕДОВАНИЙ </w:t>
            </w:r>
            <w:r w:rsidR="005B0FEE" w:rsidRPr="00CA2916">
              <w:rPr>
                <w:rFonts w:ascii="Times New Roman" w:hAnsi="Times New Roman" w:cs="Times New Roman"/>
                <w:sz w:val="28"/>
                <w:szCs w:val="28"/>
              </w:rPr>
              <w:t>…</w:t>
            </w:r>
            <w:r w:rsidR="005B0FEE" w:rsidRPr="00B91678">
              <w:rPr>
                <w:rFonts w:ascii="Times New Roman" w:hAnsi="Times New Roman" w:cs="Times New Roman"/>
                <w:sz w:val="28"/>
                <w:szCs w:val="28"/>
              </w:rPr>
              <w:t>……</w:t>
            </w:r>
            <w:r w:rsidR="005B0FEE">
              <w:rPr>
                <w:rFonts w:ascii="Times New Roman" w:hAnsi="Times New Roman" w:cs="Times New Roman"/>
                <w:sz w:val="28"/>
                <w:szCs w:val="28"/>
              </w:rPr>
              <w:t>……</w:t>
            </w:r>
          </w:p>
        </w:tc>
        <w:tc>
          <w:tcPr>
            <w:tcW w:w="703" w:type="dxa"/>
            <w:vAlign w:val="bottom"/>
          </w:tcPr>
          <w:p w14:paraId="667F1252" w14:textId="5D2868E4" w:rsidR="005204FA" w:rsidRPr="004A1383" w:rsidRDefault="004E6EDA" w:rsidP="00971C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D90C42" w:rsidRPr="004A1383" w14:paraId="5A1A256A" w14:textId="77777777" w:rsidTr="0058760F">
        <w:tc>
          <w:tcPr>
            <w:tcW w:w="562" w:type="dxa"/>
          </w:tcPr>
          <w:p w14:paraId="6B61934A" w14:textId="77777777"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3.1</w:t>
            </w:r>
          </w:p>
        </w:tc>
        <w:tc>
          <w:tcPr>
            <w:tcW w:w="8205" w:type="dxa"/>
          </w:tcPr>
          <w:p w14:paraId="195C6E0E" w14:textId="0EA7F25C" w:rsidR="00D90C42" w:rsidRPr="006178E5" w:rsidRDefault="00D90C42" w:rsidP="009648A0">
            <w:pPr>
              <w:spacing w:after="0" w:line="240" w:lineRule="auto"/>
              <w:jc w:val="both"/>
              <w:rPr>
                <w:rFonts w:ascii="Times New Roman" w:hAnsi="Times New Roman" w:cs="Times New Roman"/>
                <w:sz w:val="28"/>
                <w:szCs w:val="28"/>
              </w:rPr>
            </w:pPr>
            <w:r w:rsidRPr="006178E5">
              <w:rPr>
                <w:rFonts w:ascii="Times New Roman" w:hAnsi="Times New Roman" w:cs="Times New Roman"/>
                <w:sz w:val="28"/>
                <w:szCs w:val="28"/>
              </w:rPr>
              <w:t xml:space="preserve">Распространенность и структура нарушений рефракции </w:t>
            </w:r>
            <w:r>
              <w:rPr>
                <w:rFonts w:ascii="Times New Roman" w:hAnsi="Times New Roman" w:cs="Times New Roman"/>
                <w:sz w:val="28"/>
                <w:szCs w:val="28"/>
              </w:rPr>
              <w:t>среди</w:t>
            </w:r>
            <w:r w:rsidRPr="006178E5">
              <w:rPr>
                <w:rFonts w:ascii="Times New Roman" w:hAnsi="Times New Roman" w:cs="Times New Roman"/>
                <w:sz w:val="28"/>
                <w:szCs w:val="28"/>
              </w:rPr>
              <w:t xml:space="preserve"> школьников г.Алматы…………………….……………</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9F6BF6B" w14:textId="7309BB9B" w:rsidR="00D90C42" w:rsidRPr="004A1383" w:rsidRDefault="004E6EDA" w:rsidP="00971CC9">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49</w:t>
            </w:r>
          </w:p>
        </w:tc>
      </w:tr>
      <w:tr w:rsidR="00D90C42" w:rsidRPr="004A1383" w14:paraId="3AC8DA3F" w14:textId="77777777" w:rsidTr="0058760F">
        <w:tc>
          <w:tcPr>
            <w:tcW w:w="562" w:type="dxa"/>
          </w:tcPr>
          <w:p w14:paraId="381A4087" w14:textId="77777777"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c>
          <w:tcPr>
            <w:tcW w:w="8205" w:type="dxa"/>
          </w:tcPr>
          <w:p w14:paraId="622A5FE5" w14:textId="448F718B" w:rsidR="00D90C42" w:rsidRPr="006178E5" w:rsidRDefault="00D90C42" w:rsidP="009648A0">
            <w:pPr>
              <w:spacing w:after="0" w:line="240" w:lineRule="auto"/>
              <w:jc w:val="both"/>
              <w:rPr>
                <w:rFonts w:ascii="Times New Roman" w:hAnsi="Times New Roman" w:cs="Times New Roman"/>
                <w:sz w:val="28"/>
                <w:szCs w:val="28"/>
              </w:rPr>
            </w:pPr>
            <w:r w:rsidRPr="00754DE0">
              <w:rPr>
                <w:rFonts w:ascii="Times New Roman" w:hAnsi="Times New Roman" w:cs="Times New Roman"/>
                <w:sz w:val="28"/>
                <w:szCs w:val="28"/>
              </w:rPr>
              <w:t>Факторы риска развития миопии у школьников</w:t>
            </w:r>
            <w:r w:rsidR="00C83F35">
              <w:rPr>
                <w:rFonts w:ascii="Times New Roman" w:hAnsi="Times New Roman" w:cs="Times New Roman"/>
                <w:sz w:val="28"/>
                <w:szCs w:val="28"/>
              </w:rPr>
              <w:t>…………………</w:t>
            </w:r>
          </w:p>
        </w:tc>
        <w:tc>
          <w:tcPr>
            <w:tcW w:w="703" w:type="dxa"/>
            <w:vAlign w:val="bottom"/>
          </w:tcPr>
          <w:p w14:paraId="0EADC0C4" w14:textId="6DE88046" w:rsidR="00D90C42"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6A37E2">
              <w:rPr>
                <w:rFonts w:ascii="Times New Roman" w:hAnsi="Times New Roman" w:cs="Times New Roman"/>
                <w:sz w:val="28"/>
                <w:szCs w:val="28"/>
              </w:rPr>
              <w:t>9</w:t>
            </w:r>
          </w:p>
        </w:tc>
      </w:tr>
      <w:tr w:rsidR="00D90C42" w:rsidRPr="004A1383" w14:paraId="05414906" w14:textId="77777777" w:rsidTr="0058760F">
        <w:tc>
          <w:tcPr>
            <w:tcW w:w="562" w:type="dxa"/>
          </w:tcPr>
          <w:p w14:paraId="466981D2" w14:textId="77777777" w:rsidR="00D90C42" w:rsidRPr="006178E5"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205" w:type="dxa"/>
          </w:tcPr>
          <w:p w14:paraId="58A63472" w14:textId="5156226C" w:rsidR="00D90C42" w:rsidRPr="006178E5" w:rsidRDefault="00D90C42" w:rsidP="009648A0">
            <w:pPr>
              <w:spacing w:after="0" w:line="240" w:lineRule="auto"/>
              <w:jc w:val="both"/>
              <w:rPr>
                <w:rFonts w:ascii="Times New Roman" w:hAnsi="Times New Roman" w:cs="Times New Roman"/>
                <w:sz w:val="28"/>
                <w:szCs w:val="28"/>
              </w:rPr>
            </w:pPr>
            <w:r w:rsidRPr="00754DE0">
              <w:rPr>
                <w:rFonts w:ascii="Times New Roman" w:hAnsi="Times New Roman" w:cs="Times New Roman"/>
                <w:sz w:val="28"/>
                <w:szCs w:val="28"/>
              </w:rPr>
              <w:t>Дистантный компьютерный скрининг</w:t>
            </w:r>
            <w:r w:rsidR="00C83F35">
              <w:rPr>
                <w:rFonts w:ascii="Times New Roman" w:hAnsi="Times New Roman" w:cs="Times New Roman"/>
                <w:sz w:val="28"/>
                <w:szCs w:val="28"/>
              </w:rPr>
              <w:t>…………………………...</w:t>
            </w:r>
          </w:p>
        </w:tc>
        <w:tc>
          <w:tcPr>
            <w:tcW w:w="703" w:type="dxa"/>
            <w:vAlign w:val="bottom"/>
          </w:tcPr>
          <w:p w14:paraId="7B36ED7A" w14:textId="002639A8" w:rsidR="00D90C42" w:rsidRDefault="00D90C42"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4E6EDA">
              <w:rPr>
                <w:rFonts w:ascii="Times New Roman" w:hAnsi="Times New Roman" w:cs="Times New Roman"/>
                <w:sz w:val="28"/>
                <w:szCs w:val="28"/>
              </w:rPr>
              <w:t>7</w:t>
            </w:r>
          </w:p>
        </w:tc>
      </w:tr>
      <w:tr w:rsidR="00D90C42" w:rsidRPr="004A1383" w14:paraId="453EBD6F" w14:textId="77777777" w:rsidTr="0058760F">
        <w:tc>
          <w:tcPr>
            <w:tcW w:w="562" w:type="dxa"/>
          </w:tcPr>
          <w:p w14:paraId="349B2DA4" w14:textId="77777777" w:rsidR="00D90C42" w:rsidRDefault="00D90C42" w:rsidP="00964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205" w:type="dxa"/>
          </w:tcPr>
          <w:p w14:paraId="4032CAD7" w14:textId="28C664D2" w:rsidR="00D90C42" w:rsidRPr="00754DE0" w:rsidRDefault="00D90C42" w:rsidP="009648A0">
            <w:pPr>
              <w:spacing w:after="0" w:line="240" w:lineRule="auto"/>
              <w:jc w:val="both"/>
              <w:rPr>
                <w:rFonts w:ascii="Times New Roman" w:hAnsi="Times New Roman" w:cs="Times New Roman"/>
                <w:sz w:val="28"/>
                <w:szCs w:val="28"/>
              </w:rPr>
            </w:pPr>
            <w:r w:rsidRPr="004C42AA">
              <w:rPr>
                <w:rFonts w:ascii="Times New Roman" w:hAnsi="Times New Roman" w:cs="Times New Roman"/>
                <w:sz w:val="28"/>
                <w:szCs w:val="28"/>
              </w:rPr>
              <w:t>Программа профилактики развития и прогрессирования аномалий рефракции у школьников</w:t>
            </w:r>
            <w:r w:rsidR="00C83F35">
              <w:rPr>
                <w:rFonts w:ascii="Times New Roman" w:hAnsi="Times New Roman" w:cs="Times New Roman"/>
                <w:sz w:val="28"/>
                <w:szCs w:val="28"/>
              </w:rPr>
              <w:t>………………………………</w:t>
            </w:r>
          </w:p>
        </w:tc>
        <w:tc>
          <w:tcPr>
            <w:tcW w:w="703" w:type="dxa"/>
            <w:vAlign w:val="bottom"/>
          </w:tcPr>
          <w:p w14:paraId="779C60E9" w14:textId="797CE9D4" w:rsidR="00D90C42" w:rsidRDefault="003263A3"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00695B98">
              <w:rPr>
                <w:rFonts w:ascii="Times New Roman" w:hAnsi="Times New Roman" w:cs="Times New Roman"/>
                <w:sz w:val="28"/>
                <w:szCs w:val="28"/>
              </w:rPr>
              <w:t>1</w:t>
            </w:r>
          </w:p>
        </w:tc>
      </w:tr>
      <w:tr w:rsidR="00D90C42" w:rsidRPr="004A1383" w14:paraId="4D5FA58B" w14:textId="77777777" w:rsidTr="0058760F">
        <w:tc>
          <w:tcPr>
            <w:tcW w:w="8767" w:type="dxa"/>
            <w:gridSpan w:val="2"/>
          </w:tcPr>
          <w:p w14:paraId="12F62FA8" w14:textId="19FE4DBF" w:rsidR="00D90C42" w:rsidRPr="00B91678" w:rsidRDefault="00D90C42" w:rsidP="009648A0">
            <w:pPr>
              <w:spacing w:after="0" w:line="240" w:lineRule="auto"/>
              <w:jc w:val="both"/>
              <w:rPr>
                <w:rFonts w:ascii="Times New Roman" w:hAnsi="Times New Roman" w:cs="Times New Roman"/>
                <w:b/>
                <w:bCs/>
                <w:sz w:val="28"/>
                <w:szCs w:val="28"/>
              </w:rPr>
            </w:pPr>
            <w:r w:rsidRPr="00B91678">
              <w:rPr>
                <w:rFonts w:ascii="Times New Roman" w:hAnsi="Times New Roman" w:cs="Times New Roman"/>
                <w:b/>
                <w:bCs/>
                <w:sz w:val="28"/>
                <w:szCs w:val="28"/>
              </w:rPr>
              <w:t xml:space="preserve">ЗАКЛЮЧЕНИЕ </w:t>
            </w:r>
            <w:r w:rsidRPr="00B91678">
              <w:rPr>
                <w:rFonts w:ascii="Times New Roman" w:hAnsi="Times New Roman" w:cs="Times New Roman"/>
                <w:sz w:val="28"/>
                <w:szCs w:val="28"/>
              </w:rPr>
              <w:t>………………………………………</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098EFBD4" w14:textId="342631B1" w:rsidR="00D90C42" w:rsidRPr="004A1383" w:rsidRDefault="004E6EDA" w:rsidP="00D02C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D90C42" w:rsidRPr="004A1383" w14:paraId="32FFCBCA" w14:textId="77777777" w:rsidTr="0058760F">
        <w:tc>
          <w:tcPr>
            <w:tcW w:w="8767" w:type="dxa"/>
            <w:gridSpan w:val="2"/>
          </w:tcPr>
          <w:p w14:paraId="695EA1CE" w14:textId="313C3477" w:rsidR="00D90C42" w:rsidRPr="00B91678" w:rsidRDefault="00D90C42" w:rsidP="009648A0">
            <w:pPr>
              <w:spacing w:after="0" w:line="240" w:lineRule="auto"/>
              <w:jc w:val="both"/>
              <w:rPr>
                <w:rFonts w:ascii="Times New Roman" w:hAnsi="Times New Roman" w:cs="Times New Roman"/>
                <w:b/>
                <w:bCs/>
                <w:sz w:val="28"/>
                <w:szCs w:val="28"/>
              </w:rPr>
            </w:pPr>
            <w:r w:rsidRPr="00B91678">
              <w:rPr>
                <w:rFonts w:ascii="Times New Roman" w:hAnsi="Times New Roman" w:cs="Times New Roman"/>
                <w:b/>
                <w:bCs/>
                <w:sz w:val="28"/>
                <w:szCs w:val="28"/>
              </w:rPr>
              <w:t xml:space="preserve">ПРАКТИЧЕСКИЕ РЕКОМЕНДАЦИИ </w:t>
            </w:r>
            <w:r w:rsidRPr="00B91678">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6E7253A5" w14:textId="73EC1081" w:rsidR="00D90C42" w:rsidRPr="004A1383" w:rsidRDefault="002A0299" w:rsidP="004E6E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4E6EDA">
              <w:rPr>
                <w:rFonts w:ascii="Times New Roman" w:hAnsi="Times New Roman" w:cs="Times New Roman"/>
                <w:sz w:val="28"/>
                <w:szCs w:val="28"/>
              </w:rPr>
              <w:t>5</w:t>
            </w:r>
          </w:p>
        </w:tc>
      </w:tr>
      <w:tr w:rsidR="00D90C42" w:rsidRPr="004A1383" w14:paraId="3B281351" w14:textId="77777777" w:rsidTr="0058760F">
        <w:tc>
          <w:tcPr>
            <w:tcW w:w="8767" w:type="dxa"/>
            <w:gridSpan w:val="2"/>
          </w:tcPr>
          <w:p w14:paraId="1A39DF20" w14:textId="0F5D939B" w:rsidR="00D90C42" w:rsidRPr="00B91678" w:rsidRDefault="00D90C42" w:rsidP="009648A0">
            <w:pPr>
              <w:spacing w:after="0" w:line="240" w:lineRule="auto"/>
              <w:jc w:val="both"/>
              <w:rPr>
                <w:rFonts w:ascii="Times New Roman" w:hAnsi="Times New Roman" w:cs="Times New Roman"/>
                <w:b/>
                <w:bCs/>
                <w:sz w:val="28"/>
                <w:szCs w:val="28"/>
              </w:rPr>
            </w:pPr>
            <w:r w:rsidRPr="00B91678">
              <w:rPr>
                <w:rFonts w:ascii="Times New Roman" w:hAnsi="Times New Roman" w:cs="Times New Roman"/>
                <w:b/>
                <w:bCs/>
                <w:sz w:val="28"/>
                <w:szCs w:val="28"/>
              </w:rPr>
              <w:t xml:space="preserve">СПИСОК ИСПОЛЬЗОВАННЫХ ИСТОЧНИКОВ </w:t>
            </w:r>
            <w:r w:rsidRPr="00B91678">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393180D4" w14:textId="4ACE4CEF" w:rsidR="00D90C42" w:rsidRPr="004A1383" w:rsidRDefault="002A0299" w:rsidP="004E6E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4E6EDA">
              <w:rPr>
                <w:rFonts w:ascii="Times New Roman" w:hAnsi="Times New Roman" w:cs="Times New Roman"/>
                <w:sz w:val="28"/>
                <w:szCs w:val="28"/>
              </w:rPr>
              <w:t>7</w:t>
            </w:r>
          </w:p>
        </w:tc>
      </w:tr>
      <w:tr w:rsidR="00D90C42" w:rsidRPr="004A1383" w14:paraId="0CA9AEA8" w14:textId="77777777" w:rsidTr="0058760F">
        <w:tc>
          <w:tcPr>
            <w:tcW w:w="8767" w:type="dxa"/>
            <w:gridSpan w:val="2"/>
          </w:tcPr>
          <w:p w14:paraId="0B79DD26" w14:textId="10EFAD02" w:rsidR="00D90C42" w:rsidRPr="00B91678" w:rsidRDefault="00D90C42" w:rsidP="009648A0">
            <w:pPr>
              <w:spacing w:after="0" w:line="240" w:lineRule="auto"/>
              <w:jc w:val="both"/>
              <w:rPr>
                <w:rFonts w:ascii="Times New Roman" w:hAnsi="Times New Roman" w:cs="Times New Roman"/>
                <w:b/>
                <w:bCs/>
                <w:sz w:val="28"/>
                <w:szCs w:val="28"/>
              </w:rPr>
            </w:pPr>
            <w:r w:rsidRPr="00B91678">
              <w:rPr>
                <w:rFonts w:ascii="Times New Roman" w:hAnsi="Times New Roman" w:cs="Times New Roman"/>
                <w:b/>
                <w:bCs/>
                <w:sz w:val="28"/>
                <w:szCs w:val="28"/>
              </w:rPr>
              <w:t xml:space="preserve">ПРИЛОЖЕНИЯ </w:t>
            </w:r>
            <w:r w:rsidRPr="00B91678">
              <w:rPr>
                <w:rFonts w:ascii="Times New Roman" w:hAnsi="Times New Roman" w:cs="Times New Roman"/>
                <w:sz w:val="28"/>
                <w:szCs w:val="28"/>
              </w:rPr>
              <w:t>……………………………………………</w:t>
            </w:r>
            <w:r>
              <w:rPr>
                <w:rFonts w:ascii="Times New Roman" w:hAnsi="Times New Roman" w:cs="Times New Roman"/>
                <w:sz w:val="28"/>
                <w:szCs w:val="28"/>
              </w:rPr>
              <w:t>...</w:t>
            </w:r>
            <w:r w:rsidR="00C83F35">
              <w:rPr>
                <w:rFonts w:ascii="Times New Roman" w:hAnsi="Times New Roman" w:cs="Times New Roman"/>
                <w:sz w:val="28"/>
                <w:szCs w:val="28"/>
              </w:rPr>
              <w:t>..................</w:t>
            </w:r>
          </w:p>
        </w:tc>
        <w:tc>
          <w:tcPr>
            <w:tcW w:w="703" w:type="dxa"/>
            <w:vAlign w:val="bottom"/>
          </w:tcPr>
          <w:p w14:paraId="5D25C2A9" w14:textId="155DCDFF" w:rsidR="00D90C42" w:rsidRPr="004A1383" w:rsidRDefault="002A0299" w:rsidP="00072D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072DF2">
              <w:rPr>
                <w:rFonts w:ascii="Times New Roman" w:hAnsi="Times New Roman" w:cs="Times New Roman"/>
                <w:sz w:val="28"/>
                <w:szCs w:val="28"/>
                <w:lang w:val="en-US"/>
              </w:rPr>
              <w:t>6</w:t>
            </w:r>
          </w:p>
        </w:tc>
      </w:tr>
    </w:tbl>
    <w:p w14:paraId="146457B6" w14:textId="77777777" w:rsidR="00B77266" w:rsidRDefault="00B77266" w:rsidP="008466B9">
      <w:pPr>
        <w:spacing w:after="0" w:line="240" w:lineRule="auto"/>
        <w:jc w:val="center"/>
        <w:rPr>
          <w:rFonts w:ascii="Times New Roman" w:eastAsiaTheme="minorHAnsi" w:hAnsi="Times New Roman" w:cs="Times New Roman"/>
          <w:b/>
          <w:bCs/>
          <w:sz w:val="28"/>
          <w:szCs w:val="28"/>
          <w:lang w:eastAsia="en-US"/>
        </w:rPr>
      </w:pPr>
    </w:p>
    <w:p w14:paraId="46CD2F07" w14:textId="4892061F" w:rsidR="00B77266" w:rsidRDefault="00CF5A58" w:rsidP="00CF5A58">
      <w:pPr>
        <w:spacing w:after="160" w:line="259" w:lineRule="auto"/>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br w:type="page"/>
      </w:r>
    </w:p>
    <w:p w14:paraId="12DEFAA6" w14:textId="4D05BF58" w:rsidR="008466B9" w:rsidRPr="008466B9" w:rsidRDefault="008466B9" w:rsidP="008466B9">
      <w:pPr>
        <w:spacing w:after="0" w:line="240" w:lineRule="auto"/>
        <w:jc w:val="center"/>
        <w:rPr>
          <w:rFonts w:ascii="Times New Roman" w:eastAsiaTheme="minorHAnsi" w:hAnsi="Times New Roman" w:cs="Times New Roman"/>
          <w:b/>
          <w:bCs/>
          <w:sz w:val="28"/>
          <w:szCs w:val="28"/>
          <w:lang w:eastAsia="en-US"/>
        </w:rPr>
      </w:pPr>
      <w:r w:rsidRPr="008466B9">
        <w:rPr>
          <w:rFonts w:ascii="Times New Roman" w:eastAsiaTheme="minorHAnsi" w:hAnsi="Times New Roman" w:cs="Times New Roman"/>
          <w:b/>
          <w:bCs/>
          <w:sz w:val="28"/>
          <w:szCs w:val="28"/>
          <w:lang w:eastAsia="en-US"/>
        </w:rPr>
        <w:lastRenderedPageBreak/>
        <w:t>НОРМАТИВНЫЕ ССЫЛКИ</w:t>
      </w:r>
    </w:p>
    <w:p w14:paraId="0F427D03" w14:textId="77777777" w:rsidR="008466B9" w:rsidRPr="008466B9" w:rsidRDefault="008466B9" w:rsidP="008466B9">
      <w:pPr>
        <w:spacing w:after="0" w:line="240" w:lineRule="auto"/>
        <w:ind w:firstLine="709"/>
        <w:rPr>
          <w:rFonts w:ascii="Times New Roman" w:eastAsiaTheme="minorHAnsi" w:hAnsi="Times New Roman" w:cs="Times New Roman"/>
          <w:b/>
          <w:bCs/>
          <w:sz w:val="28"/>
          <w:szCs w:val="28"/>
          <w:lang w:eastAsia="en-US"/>
        </w:rPr>
      </w:pPr>
    </w:p>
    <w:p w14:paraId="04C2933E" w14:textId="77777777" w:rsidR="008466B9" w:rsidRPr="008466B9" w:rsidRDefault="008466B9" w:rsidP="008466B9">
      <w:pPr>
        <w:spacing w:after="0" w:line="240" w:lineRule="auto"/>
        <w:jc w:val="center"/>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В настоящей диссертации использованы ссылки на следующие нормативно-правовые акты и стандарты:</w:t>
      </w:r>
    </w:p>
    <w:p w14:paraId="443E975D"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p>
    <w:p w14:paraId="3041AB5E"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ГОСТ 7.1-2003. Библиографическая запись. Библиографическое описание. Общее требования и правила составления.</w:t>
      </w:r>
    </w:p>
    <w:p w14:paraId="62581428"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680A28A8"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Приказ Министра здравоохранения Республики Казахстан от 16 августа 2017 года № 611 «Об утверждении Санитарных правил "Санитарно-эпидемиологические требования к объектам образования"»</w:t>
      </w:r>
    </w:p>
    <w:p w14:paraId="68C6A4F9"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Приказ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w:t>
      </w:r>
    </w:p>
    <w:p w14:paraId="27B3CC89"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p w14:paraId="37BA62B6"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Санитарные нормы РК 1.01-01-2011 «Государственные нормативы в области архитектуры, градостроительства и строительства. Основные положения»</w:t>
      </w:r>
    </w:p>
    <w:p w14:paraId="0469A9C7"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eastAsia="en-US"/>
        </w:rPr>
      </w:pPr>
      <w:r w:rsidRPr="008466B9">
        <w:rPr>
          <w:rFonts w:ascii="Times New Roman" w:eastAsiaTheme="minorHAnsi" w:hAnsi="Times New Roman" w:cs="Times New Roman"/>
          <w:sz w:val="28"/>
          <w:szCs w:val="28"/>
          <w:lang w:eastAsia="en-US"/>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
    <w:p w14:paraId="64A2D99C" w14:textId="77777777" w:rsidR="008466B9" w:rsidRPr="008466B9" w:rsidRDefault="008466B9" w:rsidP="008466B9">
      <w:pPr>
        <w:spacing w:after="0" w:line="240" w:lineRule="auto"/>
        <w:ind w:firstLine="709"/>
        <w:jc w:val="both"/>
        <w:rPr>
          <w:rFonts w:ascii="Times New Roman" w:eastAsiaTheme="minorHAnsi" w:hAnsi="Times New Roman" w:cs="Times New Roman"/>
          <w:sz w:val="28"/>
          <w:szCs w:val="28"/>
          <w:lang w:val="en-US" w:eastAsia="en-US"/>
        </w:rPr>
      </w:pPr>
      <w:r w:rsidRPr="008466B9">
        <w:rPr>
          <w:rFonts w:ascii="Times New Roman" w:eastAsiaTheme="minorHAnsi" w:hAnsi="Times New Roman" w:cs="Times New Roman"/>
          <w:sz w:val="28"/>
          <w:szCs w:val="28"/>
          <w:lang w:val="en-US" w:eastAsia="en-US"/>
        </w:rPr>
        <w:t>ISO 8596:2017 Ophthalmic optics — Visual acuity testing — Standard and clinical optotypes and their presentation</w:t>
      </w:r>
    </w:p>
    <w:p w14:paraId="2066791B" w14:textId="1645287F" w:rsidR="00AD3800" w:rsidRPr="008F37DF" w:rsidRDefault="008466B9" w:rsidP="008F37DF">
      <w:pPr>
        <w:spacing w:after="0" w:line="240" w:lineRule="auto"/>
        <w:ind w:firstLine="709"/>
        <w:jc w:val="both"/>
        <w:rPr>
          <w:rFonts w:ascii="Times New Roman" w:eastAsiaTheme="minorHAnsi" w:hAnsi="Times New Roman" w:cs="Times New Roman"/>
          <w:b/>
          <w:bCs/>
          <w:sz w:val="28"/>
          <w:szCs w:val="28"/>
          <w:lang w:eastAsia="en-US"/>
        </w:rPr>
      </w:pPr>
      <w:r w:rsidRPr="008466B9">
        <w:rPr>
          <w:rFonts w:ascii="Times New Roman" w:eastAsiaTheme="minorHAnsi" w:hAnsi="Times New Roman" w:cs="Times New Roman"/>
          <w:sz w:val="28"/>
          <w:szCs w:val="28"/>
          <w:lang w:val="en-US" w:eastAsia="en-US"/>
        </w:rPr>
        <w:t xml:space="preserve">World Health Organization. Assessment of the prevalence of visual impairment attributable to refractive error or other causes in schoolchildren. </w:t>
      </w:r>
      <w:r w:rsidRPr="008466B9">
        <w:rPr>
          <w:rFonts w:ascii="Times New Roman" w:eastAsiaTheme="minorHAnsi" w:hAnsi="Times New Roman" w:cs="Times New Roman"/>
          <w:sz w:val="28"/>
          <w:szCs w:val="28"/>
          <w:lang w:eastAsia="en-US"/>
        </w:rPr>
        <w:t>Protocol and manual of procedures. [Протокол и руководство исследований нарушений рефракции у детей для оценки распространенности нарушений зрения, связанных с аномалиями рефракции или другими причинами]</w:t>
      </w:r>
      <w:r w:rsidRPr="008466B9">
        <w:rPr>
          <w:rFonts w:ascii="Times New Roman" w:eastAsiaTheme="minorHAnsi" w:hAnsi="Times New Roman" w:cs="Times New Roman"/>
          <w:b/>
          <w:bCs/>
          <w:sz w:val="28"/>
          <w:szCs w:val="28"/>
          <w:lang w:eastAsia="en-US"/>
        </w:rPr>
        <w:t xml:space="preserve"> </w:t>
      </w:r>
    </w:p>
    <w:p w14:paraId="10841727"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59995E11"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6F386002"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7AE932C6"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46259EA8"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56D826C7"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70E06DDA"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63B006CD"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2688FFBC"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33FE946D" w14:textId="77777777" w:rsidR="00B77266" w:rsidRDefault="00B77266" w:rsidP="008466B9">
      <w:pPr>
        <w:spacing w:after="0" w:line="240" w:lineRule="auto"/>
        <w:ind w:firstLine="709"/>
        <w:jc w:val="both"/>
        <w:rPr>
          <w:rFonts w:ascii="Times New Roman" w:eastAsiaTheme="minorHAnsi" w:hAnsi="Times New Roman" w:cs="Times New Roman"/>
          <w:b/>
          <w:bCs/>
          <w:sz w:val="28"/>
          <w:szCs w:val="28"/>
          <w:lang w:eastAsia="en-US"/>
        </w:rPr>
      </w:pPr>
    </w:p>
    <w:p w14:paraId="667299E6" w14:textId="4890EABF" w:rsidR="00B87F64" w:rsidRDefault="00B87F64" w:rsidP="008466B9">
      <w:pPr>
        <w:spacing w:after="0" w:line="24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14:paraId="0039BAB0" w14:textId="000457BF" w:rsidR="00BB5BE8" w:rsidRPr="004804AA" w:rsidRDefault="00BB5BE8" w:rsidP="005C37DF">
      <w:pPr>
        <w:pStyle w:val="a4"/>
        <w:jc w:val="center"/>
        <w:rPr>
          <w:rFonts w:ascii="Times New Roman" w:hAnsi="Times New Roman" w:cs="Times New Roman"/>
          <w:b/>
          <w:bCs/>
          <w:sz w:val="28"/>
          <w:szCs w:val="28"/>
        </w:rPr>
      </w:pPr>
      <w:r w:rsidRPr="004804AA">
        <w:rPr>
          <w:rFonts w:ascii="Times New Roman" w:hAnsi="Times New Roman" w:cs="Times New Roman"/>
          <w:b/>
          <w:bCs/>
          <w:sz w:val="28"/>
          <w:szCs w:val="28"/>
        </w:rPr>
        <w:lastRenderedPageBreak/>
        <w:t>ОПРЕДЕЛЕНИЯ</w:t>
      </w:r>
    </w:p>
    <w:p w14:paraId="58A632D9" w14:textId="77777777" w:rsidR="00DE3215" w:rsidRPr="004804AA" w:rsidRDefault="00DE3215" w:rsidP="002024A6">
      <w:pPr>
        <w:pStyle w:val="a4"/>
        <w:jc w:val="both"/>
        <w:rPr>
          <w:rFonts w:ascii="Times New Roman" w:hAnsi="Times New Roman" w:cs="Times New Roman"/>
          <w:sz w:val="28"/>
          <w:szCs w:val="28"/>
        </w:rPr>
      </w:pPr>
    </w:p>
    <w:p w14:paraId="49EBFEC6"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7D99D0EF"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Аккомодация</w:t>
      </w:r>
      <w:r w:rsidRPr="00405149">
        <w:rPr>
          <w:rFonts w:ascii="Times New Roman" w:hAnsi="Times New Roman" w:cs="Times New Roman"/>
          <w:sz w:val="28"/>
          <w:szCs w:val="28"/>
        </w:rPr>
        <w:t xml:space="preserve"> - изменение преломляющей силы оптической системы глаза для ясного восприятия объектов, расположенных на разном расстоянии. Усиление рефракции глаза при переводе взгляда с более далеких предметов на более близкие происходит за счет напряжения аккомодационных мышц и изменения кривизны хрусталика. </w:t>
      </w:r>
    </w:p>
    <w:p w14:paraId="10F16D51"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Аметропия (аномалии рефракции, нарушение рефракции, ошибки рефракции)</w:t>
      </w:r>
      <w:r w:rsidRPr="00405149">
        <w:rPr>
          <w:rFonts w:ascii="Times New Roman" w:hAnsi="Times New Roman" w:cs="Times New Roman"/>
          <w:sz w:val="28"/>
          <w:szCs w:val="28"/>
        </w:rPr>
        <w:t xml:space="preserve"> - несоразмерная рефракция – главный фокус оптической системы глаза не совпадает с сетчаткой. Включает в себя следующие виды аметропий: миопия, гиперметропия, астигматизм, пресбиопия.</w:t>
      </w:r>
    </w:p>
    <w:p w14:paraId="18FB8615"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 xml:space="preserve">Астигматизм </w:t>
      </w:r>
      <w:r w:rsidRPr="00405149">
        <w:rPr>
          <w:rFonts w:ascii="Times New Roman" w:hAnsi="Times New Roman" w:cs="Times New Roman"/>
          <w:sz w:val="28"/>
          <w:szCs w:val="28"/>
        </w:rPr>
        <w:t>- различия в преломляющей силе оптической системы глаза во взаимно перпендикулярных осях. Обусловлена несферической кривизной роговицы или хрусталика либо изменением формы глазного яблока. Для коррекции астигматизма используются цилиндрические линзы (вогнутые или выпуклые вдоль одной из рефракционных осей и не имеют рефракционной силы по другой).</w:t>
      </w:r>
    </w:p>
    <w:p w14:paraId="04539C50" w14:textId="77777777" w:rsidR="002024A6" w:rsidRDefault="002024A6" w:rsidP="002024A6">
      <w:pPr>
        <w:pStyle w:val="a4"/>
        <w:ind w:firstLine="709"/>
        <w:jc w:val="both"/>
      </w:pPr>
      <w:r w:rsidRPr="00405149">
        <w:rPr>
          <w:rFonts w:ascii="Times New Roman" w:hAnsi="Times New Roman" w:cs="Times New Roman"/>
          <w:b/>
          <w:bCs/>
          <w:color w:val="000000"/>
          <w:sz w:val="28"/>
          <w:szCs w:val="28"/>
        </w:rPr>
        <w:t>Бинокулярное зрение -</w:t>
      </w:r>
      <w:r w:rsidRPr="00405149">
        <w:rPr>
          <w:rFonts w:ascii="Times New Roman" w:hAnsi="Times New Roman" w:cs="Times New Roman"/>
          <w:color w:val="000000"/>
          <w:sz w:val="28"/>
          <w:szCs w:val="28"/>
        </w:rPr>
        <w:t xml:space="preserve"> способность одновременно видеть </w:t>
      </w:r>
      <w:r>
        <w:rPr>
          <w:rFonts w:ascii="Times New Roman" w:hAnsi="Times New Roman" w:cs="Times New Roman"/>
          <w:color w:val="000000"/>
          <w:sz w:val="28"/>
          <w:szCs w:val="28"/>
        </w:rPr>
        <w:t xml:space="preserve">единое объемное </w:t>
      </w:r>
      <w:r w:rsidRPr="00405149">
        <w:rPr>
          <w:rFonts w:ascii="Times New Roman" w:hAnsi="Times New Roman" w:cs="Times New Roman"/>
          <w:color w:val="000000"/>
          <w:sz w:val="28"/>
          <w:szCs w:val="28"/>
        </w:rPr>
        <w:t>изображение предмета обоими глазами в результате комбинированной зрительной информации от двух глаз.</w:t>
      </w:r>
      <w:r w:rsidRPr="00AF01A8">
        <w:t xml:space="preserve"> </w:t>
      </w:r>
    </w:p>
    <w:p w14:paraId="16A063E2"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Гиперметропия (дальнозоркость)</w:t>
      </w:r>
      <w:r w:rsidRPr="00405149">
        <w:rPr>
          <w:rFonts w:ascii="Times New Roman" w:hAnsi="Times New Roman" w:cs="Times New Roman"/>
          <w:sz w:val="28"/>
          <w:szCs w:val="28"/>
        </w:rPr>
        <w:t xml:space="preserve"> – слабая рефракция по отношению к данному размеру глаза - главный фокус оптической системы располагается позади сетчатки. Обусловлена либо слабой преломляющей силой оптических сред глаза, либо коротким переднезадним размером глазного яблока. Глаз новорожденного, как правило, имеет гиперметропическую рефракцию от 1,8 до 3,6 дптр за счет короткого переднезаднего размера глазного яблока. Гиперметропия также является преобладающим видом рефракции в первые годы жизни ребенка. С возрастом происходит усиление рефракции, распространенность гиперметропии уменьшается, а частота эмметропии и миопии увеличивается. Для коррекции гиперметропии используются выпуклые (плюсовые) линзы.</w:t>
      </w:r>
      <w:r w:rsidRPr="001A1EF1">
        <w:rPr>
          <w:rFonts w:ascii="Times New Roman" w:hAnsi="Times New Roman" w:cs="Times New Roman"/>
          <w:color w:val="000000"/>
          <w:sz w:val="28"/>
          <w:szCs w:val="28"/>
        </w:rPr>
        <w:t xml:space="preserve"> </w:t>
      </w:r>
    </w:p>
    <w:p w14:paraId="22249F22"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Глаукома –</w:t>
      </w:r>
      <w:r w:rsidRPr="00405149">
        <w:rPr>
          <w:rFonts w:ascii="Times New Roman" w:hAnsi="Times New Roman" w:cs="Times New Roman"/>
          <w:sz w:val="28"/>
          <w:szCs w:val="28"/>
        </w:rPr>
        <w:t xml:space="preserve"> группа заболеваний, характеризующаяся хроническим течением, нарушением циркуляции водянистой влаги, постоянным или периодическим повышением внутриглазного давления с последующим развитием атрофии зрительного нерва и типичными изменениями поля зрения.</w:t>
      </w:r>
    </w:p>
    <w:p w14:paraId="71F9A082"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 xml:space="preserve">Диоптрия </w:t>
      </w:r>
      <w:r w:rsidRPr="00405149">
        <w:rPr>
          <w:rFonts w:ascii="Times New Roman" w:hAnsi="Times New Roman" w:cs="Times New Roman"/>
          <w:sz w:val="28"/>
          <w:szCs w:val="28"/>
        </w:rPr>
        <w:t>- единица измерения оптической силы линз и других осесимметричных оптических систем. 1 диоптрия равна оптической силе линзы или сферического зеркала с фокусным расстоянием, равным 1 метру.</w:t>
      </w:r>
    </w:p>
    <w:p w14:paraId="587F4B5B" w14:textId="30687BE7" w:rsidR="00B633D6" w:rsidRPr="00F50E85" w:rsidRDefault="00F50E85" w:rsidP="00B633D6">
      <w:pPr>
        <w:pStyle w:val="a4"/>
        <w:ind w:firstLine="708"/>
        <w:jc w:val="both"/>
        <w:rPr>
          <w:rFonts w:ascii="Times New Roman" w:hAnsi="Times New Roman" w:cs="Times New Roman"/>
          <w:bCs/>
          <w:sz w:val="28"/>
          <w:szCs w:val="28"/>
        </w:rPr>
      </w:pPr>
      <w:r w:rsidRPr="00F50E85">
        <w:rPr>
          <w:rFonts w:ascii="Times New Roman" w:hAnsi="Times New Roman" w:cs="Times New Roman"/>
          <w:b/>
          <w:bCs/>
          <w:sz w:val="28"/>
          <w:szCs w:val="28"/>
        </w:rPr>
        <w:t>Дистантный скрининг</w:t>
      </w:r>
      <w:r w:rsidR="00B633D6">
        <w:rPr>
          <w:rFonts w:ascii="Times New Roman" w:hAnsi="Times New Roman" w:cs="Times New Roman"/>
          <w:b/>
          <w:bCs/>
          <w:sz w:val="28"/>
          <w:szCs w:val="28"/>
        </w:rPr>
        <w:t xml:space="preserve"> -</w:t>
      </w:r>
      <w:r w:rsidRPr="00F50E85">
        <w:rPr>
          <w:rFonts w:ascii="Times New Roman" w:hAnsi="Times New Roman" w:cs="Times New Roman"/>
          <w:bCs/>
          <w:sz w:val="28"/>
          <w:szCs w:val="28"/>
        </w:rPr>
        <w:t xml:space="preserve"> программа </w:t>
      </w:r>
      <w:r w:rsidR="00B633D6">
        <w:rPr>
          <w:rFonts w:ascii="Times New Roman" w:hAnsi="Times New Roman" w:cs="Times New Roman"/>
          <w:bCs/>
          <w:sz w:val="28"/>
          <w:szCs w:val="28"/>
        </w:rPr>
        <w:t xml:space="preserve">массового бесконтактного </w:t>
      </w:r>
      <w:r>
        <w:rPr>
          <w:rFonts w:ascii="Times New Roman" w:hAnsi="Times New Roman" w:cs="Times New Roman"/>
          <w:bCs/>
          <w:sz w:val="28"/>
          <w:szCs w:val="28"/>
        </w:rPr>
        <w:t xml:space="preserve">первичного тестирования </w:t>
      </w:r>
      <w:r w:rsidR="00B633D6">
        <w:rPr>
          <w:rFonts w:ascii="Times New Roman" w:hAnsi="Times New Roman" w:cs="Times New Roman"/>
          <w:bCs/>
          <w:sz w:val="28"/>
          <w:szCs w:val="28"/>
        </w:rPr>
        <w:t xml:space="preserve">клинически бессимптомного населения </w:t>
      </w:r>
      <w:r>
        <w:rPr>
          <w:rFonts w:ascii="Times New Roman" w:hAnsi="Times New Roman" w:cs="Times New Roman"/>
          <w:bCs/>
          <w:sz w:val="28"/>
          <w:szCs w:val="28"/>
        </w:rPr>
        <w:t xml:space="preserve">для выявления </w:t>
      </w:r>
      <w:r w:rsidR="00B633D6">
        <w:rPr>
          <w:rFonts w:ascii="Times New Roman" w:hAnsi="Times New Roman" w:cs="Times New Roman"/>
          <w:bCs/>
          <w:sz w:val="28"/>
          <w:szCs w:val="28"/>
        </w:rPr>
        <w:t xml:space="preserve">тех или иных </w:t>
      </w:r>
      <w:r>
        <w:rPr>
          <w:rFonts w:ascii="Times New Roman" w:hAnsi="Times New Roman" w:cs="Times New Roman"/>
          <w:bCs/>
          <w:sz w:val="28"/>
          <w:szCs w:val="28"/>
        </w:rPr>
        <w:t>нарушений</w:t>
      </w:r>
    </w:p>
    <w:p w14:paraId="6B354D25" w14:textId="1350D276" w:rsidR="00D549A3" w:rsidRDefault="00D549A3" w:rsidP="00D549A3">
      <w:pPr>
        <w:pStyle w:val="a4"/>
        <w:ind w:firstLine="708"/>
        <w:jc w:val="both"/>
        <w:rPr>
          <w:rFonts w:ascii="Times New Roman" w:hAnsi="Times New Roman" w:cs="Times New Roman"/>
          <w:sz w:val="28"/>
          <w:szCs w:val="28"/>
        </w:rPr>
      </w:pPr>
      <w:r w:rsidRPr="00D549A3">
        <w:rPr>
          <w:rFonts w:ascii="Times New Roman" w:hAnsi="Times New Roman" w:cs="Times New Roman"/>
          <w:b/>
          <w:bCs/>
          <w:sz w:val="28"/>
          <w:szCs w:val="28"/>
        </w:rPr>
        <w:lastRenderedPageBreak/>
        <w:t xml:space="preserve">Доверительный интервал – </w:t>
      </w:r>
      <w:r w:rsidRPr="00D549A3">
        <w:rPr>
          <w:rFonts w:ascii="Times New Roman" w:hAnsi="Times New Roman" w:cs="Times New Roman"/>
          <w:sz w:val="28"/>
          <w:szCs w:val="28"/>
        </w:rPr>
        <w:t>интервал, вычисленный по выборочным данным, который с заданной вероятностью (доверительной) накрывает неизвестное истинное значение оцениваемого параметра распределения.</w:t>
      </w:r>
      <w:r w:rsidR="00920559">
        <w:rPr>
          <w:rFonts w:ascii="Times New Roman" w:hAnsi="Times New Roman" w:cs="Times New Roman"/>
          <w:sz w:val="28"/>
          <w:szCs w:val="28"/>
        </w:rPr>
        <w:t xml:space="preserve"> </w:t>
      </w:r>
    </w:p>
    <w:p w14:paraId="3A545A17" w14:textId="6768B6A5" w:rsidR="006F65FB" w:rsidRDefault="006F65FB" w:rsidP="00D549A3">
      <w:pPr>
        <w:pStyle w:val="a4"/>
        <w:ind w:firstLine="709"/>
        <w:jc w:val="both"/>
        <w:rPr>
          <w:rFonts w:ascii="Times New Roman" w:hAnsi="Times New Roman" w:cs="Times New Roman"/>
          <w:b/>
          <w:bCs/>
          <w:sz w:val="28"/>
          <w:szCs w:val="28"/>
        </w:rPr>
      </w:pPr>
      <w:r w:rsidRPr="006F65FB">
        <w:rPr>
          <w:rFonts w:ascii="Times New Roman" w:hAnsi="Times New Roman" w:cs="Times New Roman"/>
          <w:b/>
          <w:bCs/>
          <w:sz w:val="28"/>
          <w:szCs w:val="28"/>
        </w:rPr>
        <w:t>Достоверность, статистическая значимость (</w:t>
      </w:r>
      <w:r>
        <w:rPr>
          <w:rFonts w:ascii="Times New Roman" w:hAnsi="Times New Roman" w:cs="Times New Roman"/>
          <w:b/>
          <w:bCs/>
          <w:sz w:val="28"/>
          <w:szCs w:val="28"/>
        </w:rPr>
        <w:t>р</w:t>
      </w:r>
      <w:r w:rsidRPr="006F65FB">
        <w:rPr>
          <w:rFonts w:ascii="Times New Roman" w:hAnsi="Times New Roman" w:cs="Times New Roman"/>
          <w:b/>
          <w:bCs/>
          <w:sz w:val="28"/>
          <w:szCs w:val="28"/>
        </w:rPr>
        <w:t>-value, p-уровень)</w:t>
      </w:r>
      <w:r>
        <w:rPr>
          <w:rFonts w:ascii="Times New Roman" w:hAnsi="Times New Roman" w:cs="Times New Roman"/>
          <w:b/>
          <w:bCs/>
          <w:sz w:val="28"/>
          <w:szCs w:val="28"/>
        </w:rPr>
        <w:t xml:space="preserve"> - </w:t>
      </w:r>
      <w:r w:rsidRPr="006F65FB">
        <w:rPr>
          <w:rFonts w:ascii="Times New Roman" w:hAnsi="Times New Roman" w:cs="Times New Roman"/>
          <w:sz w:val="28"/>
          <w:szCs w:val="28"/>
        </w:rPr>
        <w:t>вероятность получить для данной вероятностной модели распределения значений случайной величины такое же или более экстремальное значение статистики (среднего арифметического, медианы и др.), по сравнению с ранее наблюдаемым, при условии, что нулевая гипотеза верна.</w:t>
      </w:r>
    </w:p>
    <w:p w14:paraId="108F8E2B" w14:textId="177338BD" w:rsidR="002024A6" w:rsidRPr="00405149" w:rsidRDefault="002024A6" w:rsidP="00D549A3">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 xml:space="preserve">Катаракта - </w:t>
      </w:r>
      <w:r w:rsidRPr="00405149">
        <w:rPr>
          <w:rFonts w:ascii="Times New Roman" w:hAnsi="Times New Roman" w:cs="Times New Roman"/>
          <w:sz w:val="28"/>
          <w:szCs w:val="28"/>
        </w:rPr>
        <w:t xml:space="preserve">полное или частичное дегенеративное помутнение хрусталика. Основным симптомом является постепенное безболезненное затуманивание зрения. </w:t>
      </w:r>
    </w:p>
    <w:p w14:paraId="6E4DD3AC"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Клиническая рефракция</w:t>
      </w:r>
      <w:r w:rsidRPr="00405149">
        <w:rPr>
          <w:rFonts w:ascii="Times New Roman" w:hAnsi="Times New Roman" w:cs="Times New Roman"/>
          <w:sz w:val="28"/>
          <w:szCs w:val="28"/>
        </w:rPr>
        <w:t xml:space="preserve"> - соотношение преломляющей силы оптических сред (физической рефракции) с длиной переднезадней оси глаза. Она характеризуется положением главного фокуса оптической системы глаза на главной оптической оси по отношению к сетчатке. Различают два вида клинической рефракции глаза: статическую (при состоянии покоя аккомодации) и динамическую (при действующей аккомодации). </w:t>
      </w:r>
    </w:p>
    <w:p w14:paraId="3ABE5556"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Манифестация заболевания</w:t>
      </w:r>
      <w:r w:rsidRPr="00405149">
        <w:rPr>
          <w:rFonts w:ascii="Times New Roman" w:hAnsi="Times New Roman" w:cs="Times New Roman"/>
          <w:sz w:val="28"/>
          <w:szCs w:val="28"/>
        </w:rPr>
        <w:t xml:space="preserve"> - проявление выраженной, типичной симптоматики.</w:t>
      </w:r>
    </w:p>
    <w:p w14:paraId="32DC94CB"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Миопия (близорукость)</w:t>
      </w:r>
      <w:r w:rsidRPr="00405149">
        <w:rPr>
          <w:rFonts w:ascii="Times New Roman" w:hAnsi="Times New Roman" w:cs="Times New Roman"/>
          <w:sz w:val="28"/>
          <w:szCs w:val="28"/>
        </w:rPr>
        <w:t xml:space="preserve"> - сильная рефракция по отношению к данному размеру глаза, когда главный фокус оптической системы располагается впереди сетчатки. Обусловлена либо чрезмерной преломляющей силой оптической системы глаза (рефракционная миопия), либо удлинением переднезадней оси глазного яблока (аксиальная миопия). Для коррекции миопии используются вогнутые (минусовые) линзы.</w:t>
      </w:r>
    </w:p>
    <w:p w14:paraId="5344ED56" w14:textId="77777777" w:rsidR="002024A6" w:rsidRPr="00405149" w:rsidRDefault="002024A6" w:rsidP="002024A6">
      <w:pPr>
        <w:pStyle w:val="a4"/>
        <w:ind w:firstLine="709"/>
        <w:jc w:val="both"/>
        <w:rPr>
          <w:rFonts w:ascii="Times New Roman" w:hAnsi="Times New Roman" w:cs="Times New Roman"/>
          <w:b/>
          <w:bCs/>
          <w:sz w:val="28"/>
          <w:szCs w:val="28"/>
        </w:rPr>
      </w:pPr>
      <w:r w:rsidRPr="00405149">
        <w:rPr>
          <w:rFonts w:ascii="Times New Roman" w:hAnsi="Times New Roman" w:cs="Times New Roman"/>
          <w:b/>
          <w:bCs/>
          <w:sz w:val="28"/>
          <w:szCs w:val="28"/>
        </w:rPr>
        <w:t xml:space="preserve">Миопическая болезнь </w:t>
      </w:r>
      <w:r w:rsidRPr="00405149">
        <w:rPr>
          <w:rFonts w:ascii="Times New Roman" w:hAnsi="Times New Roman" w:cs="Times New Roman"/>
          <w:sz w:val="28"/>
          <w:szCs w:val="28"/>
        </w:rPr>
        <w:t>– осложненная форма близорукости, сопровождающаяся серьезными необратимыми изменениями в стекловидном теле и на глазном дне.</w:t>
      </w:r>
    </w:p>
    <w:p w14:paraId="1651E1EC"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Нескорректированные аномалии рефракции</w:t>
      </w:r>
      <w:r w:rsidRPr="00405149">
        <w:rPr>
          <w:rFonts w:ascii="Times New Roman" w:hAnsi="Times New Roman" w:cs="Times New Roman"/>
          <w:sz w:val="28"/>
          <w:szCs w:val="28"/>
        </w:rPr>
        <w:t xml:space="preserve"> – отсутствие надлежащей оптической коррекции (очки, контактные линзы) или рефракционной коррекции (лазерная или хирургическая коррекция) аметропий.</w:t>
      </w:r>
    </w:p>
    <w:p w14:paraId="5E54E0DE" w14:textId="77777777" w:rsidR="002024A6" w:rsidRPr="00457679" w:rsidRDefault="002024A6" w:rsidP="002024A6">
      <w:pPr>
        <w:pStyle w:val="a4"/>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Оптотипы - </w:t>
      </w:r>
      <w:r w:rsidRPr="00457679">
        <w:rPr>
          <w:rFonts w:ascii="Times New Roman" w:hAnsi="Times New Roman" w:cs="Times New Roman"/>
          <w:sz w:val="28"/>
          <w:szCs w:val="28"/>
        </w:rPr>
        <w:t xml:space="preserve">однотипные знаки (буквы, </w:t>
      </w:r>
      <w:r>
        <w:rPr>
          <w:rFonts w:ascii="Times New Roman" w:hAnsi="Times New Roman" w:cs="Times New Roman"/>
          <w:sz w:val="28"/>
          <w:szCs w:val="28"/>
        </w:rPr>
        <w:t xml:space="preserve">цифры, </w:t>
      </w:r>
      <w:r w:rsidRPr="00457679">
        <w:rPr>
          <w:rFonts w:ascii="Times New Roman" w:hAnsi="Times New Roman" w:cs="Times New Roman"/>
          <w:sz w:val="28"/>
          <w:szCs w:val="28"/>
        </w:rPr>
        <w:t>геометрические фигуры и др.) различной величины, используемые для определения остроты зрения</w:t>
      </w:r>
      <w:r>
        <w:rPr>
          <w:rFonts w:ascii="Times New Roman" w:hAnsi="Times New Roman" w:cs="Times New Roman"/>
          <w:sz w:val="28"/>
          <w:szCs w:val="28"/>
        </w:rPr>
        <w:t>.</w:t>
      </w:r>
    </w:p>
    <w:p w14:paraId="79437F15"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Острота зрения -</w:t>
      </w:r>
      <w:r w:rsidRPr="00405149">
        <w:rPr>
          <w:rFonts w:ascii="Times New Roman" w:hAnsi="Times New Roman" w:cs="Times New Roman"/>
          <w:sz w:val="28"/>
          <w:szCs w:val="28"/>
        </w:rPr>
        <w:t xml:space="preserve">  способность глаза раздельно воспринимать две точки, расположенные друг от друга на минимальном условном расстоянии.</w:t>
      </w:r>
    </w:p>
    <w:p w14:paraId="2D6F520D"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Отслойка сетчатки</w:t>
      </w:r>
      <w:r w:rsidRPr="00405149">
        <w:rPr>
          <w:rFonts w:ascii="Times New Roman" w:hAnsi="Times New Roman" w:cs="Times New Roman"/>
          <w:sz w:val="28"/>
          <w:szCs w:val="28"/>
        </w:rPr>
        <w:t xml:space="preserve"> – тяжелая офтальмологическая патология, характеризующаяся отделением слоя нейросенсорных клеток сетчатки от нижележащего слоя пигментного эпителия. </w:t>
      </w:r>
    </w:p>
    <w:p w14:paraId="22AB754C"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 xml:space="preserve">Пресбиопия </w:t>
      </w:r>
      <w:r w:rsidRPr="00405149">
        <w:rPr>
          <w:rFonts w:ascii="Times New Roman" w:hAnsi="Times New Roman" w:cs="Times New Roman"/>
          <w:sz w:val="28"/>
          <w:szCs w:val="28"/>
        </w:rPr>
        <w:t xml:space="preserve">- ухудшение способности хрусталика изменять свою кривизну, приводящее к нарушению зрения на близком расстоянии. Обусловлено возрастными изменениями в хрусталике склеротического характера, а также нарушениями в механизме аккомодации. Для коррекции зрения вблизи используются выпуклые (плюсовые) линзы. </w:t>
      </w:r>
    </w:p>
    <w:p w14:paraId="26BF9D68"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lastRenderedPageBreak/>
        <w:t>Скрининг -</w:t>
      </w:r>
      <w:r w:rsidRPr="00405149">
        <w:rPr>
          <w:rFonts w:ascii="Times New Roman" w:hAnsi="Times New Roman" w:cs="Times New Roman"/>
          <w:sz w:val="28"/>
          <w:szCs w:val="28"/>
        </w:rPr>
        <w:t xml:space="preserve"> профилактический медицинский осмотр здоровых лиц определенного возраста для выявления факторов риска и заболеваний на ранних стадиях. </w:t>
      </w:r>
    </w:p>
    <w:p w14:paraId="20066C7C"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Специфичность теста -</w:t>
      </w:r>
      <w:r w:rsidRPr="00405149">
        <w:rPr>
          <w:rFonts w:ascii="Times New Roman" w:hAnsi="Times New Roman" w:cs="Times New Roman"/>
          <w:sz w:val="28"/>
          <w:szCs w:val="28"/>
        </w:rPr>
        <w:t xml:space="preserve"> способность теста давать отрицательный результат, когда гипотеза не подтверждается - вероятность отрицательного результата теста у пациентов без заболевания (истинно-отрицательная частота)</w:t>
      </w:r>
    </w:p>
    <w:p w14:paraId="317C9263"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Степень нарушения зрения</w:t>
      </w:r>
      <w:r w:rsidRPr="00405149">
        <w:rPr>
          <w:rFonts w:ascii="Times New Roman" w:hAnsi="Times New Roman" w:cs="Times New Roman"/>
          <w:sz w:val="28"/>
          <w:szCs w:val="28"/>
        </w:rPr>
        <w:t xml:space="preserve">, в соответствии с МКБ </w:t>
      </w:r>
      <w:r w:rsidRPr="00405149">
        <w:rPr>
          <w:rFonts w:ascii="Times New Roman" w:hAnsi="Times New Roman" w:cs="Times New Roman"/>
          <w:sz w:val="28"/>
          <w:szCs w:val="28"/>
          <w:lang w:val="en-US"/>
        </w:rPr>
        <w:t>XI</w:t>
      </w:r>
      <w:r w:rsidRPr="00405149">
        <w:rPr>
          <w:rFonts w:ascii="Times New Roman" w:hAnsi="Times New Roman" w:cs="Times New Roman"/>
          <w:sz w:val="28"/>
          <w:szCs w:val="28"/>
        </w:rPr>
        <w:t xml:space="preserve"> (2008), ВОЗ:</w:t>
      </w:r>
    </w:p>
    <w:p w14:paraId="1308A26E" w14:textId="77777777" w:rsidR="002024A6" w:rsidRPr="00405149" w:rsidRDefault="002024A6" w:rsidP="002024A6">
      <w:pPr>
        <w:pStyle w:val="a4"/>
        <w:numPr>
          <w:ilvl w:val="0"/>
          <w:numId w:val="15"/>
        </w:numPr>
        <w:ind w:left="0" w:firstLine="709"/>
        <w:jc w:val="both"/>
        <w:rPr>
          <w:rFonts w:ascii="Times New Roman" w:hAnsi="Times New Roman" w:cs="Times New Roman"/>
          <w:sz w:val="28"/>
          <w:szCs w:val="28"/>
        </w:rPr>
      </w:pPr>
      <w:r w:rsidRPr="00405149">
        <w:rPr>
          <w:rFonts w:ascii="Times New Roman" w:hAnsi="Times New Roman" w:cs="Times New Roman"/>
          <w:sz w:val="28"/>
          <w:szCs w:val="28"/>
        </w:rPr>
        <w:t>Легкое нарушение зрения - острота зрения в пределах 0,5-0,3;</w:t>
      </w:r>
    </w:p>
    <w:p w14:paraId="4D4C0DDB" w14:textId="77777777" w:rsidR="002024A6" w:rsidRPr="00405149" w:rsidRDefault="002024A6" w:rsidP="002024A6">
      <w:pPr>
        <w:pStyle w:val="a4"/>
        <w:numPr>
          <w:ilvl w:val="0"/>
          <w:numId w:val="15"/>
        </w:numPr>
        <w:ind w:left="0" w:firstLine="709"/>
        <w:jc w:val="both"/>
        <w:rPr>
          <w:rFonts w:ascii="Times New Roman" w:hAnsi="Times New Roman" w:cs="Times New Roman"/>
          <w:sz w:val="28"/>
          <w:szCs w:val="28"/>
        </w:rPr>
      </w:pPr>
      <w:r w:rsidRPr="00405149">
        <w:rPr>
          <w:rFonts w:ascii="Times New Roman" w:hAnsi="Times New Roman" w:cs="Times New Roman"/>
          <w:sz w:val="28"/>
          <w:szCs w:val="28"/>
        </w:rPr>
        <w:t>Умеренное нарушение зрения – острота зрения в пределах 0,3-0,1;</w:t>
      </w:r>
    </w:p>
    <w:p w14:paraId="79BC77BA" w14:textId="77777777" w:rsidR="002024A6" w:rsidRPr="00405149" w:rsidRDefault="002024A6" w:rsidP="002024A6">
      <w:pPr>
        <w:pStyle w:val="a4"/>
        <w:numPr>
          <w:ilvl w:val="0"/>
          <w:numId w:val="15"/>
        </w:numPr>
        <w:ind w:left="0" w:firstLine="709"/>
        <w:jc w:val="both"/>
        <w:rPr>
          <w:rFonts w:ascii="Times New Roman" w:hAnsi="Times New Roman" w:cs="Times New Roman"/>
          <w:sz w:val="28"/>
          <w:szCs w:val="28"/>
        </w:rPr>
      </w:pPr>
      <w:r w:rsidRPr="00405149">
        <w:rPr>
          <w:rFonts w:ascii="Times New Roman" w:hAnsi="Times New Roman" w:cs="Times New Roman"/>
          <w:sz w:val="28"/>
          <w:szCs w:val="28"/>
        </w:rPr>
        <w:t>Тяжелое нарушение зрения - острота зрения в пределах 0,1-0,05;</w:t>
      </w:r>
    </w:p>
    <w:p w14:paraId="4E4A0D5C" w14:textId="77777777" w:rsidR="002024A6" w:rsidRPr="00405149" w:rsidRDefault="002024A6" w:rsidP="002024A6">
      <w:pPr>
        <w:pStyle w:val="a4"/>
        <w:numPr>
          <w:ilvl w:val="0"/>
          <w:numId w:val="15"/>
        </w:numPr>
        <w:ind w:left="0" w:firstLine="709"/>
        <w:jc w:val="both"/>
        <w:rPr>
          <w:rFonts w:ascii="Times New Roman" w:hAnsi="Times New Roman" w:cs="Times New Roman"/>
          <w:sz w:val="28"/>
          <w:szCs w:val="28"/>
        </w:rPr>
      </w:pPr>
      <w:r w:rsidRPr="00405149">
        <w:rPr>
          <w:rFonts w:ascii="Times New Roman" w:hAnsi="Times New Roman" w:cs="Times New Roman"/>
          <w:sz w:val="28"/>
          <w:szCs w:val="28"/>
        </w:rPr>
        <w:t>Слепота - острота зрения, менее 0,05.</w:t>
      </w:r>
    </w:p>
    <w:p w14:paraId="09EF66C1" w14:textId="77777777" w:rsidR="002024A6" w:rsidRPr="00457679" w:rsidRDefault="002024A6" w:rsidP="002024A6">
      <w:pPr>
        <w:pStyle w:val="a4"/>
        <w:ind w:firstLine="709"/>
        <w:jc w:val="both"/>
        <w:rPr>
          <w:rFonts w:ascii="Times New Roman" w:hAnsi="Times New Roman" w:cs="Times New Roman"/>
          <w:color w:val="000000"/>
          <w:sz w:val="28"/>
          <w:szCs w:val="28"/>
        </w:rPr>
      </w:pPr>
      <w:r w:rsidRPr="00405149">
        <w:rPr>
          <w:rFonts w:ascii="Times New Roman" w:hAnsi="Times New Roman" w:cs="Times New Roman"/>
          <w:b/>
          <w:bCs/>
          <w:color w:val="000000"/>
          <w:sz w:val="28"/>
          <w:szCs w:val="28"/>
        </w:rPr>
        <w:t>Стереопсис -</w:t>
      </w:r>
      <w:r w:rsidRPr="00405149">
        <w:rPr>
          <w:rFonts w:ascii="Times New Roman" w:hAnsi="Times New Roman" w:cs="Times New Roman"/>
          <w:color w:val="000000"/>
          <w:sz w:val="28"/>
          <w:szCs w:val="28"/>
        </w:rPr>
        <w:t xml:space="preserve"> восприятие глубины и трехмерной структуры посредством бинокулярного зрения.</w:t>
      </w:r>
    </w:p>
    <w:p w14:paraId="4045B5E8" w14:textId="7D8CF767" w:rsidR="002024A6" w:rsidRPr="00405149" w:rsidRDefault="002024A6" w:rsidP="002024A6">
      <w:pPr>
        <w:pStyle w:val="a4"/>
        <w:ind w:firstLine="709"/>
        <w:jc w:val="both"/>
        <w:rPr>
          <w:rFonts w:ascii="Times New Roman" w:hAnsi="Times New Roman" w:cs="Times New Roman"/>
          <w:color w:val="000000"/>
          <w:sz w:val="28"/>
          <w:szCs w:val="28"/>
        </w:rPr>
      </w:pPr>
      <w:r w:rsidRPr="001A1EF1">
        <w:rPr>
          <w:rFonts w:ascii="Times New Roman" w:hAnsi="Times New Roman" w:cs="Times New Roman"/>
          <w:b/>
          <w:bCs/>
          <w:color w:val="000000"/>
          <w:sz w:val="28"/>
          <w:szCs w:val="28"/>
        </w:rPr>
        <w:t>Сферический эквивалент рефракции (</w:t>
      </w:r>
      <w:r>
        <w:rPr>
          <w:rFonts w:ascii="Times New Roman" w:hAnsi="Times New Roman" w:cs="Times New Roman"/>
          <w:b/>
          <w:bCs/>
          <w:color w:val="000000"/>
          <w:sz w:val="28"/>
          <w:szCs w:val="28"/>
        </w:rPr>
        <w:t xml:space="preserve">сфероэквивалент, </w:t>
      </w:r>
      <w:r w:rsidRPr="001A1EF1">
        <w:rPr>
          <w:rFonts w:ascii="Times New Roman" w:hAnsi="Times New Roman" w:cs="Times New Roman"/>
          <w:b/>
          <w:bCs/>
          <w:color w:val="000000"/>
          <w:sz w:val="28"/>
          <w:szCs w:val="28"/>
          <w:lang w:val="en-US"/>
        </w:rPr>
        <w:t>SER</w:t>
      </w:r>
      <w:r w:rsidRPr="001A1EF1">
        <w:rPr>
          <w:rFonts w:ascii="Times New Roman" w:hAnsi="Times New Roman" w:cs="Times New Roman"/>
          <w:b/>
          <w:bCs/>
          <w:color w:val="000000"/>
          <w:sz w:val="28"/>
          <w:szCs w:val="28"/>
        </w:rPr>
        <w:t>)</w:t>
      </w:r>
      <w:r w:rsidRPr="00405149">
        <w:rPr>
          <w:rFonts w:ascii="Times New Roman" w:hAnsi="Times New Roman" w:cs="Times New Roman"/>
          <w:color w:val="000000"/>
          <w:sz w:val="28"/>
          <w:szCs w:val="28"/>
        </w:rPr>
        <w:t xml:space="preserve"> – </w:t>
      </w:r>
      <w:r w:rsidRPr="001A1EF1">
        <w:rPr>
          <w:rFonts w:ascii="Times New Roman" w:hAnsi="Times New Roman" w:cs="Times New Roman"/>
          <w:color w:val="000000"/>
          <w:sz w:val="28"/>
          <w:szCs w:val="28"/>
        </w:rPr>
        <w:t>средняя арифметическая величина показателей рефракции (в диоптриях) астигматического глаза по двум главным меридианам.</w:t>
      </w:r>
      <w:r>
        <w:rPr>
          <w:rFonts w:ascii="Times New Roman" w:hAnsi="Times New Roman" w:cs="Times New Roman"/>
          <w:color w:val="000000"/>
          <w:sz w:val="28"/>
          <w:szCs w:val="28"/>
        </w:rPr>
        <w:t xml:space="preserve"> Р</w:t>
      </w:r>
      <w:r w:rsidRPr="00405149">
        <w:rPr>
          <w:rFonts w:ascii="Times New Roman" w:hAnsi="Times New Roman" w:cs="Times New Roman"/>
          <w:sz w:val="28"/>
          <w:szCs w:val="28"/>
        </w:rPr>
        <w:t>ассчитыва</w:t>
      </w:r>
      <w:r>
        <w:rPr>
          <w:rFonts w:ascii="Times New Roman" w:hAnsi="Times New Roman" w:cs="Times New Roman"/>
          <w:sz w:val="28"/>
          <w:szCs w:val="28"/>
        </w:rPr>
        <w:t>ется</w:t>
      </w:r>
      <w:r w:rsidRPr="00405149">
        <w:rPr>
          <w:rFonts w:ascii="Times New Roman" w:hAnsi="Times New Roman" w:cs="Times New Roman"/>
          <w:sz w:val="28"/>
          <w:szCs w:val="28"/>
        </w:rPr>
        <w:t xml:space="preserve"> как сфер</w:t>
      </w:r>
      <w:r w:rsidR="00F95CB3">
        <w:rPr>
          <w:rFonts w:ascii="Times New Roman" w:hAnsi="Times New Roman" w:cs="Times New Roman"/>
          <w:sz w:val="28"/>
          <w:szCs w:val="28"/>
        </w:rPr>
        <w:t>ический компонент</w:t>
      </w:r>
      <w:r w:rsidRPr="00405149">
        <w:rPr>
          <w:rFonts w:ascii="Times New Roman" w:hAnsi="Times New Roman" w:cs="Times New Roman"/>
          <w:sz w:val="28"/>
          <w:szCs w:val="28"/>
        </w:rPr>
        <w:t xml:space="preserve"> плюс половина цилиндрическо</w:t>
      </w:r>
      <w:r w:rsidR="00F95CB3">
        <w:rPr>
          <w:rFonts w:ascii="Times New Roman" w:hAnsi="Times New Roman" w:cs="Times New Roman"/>
          <w:sz w:val="28"/>
          <w:szCs w:val="28"/>
        </w:rPr>
        <w:t>го компонента рефракции</w:t>
      </w:r>
      <w:r>
        <w:rPr>
          <w:rFonts w:ascii="Times New Roman" w:hAnsi="Times New Roman" w:cs="Times New Roman"/>
          <w:sz w:val="28"/>
          <w:szCs w:val="28"/>
        </w:rPr>
        <w:t>.</w:t>
      </w:r>
    </w:p>
    <w:p w14:paraId="4D605D2C"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Физическая рефракция глаза</w:t>
      </w:r>
      <w:r w:rsidRPr="00405149">
        <w:rPr>
          <w:rFonts w:ascii="Times New Roman" w:hAnsi="Times New Roman" w:cs="Times New Roman"/>
          <w:sz w:val="28"/>
          <w:szCs w:val="28"/>
        </w:rPr>
        <w:t xml:space="preserve"> – преломляющая сила оптической системы глаза, выраженная в диоптриях.</w:t>
      </w:r>
    </w:p>
    <w:p w14:paraId="04E33D4D" w14:textId="77777777" w:rsidR="002024A6" w:rsidRPr="00405149"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Чувствительность теста -</w:t>
      </w:r>
      <w:r w:rsidRPr="00405149">
        <w:rPr>
          <w:rFonts w:ascii="Times New Roman" w:hAnsi="Times New Roman" w:cs="Times New Roman"/>
          <w:sz w:val="28"/>
          <w:szCs w:val="28"/>
        </w:rPr>
        <w:t xml:space="preserve"> способности давать положительный результат при проверке гипотезы - вероятность того, что у пациентов с болезнью будет положительный результат теста (истинно-положительная частота)</w:t>
      </w:r>
    </w:p>
    <w:p w14:paraId="1CB35E0F" w14:textId="77777777" w:rsidR="002024A6" w:rsidRPr="00AF0EED" w:rsidRDefault="002024A6" w:rsidP="002024A6">
      <w:pPr>
        <w:pStyle w:val="a4"/>
        <w:ind w:firstLine="709"/>
        <w:jc w:val="both"/>
        <w:rPr>
          <w:rFonts w:ascii="Times New Roman" w:hAnsi="Times New Roman" w:cs="Times New Roman"/>
          <w:sz w:val="28"/>
          <w:szCs w:val="28"/>
        </w:rPr>
      </w:pPr>
      <w:r w:rsidRPr="00405149">
        <w:rPr>
          <w:rFonts w:ascii="Times New Roman" w:hAnsi="Times New Roman" w:cs="Times New Roman"/>
          <w:b/>
          <w:bCs/>
          <w:sz w:val="28"/>
          <w:szCs w:val="28"/>
        </w:rPr>
        <w:t>Эмметропия</w:t>
      </w:r>
      <w:r w:rsidRPr="00405149">
        <w:rPr>
          <w:rFonts w:ascii="Times New Roman" w:hAnsi="Times New Roman" w:cs="Times New Roman"/>
          <w:sz w:val="28"/>
          <w:szCs w:val="28"/>
        </w:rPr>
        <w:t xml:space="preserve"> – соразмерная рефракция – главный фокус оптической системы глаза совпадает с сетчаткой.</w:t>
      </w:r>
    </w:p>
    <w:p w14:paraId="6130DAF4" w14:textId="641CC1D9" w:rsidR="005132C7" w:rsidRPr="004804AA" w:rsidRDefault="005132C7" w:rsidP="005C37DF">
      <w:pPr>
        <w:pStyle w:val="a4"/>
        <w:ind w:firstLine="709"/>
        <w:jc w:val="both"/>
        <w:rPr>
          <w:rFonts w:ascii="Times New Roman" w:hAnsi="Times New Roman" w:cs="Times New Roman"/>
          <w:sz w:val="28"/>
          <w:szCs w:val="28"/>
        </w:rPr>
      </w:pPr>
    </w:p>
    <w:p w14:paraId="3E458A0F" w14:textId="0CCE2E54" w:rsidR="00BB5BE8" w:rsidRPr="004804AA" w:rsidRDefault="00BB5BE8" w:rsidP="005C37DF">
      <w:pPr>
        <w:pStyle w:val="a4"/>
        <w:ind w:firstLine="709"/>
        <w:jc w:val="both"/>
        <w:rPr>
          <w:rFonts w:ascii="Times New Roman" w:hAnsi="Times New Roman" w:cs="Times New Roman"/>
          <w:sz w:val="28"/>
          <w:szCs w:val="28"/>
        </w:rPr>
      </w:pPr>
    </w:p>
    <w:p w14:paraId="5CD40DED" w14:textId="4E272CE4" w:rsidR="00BB5BE8" w:rsidRPr="004804AA" w:rsidRDefault="00BB5BE8" w:rsidP="005C37DF">
      <w:pPr>
        <w:pStyle w:val="a4"/>
        <w:ind w:firstLine="709"/>
        <w:jc w:val="both"/>
        <w:rPr>
          <w:rFonts w:ascii="Times New Roman" w:hAnsi="Times New Roman" w:cs="Times New Roman"/>
          <w:sz w:val="28"/>
          <w:szCs w:val="28"/>
        </w:rPr>
      </w:pPr>
    </w:p>
    <w:p w14:paraId="4FF200F7" w14:textId="121BF147" w:rsidR="00BB5BE8" w:rsidRPr="004804AA" w:rsidRDefault="00BB5BE8" w:rsidP="005C37DF">
      <w:pPr>
        <w:pStyle w:val="a4"/>
        <w:ind w:firstLine="709"/>
        <w:jc w:val="both"/>
        <w:rPr>
          <w:rFonts w:ascii="Times New Roman" w:hAnsi="Times New Roman" w:cs="Times New Roman"/>
          <w:sz w:val="28"/>
          <w:szCs w:val="28"/>
        </w:rPr>
      </w:pPr>
    </w:p>
    <w:p w14:paraId="5503F9B2" w14:textId="148F17C1" w:rsidR="00BB5BE8" w:rsidRPr="004804AA" w:rsidRDefault="00BB5BE8" w:rsidP="005C37DF">
      <w:pPr>
        <w:pStyle w:val="a4"/>
        <w:ind w:firstLine="709"/>
        <w:jc w:val="both"/>
        <w:rPr>
          <w:rFonts w:ascii="Times New Roman" w:hAnsi="Times New Roman" w:cs="Times New Roman"/>
          <w:sz w:val="28"/>
          <w:szCs w:val="28"/>
        </w:rPr>
      </w:pPr>
    </w:p>
    <w:p w14:paraId="508F04C7" w14:textId="19B732F1" w:rsidR="00BB5BE8" w:rsidRPr="004804AA" w:rsidRDefault="00BB5BE8" w:rsidP="005C37DF">
      <w:pPr>
        <w:pStyle w:val="a4"/>
        <w:ind w:firstLine="709"/>
        <w:jc w:val="both"/>
        <w:rPr>
          <w:rFonts w:ascii="Times New Roman" w:hAnsi="Times New Roman" w:cs="Times New Roman"/>
          <w:sz w:val="28"/>
          <w:szCs w:val="28"/>
        </w:rPr>
      </w:pPr>
    </w:p>
    <w:p w14:paraId="242A0991" w14:textId="7BBDB41F" w:rsidR="00BB5BE8" w:rsidRPr="004804AA" w:rsidRDefault="00BB5BE8" w:rsidP="005C37DF">
      <w:pPr>
        <w:pStyle w:val="a4"/>
        <w:ind w:firstLine="709"/>
        <w:jc w:val="both"/>
        <w:rPr>
          <w:rFonts w:ascii="Times New Roman" w:hAnsi="Times New Roman" w:cs="Times New Roman"/>
          <w:sz w:val="28"/>
          <w:szCs w:val="28"/>
        </w:rPr>
      </w:pPr>
    </w:p>
    <w:p w14:paraId="37B40F29" w14:textId="11B66227" w:rsidR="00BB5BE8" w:rsidRPr="004804AA" w:rsidRDefault="00BB5BE8" w:rsidP="005C37DF">
      <w:pPr>
        <w:pStyle w:val="a4"/>
        <w:ind w:firstLine="709"/>
        <w:jc w:val="both"/>
        <w:rPr>
          <w:rFonts w:ascii="Times New Roman" w:hAnsi="Times New Roman" w:cs="Times New Roman"/>
          <w:sz w:val="28"/>
          <w:szCs w:val="28"/>
        </w:rPr>
      </w:pPr>
    </w:p>
    <w:p w14:paraId="1CE025DF" w14:textId="5E199C39" w:rsidR="00BB5BE8" w:rsidRPr="004804AA" w:rsidRDefault="00BB5BE8" w:rsidP="005C37DF">
      <w:pPr>
        <w:pStyle w:val="a4"/>
        <w:ind w:firstLine="709"/>
        <w:jc w:val="both"/>
        <w:rPr>
          <w:rFonts w:ascii="Times New Roman" w:hAnsi="Times New Roman" w:cs="Times New Roman"/>
          <w:sz w:val="28"/>
          <w:szCs w:val="28"/>
        </w:rPr>
      </w:pPr>
    </w:p>
    <w:p w14:paraId="178B2A19" w14:textId="50DAD06E" w:rsidR="00BB5BE8" w:rsidRPr="004804AA" w:rsidRDefault="00BB5BE8" w:rsidP="005C37DF">
      <w:pPr>
        <w:pStyle w:val="a4"/>
        <w:ind w:firstLine="709"/>
        <w:jc w:val="both"/>
        <w:rPr>
          <w:rFonts w:ascii="Times New Roman" w:hAnsi="Times New Roman" w:cs="Times New Roman"/>
          <w:sz w:val="28"/>
          <w:szCs w:val="28"/>
        </w:rPr>
      </w:pPr>
    </w:p>
    <w:p w14:paraId="41813D0D" w14:textId="160FE9CD" w:rsidR="00BB5BE8" w:rsidRPr="004804AA" w:rsidRDefault="00BB5BE8" w:rsidP="005C37DF">
      <w:pPr>
        <w:pStyle w:val="a4"/>
        <w:ind w:firstLine="709"/>
        <w:jc w:val="both"/>
        <w:rPr>
          <w:rFonts w:ascii="Times New Roman" w:hAnsi="Times New Roman" w:cs="Times New Roman"/>
          <w:sz w:val="28"/>
          <w:szCs w:val="28"/>
        </w:rPr>
      </w:pPr>
    </w:p>
    <w:p w14:paraId="7B891B49" w14:textId="55E8BA1A" w:rsidR="00BB5BE8" w:rsidRPr="004804AA" w:rsidRDefault="00BB5BE8" w:rsidP="005C37DF">
      <w:pPr>
        <w:pStyle w:val="a4"/>
        <w:ind w:firstLine="709"/>
        <w:jc w:val="both"/>
        <w:rPr>
          <w:rFonts w:ascii="Times New Roman" w:hAnsi="Times New Roman" w:cs="Times New Roman"/>
          <w:sz w:val="28"/>
          <w:szCs w:val="28"/>
        </w:rPr>
      </w:pPr>
    </w:p>
    <w:p w14:paraId="5C385794" w14:textId="7884A453" w:rsidR="00BB5BE8" w:rsidRPr="004804AA" w:rsidRDefault="00BB5BE8" w:rsidP="005C37DF">
      <w:pPr>
        <w:pStyle w:val="a4"/>
        <w:ind w:firstLine="709"/>
        <w:jc w:val="both"/>
        <w:rPr>
          <w:rFonts w:ascii="Times New Roman" w:hAnsi="Times New Roman" w:cs="Times New Roman"/>
          <w:sz w:val="28"/>
          <w:szCs w:val="28"/>
        </w:rPr>
      </w:pPr>
    </w:p>
    <w:p w14:paraId="13A10302" w14:textId="22FD2B23" w:rsidR="00BB5BE8" w:rsidRPr="004804AA" w:rsidRDefault="00BB5BE8" w:rsidP="005C37DF">
      <w:pPr>
        <w:pStyle w:val="a4"/>
        <w:ind w:firstLine="709"/>
        <w:jc w:val="both"/>
        <w:rPr>
          <w:rFonts w:ascii="Times New Roman" w:hAnsi="Times New Roman" w:cs="Times New Roman"/>
          <w:sz w:val="28"/>
          <w:szCs w:val="28"/>
        </w:rPr>
      </w:pPr>
    </w:p>
    <w:p w14:paraId="656C9529" w14:textId="11A32F9F" w:rsidR="00BB5BE8" w:rsidRPr="004804AA" w:rsidRDefault="00BB5BE8" w:rsidP="005C37DF">
      <w:pPr>
        <w:pStyle w:val="a4"/>
        <w:ind w:firstLine="709"/>
        <w:jc w:val="both"/>
        <w:rPr>
          <w:rFonts w:ascii="Times New Roman" w:hAnsi="Times New Roman" w:cs="Times New Roman"/>
          <w:sz w:val="28"/>
          <w:szCs w:val="28"/>
        </w:rPr>
      </w:pPr>
    </w:p>
    <w:p w14:paraId="4617FF87" w14:textId="21B2A6CD" w:rsidR="00BB5BE8" w:rsidRPr="004804AA" w:rsidRDefault="00BB5BE8" w:rsidP="005C37DF">
      <w:pPr>
        <w:pStyle w:val="a4"/>
        <w:ind w:firstLine="709"/>
        <w:jc w:val="both"/>
        <w:rPr>
          <w:rFonts w:ascii="Times New Roman" w:hAnsi="Times New Roman" w:cs="Times New Roman"/>
          <w:sz w:val="28"/>
          <w:szCs w:val="28"/>
        </w:rPr>
      </w:pPr>
    </w:p>
    <w:p w14:paraId="031D66D4" w14:textId="5A1711AB" w:rsidR="00B87F64" w:rsidRDefault="00B87F64" w:rsidP="005C37DF">
      <w:pPr>
        <w:spacing w:after="0" w:line="240" w:lineRule="auto"/>
        <w:ind w:firstLine="709"/>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14:paraId="0B59941A" w14:textId="0B642E29" w:rsidR="005132C7" w:rsidRDefault="00BB5BE8" w:rsidP="005C37DF">
      <w:pPr>
        <w:pStyle w:val="a4"/>
        <w:jc w:val="center"/>
        <w:rPr>
          <w:rFonts w:ascii="Times New Roman" w:hAnsi="Times New Roman" w:cs="Times New Roman"/>
          <w:b/>
          <w:bCs/>
          <w:sz w:val="28"/>
          <w:szCs w:val="28"/>
        </w:rPr>
      </w:pPr>
      <w:r w:rsidRPr="004804AA">
        <w:rPr>
          <w:rFonts w:ascii="Times New Roman" w:hAnsi="Times New Roman" w:cs="Times New Roman"/>
          <w:b/>
          <w:bCs/>
          <w:sz w:val="28"/>
          <w:szCs w:val="28"/>
        </w:rPr>
        <w:lastRenderedPageBreak/>
        <w:t>ОБОЗНАЧЕНИЯ И СОКРАЩЕНИЯ</w:t>
      </w:r>
    </w:p>
    <w:p w14:paraId="1D4B8B87" w14:textId="77777777" w:rsidR="00804067" w:rsidRPr="004804AA" w:rsidRDefault="00804067" w:rsidP="005C37DF">
      <w:pPr>
        <w:pStyle w:val="a4"/>
        <w:jc w:val="center"/>
        <w:rPr>
          <w:rFonts w:ascii="Times New Roman" w:hAnsi="Times New Roman" w:cs="Times New Roman"/>
          <w:b/>
          <w:bCs/>
          <w:sz w:val="28"/>
          <w:szCs w:val="28"/>
        </w:rPr>
      </w:pPr>
    </w:p>
    <w:p w14:paraId="7E936AEB" w14:textId="7879C569" w:rsidR="00BB5BE8" w:rsidRPr="004804AA" w:rsidRDefault="00BB5BE8" w:rsidP="005C37DF">
      <w:pPr>
        <w:pStyle w:val="a4"/>
        <w:ind w:firstLine="709"/>
        <w:jc w:val="center"/>
        <w:rPr>
          <w:rFonts w:ascii="Times New Roman" w:hAnsi="Times New Roman" w:cs="Times New Roman"/>
          <w:b/>
          <w:bC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27"/>
        <w:gridCol w:w="6635"/>
      </w:tblGrid>
      <w:tr w:rsidR="00B221A0" w:rsidRPr="00B221A0" w14:paraId="7F0E9457" w14:textId="77777777" w:rsidTr="00E960A2">
        <w:tc>
          <w:tcPr>
            <w:tcW w:w="2127" w:type="dxa"/>
          </w:tcPr>
          <w:p w14:paraId="71799736" w14:textId="246A6A8C"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AAPOS</w:t>
            </w:r>
          </w:p>
        </w:tc>
        <w:tc>
          <w:tcPr>
            <w:tcW w:w="645" w:type="dxa"/>
          </w:tcPr>
          <w:p w14:paraId="60AAEB7A" w14:textId="35D36F94"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181880B6" w14:textId="0B6C3E5C"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Американская ассоциация детской офтальмологии и косоглазия</w:t>
            </w:r>
          </w:p>
        </w:tc>
      </w:tr>
      <w:tr w:rsidR="00E86002" w:rsidRPr="00B221A0" w14:paraId="17BE7735" w14:textId="77777777" w:rsidTr="00E960A2">
        <w:tc>
          <w:tcPr>
            <w:tcW w:w="2127" w:type="dxa"/>
          </w:tcPr>
          <w:p w14:paraId="398D851E" w14:textId="412C0570" w:rsidR="00E86002" w:rsidRPr="00B221A0" w:rsidRDefault="00E86002" w:rsidP="00B221A0">
            <w:pPr>
              <w:pStyle w:val="a4"/>
              <w:rPr>
                <w:rFonts w:ascii="Times New Roman" w:hAnsi="Times New Roman" w:cs="Times New Roman"/>
                <w:sz w:val="28"/>
                <w:szCs w:val="28"/>
              </w:rPr>
            </w:pPr>
            <w:r>
              <w:rPr>
                <w:rFonts w:ascii="Times New Roman" w:hAnsi="Times New Roman" w:cs="Times New Roman"/>
                <w:sz w:val="28"/>
                <w:szCs w:val="28"/>
              </w:rPr>
              <w:t>АПУ</w:t>
            </w:r>
          </w:p>
        </w:tc>
        <w:tc>
          <w:tcPr>
            <w:tcW w:w="645" w:type="dxa"/>
          </w:tcPr>
          <w:p w14:paraId="0538A70B" w14:textId="348B31A5" w:rsidR="00E86002" w:rsidRPr="00B221A0" w:rsidRDefault="00E86002" w:rsidP="00B221A0">
            <w:pPr>
              <w:pStyle w:val="a4"/>
              <w:jc w:val="center"/>
              <w:rPr>
                <w:rFonts w:ascii="Times New Roman" w:hAnsi="Times New Roman" w:cs="Times New Roman"/>
                <w:sz w:val="28"/>
                <w:szCs w:val="28"/>
              </w:rPr>
            </w:pPr>
            <w:r>
              <w:rPr>
                <w:rFonts w:ascii="Times New Roman" w:hAnsi="Times New Roman" w:cs="Times New Roman"/>
                <w:sz w:val="28"/>
                <w:szCs w:val="28"/>
              </w:rPr>
              <w:t>-</w:t>
            </w:r>
          </w:p>
        </w:tc>
        <w:tc>
          <w:tcPr>
            <w:tcW w:w="6856" w:type="dxa"/>
          </w:tcPr>
          <w:p w14:paraId="696D0DFC" w14:textId="7570CF3B" w:rsidR="00E86002" w:rsidRPr="00B221A0" w:rsidRDefault="00E86002" w:rsidP="00890E47">
            <w:pPr>
              <w:pStyle w:val="a4"/>
              <w:jc w:val="both"/>
              <w:rPr>
                <w:rFonts w:ascii="Times New Roman" w:hAnsi="Times New Roman" w:cs="Times New Roman"/>
                <w:sz w:val="28"/>
                <w:szCs w:val="28"/>
              </w:rPr>
            </w:pPr>
            <w:r>
              <w:rPr>
                <w:rFonts w:ascii="Times New Roman" w:hAnsi="Times New Roman" w:cs="Times New Roman"/>
                <w:sz w:val="28"/>
                <w:szCs w:val="28"/>
              </w:rPr>
              <w:t>Амбулаторно-поликлиническое учреждение</w:t>
            </w:r>
          </w:p>
        </w:tc>
      </w:tr>
      <w:tr w:rsidR="00B221A0" w:rsidRPr="00B221A0" w14:paraId="19A75C49" w14:textId="77777777" w:rsidTr="00E960A2">
        <w:tc>
          <w:tcPr>
            <w:tcW w:w="2127" w:type="dxa"/>
          </w:tcPr>
          <w:p w14:paraId="6D5DBFB8" w14:textId="52A10EBC"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D</w:t>
            </w:r>
          </w:p>
        </w:tc>
        <w:tc>
          <w:tcPr>
            <w:tcW w:w="645" w:type="dxa"/>
          </w:tcPr>
          <w:p w14:paraId="4090E842" w14:textId="4C72FC2F"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122B13E8" w14:textId="72417A20"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диоптрии</w:t>
            </w:r>
          </w:p>
        </w:tc>
      </w:tr>
      <w:tr w:rsidR="00B221A0" w:rsidRPr="00B221A0" w14:paraId="779CF5E7" w14:textId="77777777" w:rsidTr="00E960A2">
        <w:tc>
          <w:tcPr>
            <w:tcW w:w="2127" w:type="dxa"/>
          </w:tcPr>
          <w:p w14:paraId="448C2E6B" w14:textId="54F722C6"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DALY</w:t>
            </w:r>
          </w:p>
        </w:tc>
        <w:tc>
          <w:tcPr>
            <w:tcW w:w="645" w:type="dxa"/>
          </w:tcPr>
          <w:p w14:paraId="50DD86CD" w14:textId="5036A8FB"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5D894EB2" w14:textId="5BFD8803"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годы жизни с поправкой на инвалидность</w:t>
            </w:r>
          </w:p>
        </w:tc>
      </w:tr>
      <w:tr w:rsidR="00B221A0" w:rsidRPr="00212C6B" w14:paraId="01FFD700" w14:textId="77777777" w:rsidTr="00E960A2">
        <w:tc>
          <w:tcPr>
            <w:tcW w:w="2127" w:type="dxa"/>
          </w:tcPr>
          <w:p w14:paraId="5B9286B1" w14:textId="2857CB56"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GBD</w:t>
            </w:r>
          </w:p>
        </w:tc>
        <w:tc>
          <w:tcPr>
            <w:tcW w:w="645" w:type="dxa"/>
          </w:tcPr>
          <w:p w14:paraId="1F46242C" w14:textId="3314FF0D"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60E666BA" w14:textId="21B37439" w:rsidR="00B221A0" w:rsidRPr="00B221A0" w:rsidRDefault="00A13C2B" w:rsidP="00890E47">
            <w:pPr>
              <w:pStyle w:val="a4"/>
              <w:jc w:val="both"/>
              <w:rPr>
                <w:rFonts w:ascii="Times New Roman" w:hAnsi="Times New Roman" w:cs="Times New Roman"/>
                <w:b/>
                <w:bCs/>
                <w:sz w:val="28"/>
                <w:szCs w:val="28"/>
                <w:lang w:val="en-US"/>
              </w:rPr>
            </w:pPr>
            <w:r>
              <w:rPr>
                <w:rFonts w:ascii="Times New Roman" w:hAnsi="Times New Roman" w:cs="Times New Roman"/>
                <w:sz w:val="28"/>
                <w:szCs w:val="28"/>
              </w:rPr>
              <w:t>г</w:t>
            </w:r>
            <w:r w:rsidR="00B221A0" w:rsidRPr="00B221A0">
              <w:rPr>
                <w:rFonts w:ascii="Times New Roman" w:hAnsi="Times New Roman" w:cs="Times New Roman"/>
                <w:sz w:val="28"/>
                <w:szCs w:val="28"/>
              </w:rPr>
              <w:t>лобальное</w:t>
            </w:r>
            <w:r w:rsidR="00B221A0" w:rsidRPr="00B221A0">
              <w:rPr>
                <w:rFonts w:ascii="Times New Roman" w:hAnsi="Times New Roman" w:cs="Times New Roman"/>
                <w:sz w:val="28"/>
                <w:szCs w:val="28"/>
                <w:lang w:val="en-US"/>
              </w:rPr>
              <w:t xml:space="preserve"> </w:t>
            </w:r>
            <w:r w:rsidR="00B221A0" w:rsidRPr="00B221A0">
              <w:rPr>
                <w:rFonts w:ascii="Times New Roman" w:hAnsi="Times New Roman" w:cs="Times New Roman"/>
                <w:sz w:val="28"/>
                <w:szCs w:val="28"/>
              </w:rPr>
              <w:t>бремя</w:t>
            </w:r>
            <w:r w:rsidR="00B221A0" w:rsidRPr="00B221A0">
              <w:rPr>
                <w:rFonts w:ascii="Times New Roman" w:hAnsi="Times New Roman" w:cs="Times New Roman"/>
                <w:sz w:val="28"/>
                <w:szCs w:val="28"/>
                <w:lang w:val="en-US"/>
              </w:rPr>
              <w:t xml:space="preserve"> </w:t>
            </w:r>
            <w:r w:rsidR="00B221A0" w:rsidRPr="00B221A0">
              <w:rPr>
                <w:rFonts w:ascii="Times New Roman" w:hAnsi="Times New Roman" w:cs="Times New Roman"/>
                <w:sz w:val="28"/>
                <w:szCs w:val="28"/>
              </w:rPr>
              <w:t>болезней</w:t>
            </w:r>
            <w:r w:rsidR="00B221A0" w:rsidRPr="00B221A0">
              <w:rPr>
                <w:rFonts w:ascii="Times New Roman" w:hAnsi="Times New Roman" w:cs="Times New Roman"/>
                <w:sz w:val="28"/>
                <w:szCs w:val="28"/>
                <w:lang w:val="en-US"/>
              </w:rPr>
              <w:t xml:space="preserve"> (Global Burden of Disease)</w:t>
            </w:r>
          </w:p>
        </w:tc>
      </w:tr>
      <w:tr w:rsidR="00B221A0" w:rsidRPr="00B221A0" w14:paraId="28C5B7B0" w14:textId="77777777" w:rsidTr="00E960A2">
        <w:tc>
          <w:tcPr>
            <w:tcW w:w="2127" w:type="dxa"/>
          </w:tcPr>
          <w:p w14:paraId="517E062F" w14:textId="69612D8B"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p</w:t>
            </w:r>
          </w:p>
        </w:tc>
        <w:tc>
          <w:tcPr>
            <w:tcW w:w="645" w:type="dxa"/>
          </w:tcPr>
          <w:p w14:paraId="6AC01FE0" w14:textId="08471689"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6793B64E" w14:textId="2A382A69"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уровень статистической значимости</w:t>
            </w:r>
          </w:p>
        </w:tc>
      </w:tr>
      <w:tr w:rsidR="00B221A0" w:rsidRPr="00B221A0" w14:paraId="208ADBD2" w14:textId="77777777" w:rsidTr="00E960A2">
        <w:tc>
          <w:tcPr>
            <w:tcW w:w="2127" w:type="dxa"/>
          </w:tcPr>
          <w:p w14:paraId="44249D40" w14:textId="4ADE8D06" w:rsidR="00E960A2" w:rsidRPr="00B30679" w:rsidRDefault="00B221A0" w:rsidP="00B30679">
            <w:pPr>
              <w:pStyle w:val="a4"/>
              <w:rPr>
                <w:rFonts w:ascii="Times New Roman" w:hAnsi="Times New Roman" w:cs="Times New Roman"/>
                <w:sz w:val="28"/>
                <w:szCs w:val="28"/>
              </w:rPr>
            </w:pPr>
            <w:r w:rsidRPr="00B221A0">
              <w:rPr>
                <w:rFonts w:ascii="Times New Roman" w:hAnsi="Times New Roman" w:cs="Times New Roman"/>
                <w:sz w:val="28"/>
                <w:szCs w:val="28"/>
              </w:rPr>
              <w:t>RESC</w:t>
            </w:r>
          </w:p>
        </w:tc>
        <w:tc>
          <w:tcPr>
            <w:tcW w:w="645" w:type="dxa"/>
          </w:tcPr>
          <w:p w14:paraId="4BB17093" w14:textId="2BE689AF"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71388673" w14:textId="463CD112"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Протокол исследования нарушений рефракции у детей для оценки распространенности нарушений зрения, связанных с аномалиями рефракции или другими причинами</w:t>
            </w:r>
          </w:p>
        </w:tc>
      </w:tr>
      <w:tr w:rsidR="00B221A0" w:rsidRPr="00B221A0" w14:paraId="7C9AF147" w14:textId="77777777" w:rsidTr="00E960A2">
        <w:tc>
          <w:tcPr>
            <w:tcW w:w="2127" w:type="dxa"/>
          </w:tcPr>
          <w:p w14:paraId="0A1FCC74" w14:textId="262D78DB"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SER</w:t>
            </w:r>
          </w:p>
        </w:tc>
        <w:tc>
          <w:tcPr>
            <w:tcW w:w="645" w:type="dxa"/>
          </w:tcPr>
          <w:p w14:paraId="00F3245C" w14:textId="529791CC"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0AC682F7" w14:textId="1BC13114"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сферический эквивалент рефракции</w:t>
            </w:r>
          </w:p>
        </w:tc>
      </w:tr>
      <w:tr w:rsidR="00B221A0" w:rsidRPr="00B221A0" w14:paraId="4A97A68F" w14:textId="77777777" w:rsidTr="00E960A2">
        <w:tc>
          <w:tcPr>
            <w:tcW w:w="2127" w:type="dxa"/>
          </w:tcPr>
          <w:p w14:paraId="7742E0D7" w14:textId="5D848A4E"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АОО «НИШ»</w:t>
            </w:r>
          </w:p>
        </w:tc>
        <w:tc>
          <w:tcPr>
            <w:tcW w:w="645" w:type="dxa"/>
          </w:tcPr>
          <w:p w14:paraId="5BB88B58" w14:textId="40BABB76"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51C696E5" w14:textId="56B671A3"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Акционерное общество «Назарбаев интеллектуальная школа»</w:t>
            </w:r>
          </w:p>
        </w:tc>
      </w:tr>
      <w:tr w:rsidR="00B221A0" w:rsidRPr="00B221A0" w14:paraId="156BC321" w14:textId="77777777" w:rsidTr="00E960A2">
        <w:tc>
          <w:tcPr>
            <w:tcW w:w="2127" w:type="dxa"/>
          </w:tcPr>
          <w:p w14:paraId="36DD8DD9" w14:textId="303256E7"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ВОЗ</w:t>
            </w:r>
          </w:p>
        </w:tc>
        <w:tc>
          <w:tcPr>
            <w:tcW w:w="645" w:type="dxa"/>
          </w:tcPr>
          <w:p w14:paraId="6C9785C3" w14:textId="163CA9D9"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0BF37212" w14:textId="304C99B6"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Всемирная Организация Здравоохранения</w:t>
            </w:r>
          </w:p>
        </w:tc>
      </w:tr>
      <w:tr w:rsidR="00B221A0" w:rsidRPr="00B221A0" w14:paraId="6C7A0A7E" w14:textId="77777777" w:rsidTr="00E960A2">
        <w:tc>
          <w:tcPr>
            <w:tcW w:w="2127" w:type="dxa"/>
          </w:tcPr>
          <w:p w14:paraId="6229915E" w14:textId="05B1B795"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ДИ</w:t>
            </w:r>
          </w:p>
        </w:tc>
        <w:tc>
          <w:tcPr>
            <w:tcW w:w="645" w:type="dxa"/>
          </w:tcPr>
          <w:p w14:paraId="6FBAAED1" w14:textId="0DDC8827"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67D188CD" w14:textId="605FFC69"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доверительный интервал</w:t>
            </w:r>
          </w:p>
        </w:tc>
      </w:tr>
      <w:tr w:rsidR="00B221A0" w:rsidRPr="00B221A0" w14:paraId="29E265A5" w14:textId="77777777" w:rsidTr="00E960A2">
        <w:tc>
          <w:tcPr>
            <w:tcW w:w="2127" w:type="dxa"/>
          </w:tcPr>
          <w:p w14:paraId="20F184CD" w14:textId="5D63237B"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ДТП</w:t>
            </w:r>
          </w:p>
        </w:tc>
        <w:tc>
          <w:tcPr>
            <w:tcW w:w="645" w:type="dxa"/>
          </w:tcPr>
          <w:p w14:paraId="6C807E38" w14:textId="3F550FA2"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18770AB4" w14:textId="3D458D8C"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дорожно-транспортные происшествия</w:t>
            </w:r>
          </w:p>
        </w:tc>
      </w:tr>
      <w:tr w:rsidR="00B221A0" w:rsidRPr="00B221A0" w14:paraId="5994A40F" w14:textId="77777777" w:rsidTr="00E960A2">
        <w:tc>
          <w:tcPr>
            <w:tcW w:w="2127" w:type="dxa"/>
          </w:tcPr>
          <w:p w14:paraId="6D624501" w14:textId="30540994"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КазНИИ</w:t>
            </w:r>
          </w:p>
        </w:tc>
        <w:tc>
          <w:tcPr>
            <w:tcW w:w="645" w:type="dxa"/>
          </w:tcPr>
          <w:p w14:paraId="6DFE1DF0" w14:textId="230044D0"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48CF73A7" w14:textId="5C5CB56E"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Казахский научно-исследовательский институт</w:t>
            </w:r>
          </w:p>
        </w:tc>
      </w:tr>
      <w:tr w:rsidR="00B221A0" w:rsidRPr="00B221A0" w14:paraId="426FAADB" w14:textId="77777777" w:rsidTr="00E960A2">
        <w:tc>
          <w:tcPr>
            <w:tcW w:w="2127" w:type="dxa"/>
          </w:tcPr>
          <w:p w14:paraId="3666BDD9" w14:textId="6BA91CF1"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МЗ РК</w:t>
            </w:r>
          </w:p>
        </w:tc>
        <w:tc>
          <w:tcPr>
            <w:tcW w:w="645" w:type="dxa"/>
          </w:tcPr>
          <w:p w14:paraId="1E8E04FA" w14:textId="51C83D8A"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4961A7D0" w14:textId="09EDB7DE"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Министерство здравоохранения</w:t>
            </w:r>
          </w:p>
        </w:tc>
      </w:tr>
      <w:tr w:rsidR="00B221A0" w:rsidRPr="00B221A0" w14:paraId="4B5E827B" w14:textId="77777777" w:rsidTr="00E960A2">
        <w:tc>
          <w:tcPr>
            <w:tcW w:w="2127" w:type="dxa"/>
          </w:tcPr>
          <w:p w14:paraId="50FA7AA9" w14:textId="7FB3863A"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МКБ</w:t>
            </w:r>
          </w:p>
        </w:tc>
        <w:tc>
          <w:tcPr>
            <w:tcW w:w="645" w:type="dxa"/>
          </w:tcPr>
          <w:p w14:paraId="34407CD6" w14:textId="25316352"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2901F69C" w14:textId="72BC0B31"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Международная классификация болезней</w:t>
            </w:r>
          </w:p>
        </w:tc>
      </w:tr>
      <w:tr w:rsidR="00B221A0" w:rsidRPr="00B221A0" w14:paraId="3514302A" w14:textId="77777777" w:rsidTr="00E960A2">
        <w:tc>
          <w:tcPr>
            <w:tcW w:w="2127" w:type="dxa"/>
          </w:tcPr>
          <w:p w14:paraId="03C0914A" w14:textId="33063ECD"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МКИ</w:t>
            </w:r>
          </w:p>
        </w:tc>
        <w:tc>
          <w:tcPr>
            <w:tcW w:w="645" w:type="dxa"/>
          </w:tcPr>
          <w:p w14:paraId="0D9266E1" w14:textId="11A41CCF"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4481728C" w14:textId="5FF1FEF9"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межквартильный интервал</w:t>
            </w:r>
          </w:p>
        </w:tc>
      </w:tr>
      <w:tr w:rsidR="00C60A95" w:rsidRPr="00B221A0" w14:paraId="3B5F0BE5" w14:textId="77777777" w:rsidTr="00E960A2">
        <w:tc>
          <w:tcPr>
            <w:tcW w:w="2127" w:type="dxa"/>
          </w:tcPr>
          <w:p w14:paraId="37CF1449" w14:textId="60AAAAF0" w:rsidR="00C60A95" w:rsidRPr="00B221A0" w:rsidRDefault="00C60A95" w:rsidP="00B221A0">
            <w:pPr>
              <w:pStyle w:val="a4"/>
              <w:rPr>
                <w:rFonts w:ascii="Times New Roman" w:hAnsi="Times New Roman" w:cs="Times New Roman"/>
                <w:sz w:val="28"/>
                <w:szCs w:val="28"/>
              </w:rPr>
            </w:pPr>
            <w:r>
              <w:rPr>
                <w:rFonts w:ascii="Times New Roman" w:hAnsi="Times New Roman" w:cs="Times New Roman"/>
                <w:sz w:val="28"/>
                <w:szCs w:val="28"/>
              </w:rPr>
              <w:t>МКС РК</w:t>
            </w:r>
          </w:p>
        </w:tc>
        <w:tc>
          <w:tcPr>
            <w:tcW w:w="645" w:type="dxa"/>
          </w:tcPr>
          <w:p w14:paraId="1E4A134E" w14:textId="0E6CAF0E" w:rsidR="00C60A95" w:rsidRPr="00B221A0" w:rsidRDefault="00C60A95" w:rsidP="00B221A0">
            <w:pPr>
              <w:pStyle w:val="a4"/>
              <w:jc w:val="center"/>
              <w:rPr>
                <w:rFonts w:ascii="Times New Roman" w:hAnsi="Times New Roman" w:cs="Times New Roman"/>
                <w:sz w:val="28"/>
                <w:szCs w:val="28"/>
              </w:rPr>
            </w:pPr>
            <w:r>
              <w:rPr>
                <w:rFonts w:ascii="Times New Roman" w:hAnsi="Times New Roman" w:cs="Times New Roman"/>
                <w:sz w:val="28"/>
                <w:szCs w:val="28"/>
              </w:rPr>
              <w:t>-</w:t>
            </w:r>
          </w:p>
        </w:tc>
        <w:tc>
          <w:tcPr>
            <w:tcW w:w="6856" w:type="dxa"/>
          </w:tcPr>
          <w:p w14:paraId="1AD36890" w14:textId="1B23EF4E" w:rsidR="00C60A95" w:rsidRPr="00B221A0" w:rsidRDefault="00C60A95" w:rsidP="00890E47">
            <w:pPr>
              <w:pStyle w:val="a4"/>
              <w:jc w:val="both"/>
              <w:rPr>
                <w:rFonts w:ascii="Times New Roman" w:hAnsi="Times New Roman" w:cs="Times New Roman"/>
                <w:sz w:val="28"/>
                <w:szCs w:val="28"/>
              </w:rPr>
            </w:pPr>
            <w:r>
              <w:rPr>
                <w:rFonts w:ascii="Times New Roman" w:hAnsi="Times New Roman" w:cs="Times New Roman"/>
                <w:sz w:val="28"/>
                <w:szCs w:val="28"/>
              </w:rPr>
              <w:t>Министерство культуры и спорта Республики Казахстан</w:t>
            </w:r>
          </w:p>
        </w:tc>
      </w:tr>
      <w:tr w:rsidR="001621AC" w:rsidRPr="00B221A0" w14:paraId="20930A7B" w14:textId="77777777" w:rsidTr="00E960A2">
        <w:tc>
          <w:tcPr>
            <w:tcW w:w="2127" w:type="dxa"/>
          </w:tcPr>
          <w:p w14:paraId="375F0367" w14:textId="33671030" w:rsidR="001621AC" w:rsidRDefault="001621AC" w:rsidP="00B221A0">
            <w:pPr>
              <w:pStyle w:val="a4"/>
              <w:rPr>
                <w:rFonts w:ascii="Times New Roman" w:hAnsi="Times New Roman" w:cs="Times New Roman"/>
                <w:sz w:val="28"/>
                <w:szCs w:val="28"/>
              </w:rPr>
            </w:pPr>
            <w:r>
              <w:rPr>
                <w:rFonts w:ascii="Times New Roman" w:hAnsi="Times New Roman" w:cs="Times New Roman"/>
                <w:sz w:val="28"/>
                <w:szCs w:val="28"/>
              </w:rPr>
              <w:t>МНВО РК</w:t>
            </w:r>
          </w:p>
        </w:tc>
        <w:tc>
          <w:tcPr>
            <w:tcW w:w="645" w:type="dxa"/>
          </w:tcPr>
          <w:p w14:paraId="5312491A" w14:textId="3743EFA3" w:rsidR="001621AC" w:rsidRDefault="001621AC" w:rsidP="001621AC">
            <w:pPr>
              <w:pStyle w:val="a4"/>
              <w:jc w:val="center"/>
              <w:rPr>
                <w:rFonts w:ascii="Times New Roman" w:hAnsi="Times New Roman" w:cs="Times New Roman"/>
                <w:sz w:val="28"/>
                <w:szCs w:val="28"/>
              </w:rPr>
            </w:pPr>
            <w:r>
              <w:rPr>
                <w:rFonts w:ascii="Times New Roman" w:hAnsi="Times New Roman" w:cs="Times New Roman"/>
                <w:sz w:val="28"/>
                <w:szCs w:val="28"/>
              </w:rPr>
              <w:t>-</w:t>
            </w:r>
          </w:p>
        </w:tc>
        <w:tc>
          <w:tcPr>
            <w:tcW w:w="6856" w:type="dxa"/>
          </w:tcPr>
          <w:p w14:paraId="7F8B5D9B" w14:textId="3A5F18F1" w:rsidR="001621AC" w:rsidRDefault="001621AC" w:rsidP="00890E47">
            <w:pPr>
              <w:pStyle w:val="a4"/>
              <w:jc w:val="both"/>
              <w:rPr>
                <w:rFonts w:ascii="Times New Roman" w:hAnsi="Times New Roman" w:cs="Times New Roman"/>
                <w:sz w:val="28"/>
                <w:szCs w:val="28"/>
              </w:rPr>
            </w:pPr>
            <w:r>
              <w:rPr>
                <w:rFonts w:ascii="Times New Roman" w:hAnsi="Times New Roman" w:cs="Times New Roman"/>
                <w:sz w:val="28"/>
                <w:szCs w:val="28"/>
              </w:rPr>
              <w:t xml:space="preserve">Министерство науки и Высшего образования Республики Казахстан </w:t>
            </w:r>
          </w:p>
        </w:tc>
      </w:tr>
      <w:tr w:rsidR="00C60A95" w:rsidRPr="00B221A0" w14:paraId="48E7A8BB" w14:textId="77777777" w:rsidTr="00E960A2">
        <w:tc>
          <w:tcPr>
            <w:tcW w:w="2127" w:type="dxa"/>
          </w:tcPr>
          <w:p w14:paraId="2B8F9517" w14:textId="2CA92DAA" w:rsidR="00C60A95" w:rsidRPr="00B221A0" w:rsidRDefault="00C60A95" w:rsidP="00B221A0">
            <w:pPr>
              <w:pStyle w:val="a4"/>
              <w:rPr>
                <w:rFonts w:ascii="Times New Roman" w:hAnsi="Times New Roman" w:cs="Times New Roman"/>
                <w:sz w:val="28"/>
                <w:szCs w:val="28"/>
              </w:rPr>
            </w:pPr>
            <w:r>
              <w:rPr>
                <w:rFonts w:ascii="Times New Roman" w:hAnsi="Times New Roman" w:cs="Times New Roman"/>
                <w:sz w:val="28"/>
                <w:szCs w:val="28"/>
              </w:rPr>
              <w:t>МО РК</w:t>
            </w:r>
          </w:p>
        </w:tc>
        <w:tc>
          <w:tcPr>
            <w:tcW w:w="645" w:type="dxa"/>
          </w:tcPr>
          <w:p w14:paraId="3E57578A" w14:textId="71499584" w:rsidR="00C60A95" w:rsidRPr="00B221A0" w:rsidRDefault="00C60A95" w:rsidP="00B221A0">
            <w:pPr>
              <w:pStyle w:val="a4"/>
              <w:jc w:val="center"/>
              <w:rPr>
                <w:rFonts w:ascii="Times New Roman" w:hAnsi="Times New Roman" w:cs="Times New Roman"/>
                <w:sz w:val="28"/>
                <w:szCs w:val="28"/>
              </w:rPr>
            </w:pPr>
            <w:r>
              <w:rPr>
                <w:rFonts w:ascii="Times New Roman" w:hAnsi="Times New Roman" w:cs="Times New Roman"/>
                <w:sz w:val="28"/>
                <w:szCs w:val="28"/>
              </w:rPr>
              <w:t>-</w:t>
            </w:r>
          </w:p>
        </w:tc>
        <w:tc>
          <w:tcPr>
            <w:tcW w:w="6856" w:type="dxa"/>
          </w:tcPr>
          <w:p w14:paraId="37C62E36" w14:textId="5689C999" w:rsidR="00C60A95" w:rsidRPr="00B221A0" w:rsidRDefault="00C60A95" w:rsidP="00890E47">
            <w:pPr>
              <w:pStyle w:val="a4"/>
              <w:jc w:val="both"/>
              <w:rPr>
                <w:rFonts w:ascii="Times New Roman" w:hAnsi="Times New Roman" w:cs="Times New Roman"/>
                <w:sz w:val="28"/>
                <w:szCs w:val="28"/>
              </w:rPr>
            </w:pPr>
            <w:r>
              <w:rPr>
                <w:rFonts w:ascii="Times New Roman" w:hAnsi="Times New Roman" w:cs="Times New Roman"/>
                <w:sz w:val="28"/>
                <w:szCs w:val="28"/>
              </w:rPr>
              <w:t>Министерство обороны Республики Казахстан</w:t>
            </w:r>
          </w:p>
        </w:tc>
      </w:tr>
      <w:tr w:rsidR="00B221A0" w:rsidRPr="00B221A0" w14:paraId="16918403" w14:textId="77777777" w:rsidTr="00E960A2">
        <w:tc>
          <w:tcPr>
            <w:tcW w:w="2127" w:type="dxa"/>
          </w:tcPr>
          <w:p w14:paraId="0D124E41" w14:textId="61CF8520"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МОН РК</w:t>
            </w:r>
          </w:p>
        </w:tc>
        <w:tc>
          <w:tcPr>
            <w:tcW w:w="645" w:type="dxa"/>
          </w:tcPr>
          <w:p w14:paraId="1250C0E0" w14:textId="71330153"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3F03F9C3" w14:textId="3556C579"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Министерств</w:t>
            </w:r>
            <w:r w:rsidR="00C60A95">
              <w:rPr>
                <w:rFonts w:ascii="Times New Roman" w:hAnsi="Times New Roman" w:cs="Times New Roman"/>
                <w:sz w:val="28"/>
                <w:szCs w:val="28"/>
              </w:rPr>
              <w:t>о</w:t>
            </w:r>
            <w:r w:rsidRPr="00B221A0">
              <w:rPr>
                <w:rFonts w:ascii="Times New Roman" w:hAnsi="Times New Roman" w:cs="Times New Roman"/>
                <w:sz w:val="28"/>
                <w:szCs w:val="28"/>
              </w:rPr>
              <w:t xml:space="preserve"> образования и науки</w:t>
            </w:r>
            <w:r w:rsidR="00C60A95">
              <w:rPr>
                <w:rFonts w:ascii="Times New Roman" w:hAnsi="Times New Roman" w:cs="Times New Roman"/>
                <w:sz w:val="28"/>
                <w:szCs w:val="28"/>
              </w:rPr>
              <w:t xml:space="preserve"> Республики Казахстан</w:t>
            </w:r>
          </w:p>
        </w:tc>
      </w:tr>
      <w:tr w:rsidR="00DD013E" w:rsidRPr="00B221A0" w14:paraId="4793C99B" w14:textId="77777777" w:rsidTr="00E960A2">
        <w:tc>
          <w:tcPr>
            <w:tcW w:w="2127" w:type="dxa"/>
          </w:tcPr>
          <w:p w14:paraId="7A25A12F" w14:textId="47F08F4B" w:rsidR="00DD013E" w:rsidRPr="00B221A0" w:rsidRDefault="00DD013E" w:rsidP="00B221A0">
            <w:pPr>
              <w:pStyle w:val="a4"/>
              <w:rPr>
                <w:rFonts w:ascii="Times New Roman" w:hAnsi="Times New Roman" w:cs="Times New Roman"/>
                <w:sz w:val="28"/>
                <w:szCs w:val="28"/>
              </w:rPr>
            </w:pPr>
            <w:r>
              <w:rPr>
                <w:rFonts w:ascii="Times New Roman" w:hAnsi="Times New Roman" w:cs="Times New Roman"/>
                <w:sz w:val="28"/>
                <w:szCs w:val="28"/>
              </w:rPr>
              <w:t>НИИ</w:t>
            </w:r>
          </w:p>
        </w:tc>
        <w:tc>
          <w:tcPr>
            <w:tcW w:w="645" w:type="dxa"/>
          </w:tcPr>
          <w:p w14:paraId="10A570E7" w14:textId="72B619E4" w:rsidR="00DD013E" w:rsidRPr="00B221A0" w:rsidRDefault="00DD013E" w:rsidP="00B221A0">
            <w:pPr>
              <w:pStyle w:val="a4"/>
              <w:jc w:val="center"/>
              <w:rPr>
                <w:rFonts w:ascii="Times New Roman" w:hAnsi="Times New Roman" w:cs="Times New Roman"/>
                <w:sz w:val="28"/>
                <w:szCs w:val="28"/>
              </w:rPr>
            </w:pPr>
            <w:r>
              <w:rPr>
                <w:rFonts w:ascii="Times New Roman" w:hAnsi="Times New Roman" w:cs="Times New Roman"/>
                <w:sz w:val="28"/>
                <w:szCs w:val="28"/>
              </w:rPr>
              <w:t>-</w:t>
            </w:r>
          </w:p>
        </w:tc>
        <w:tc>
          <w:tcPr>
            <w:tcW w:w="6856" w:type="dxa"/>
          </w:tcPr>
          <w:p w14:paraId="35E905E4" w14:textId="4B3C27BD" w:rsidR="00DD013E" w:rsidRPr="00B221A0" w:rsidRDefault="00DD013E" w:rsidP="00890E47">
            <w:pPr>
              <w:pStyle w:val="a4"/>
              <w:jc w:val="both"/>
              <w:rPr>
                <w:rFonts w:ascii="Times New Roman" w:hAnsi="Times New Roman" w:cs="Times New Roman"/>
                <w:sz w:val="28"/>
                <w:szCs w:val="28"/>
              </w:rPr>
            </w:pPr>
            <w:r>
              <w:rPr>
                <w:rFonts w:ascii="Times New Roman" w:hAnsi="Times New Roman" w:cs="Times New Roman"/>
                <w:sz w:val="28"/>
                <w:szCs w:val="28"/>
              </w:rPr>
              <w:t>Научно-исследовательский институт</w:t>
            </w:r>
          </w:p>
        </w:tc>
      </w:tr>
      <w:tr w:rsidR="00B221A0" w:rsidRPr="00B221A0" w14:paraId="72B1DCAB" w14:textId="77777777" w:rsidTr="00E960A2">
        <w:tc>
          <w:tcPr>
            <w:tcW w:w="2127" w:type="dxa"/>
          </w:tcPr>
          <w:p w14:paraId="67821638" w14:textId="0278E588"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ОСТ</w:t>
            </w:r>
          </w:p>
        </w:tc>
        <w:tc>
          <w:tcPr>
            <w:tcW w:w="645" w:type="dxa"/>
          </w:tcPr>
          <w:p w14:paraId="049B45DA" w14:textId="730A5132"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53D37810" w14:textId="6DD9CD3F"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оптическая когерентная томография</w:t>
            </w:r>
          </w:p>
        </w:tc>
      </w:tr>
      <w:tr w:rsidR="00B221A0" w:rsidRPr="00B221A0" w14:paraId="6C0856A6" w14:textId="77777777" w:rsidTr="00E960A2">
        <w:tc>
          <w:tcPr>
            <w:tcW w:w="2127" w:type="dxa"/>
          </w:tcPr>
          <w:p w14:paraId="2C6B8AAD" w14:textId="57A3D1D0"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ОШ</w:t>
            </w:r>
          </w:p>
        </w:tc>
        <w:tc>
          <w:tcPr>
            <w:tcW w:w="645" w:type="dxa"/>
          </w:tcPr>
          <w:p w14:paraId="34B3E0BF" w14:textId="42B4F001"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73C1C751" w14:textId="32682F3B"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отношение шансов</w:t>
            </w:r>
          </w:p>
        </w:tc>
      </w:tr>
      <w:tr w:rsidR="00B221A0" w:rsidRPr="00B221A0" w14:paraId="1CDEEB28" w14:textId="77777777" w:rsidTr="00E960A2">
        <w:tc>
          <w:tcPr>
            <w:tcW w:w="2127" w:type="dxa"/>
          </w:tcPr>
          <w:p w14:paraId="16F1119F" w14:textId="61E8AE3E"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ПМСП</w:t>
            </w:r>
          </w:p>
        </w:tc>
        <w:tc>
          <w:tcPr>
            <w:tcW w:w="645" w:type="dxa"/>
          </w:tcPr>
          <w:p w14:paraId="393DC938" w14:textId="36716920"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125D35A0" w14:textId="37DAB9FB"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первичная медико-санитарная помощь</w:t>
            </w:r>
          </w:p>
        </w:tc>
      </w:tr>
      <w:tr w:rsidR="00B221A0" w:rsidRPr="00B221A0" w14:paraId="43AE5D73" w14:textId="77777777" w:rsidTr="00E960A2">
        <w:tc>
          <w:tcPr>
            <w:tcW w:w="2127" w:type="dxa"/>
          </w:tcPr>
          <w:p w14:paraId="2EF02191" w14:textId="5D1DA55A"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РК</w:t>
            </w:r>
          </w:p>
        </w:tc>
        <w:tc>
          <w:tcPr>
            <w:tcW w:w="645" w:type="dxa"/>
          </w:tcPr>
          <w:p w14:paraId="4D448ED1" w14:textId="555D5F5C"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5A27CB48" w14:textId="7A203B50"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Республика Казахстан</w:t>
            </w:r>
          </w:p>
        </w:tc>
      </w:tr>
      <w:tr w:rsidR="00B221A0" w:rsidRPr="00B221A0" w14:paraId="68697893" w14:textId="77777777" w:rsidTr="00E960A2">
        <w:tc>
          <w:tcPr>
            <w:tcW w:w="2127" w:type="dxa"/>
          </w:tcPr>
          <w:p w14:paraId="1343EBE2" w14:textId="419065AC"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РФ</w:t>
            </w:r>
          </w:p>
        </w:tc>
        <w:tc>
          <w:tcPr>
            <w:tcW w:w="645" w:type="dxa"/>
          </w:tcPr>
          <w:p w14:paraId="2FBCEE2E" w14:textId="5B9949D4"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7E0A3393" w14:textId="22B23BC2"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Российская Федерация</w:t>
            </w:r>
          </w:p>
        </w:tc>
      </w:tr>
      <w:tr w:rsidR="00B221A0" w:rsidRPr="00B221A0" w14:paraId="665711F5" w14:textId="77777777" w:rsidTr="00E960A2">
        <w:tc>
          <w:tcPr>
            <w:tcW w:w="2127" w:type="dxa"/>
          </w:tcPr>
          <w:p w14:paraId="31438814" w14:textId="2AAB50FA"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США</w:t>
            </w:r>
          </w:p>
        </w:tc>
        <w:tc>
          <w:tcPr>
            <w:tcW w:w="645" w:type="dxa"/>
          </w:tcPr>
          <w:p w14:paraId="06C83798" w14:textId="094E55F3"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4A096AE8" w14:textId="1D43F790" w:rsidR="00B221A0" w:rsidRPr="00B221A0" w:rsidRDefault="00B221A0" w:rsidP="00890E47">
            <w:pPr>
              <w:pStyle w:val="a4"/>
              <w:jc w:val="both"/>
              <w:rPr>
                <w:rFonts w:ascii="Times New Roman" w:hAnsi="Times New Roman" w:cs="Times New Roman"/>
                <w:b/>
                <w:bCs/>
                <w:sz w:val="28"/>
                <w:szCs w:val="28"/>
              </w:rPr>
            </w:pPr>
            <w:r w:rsidRPr="00B221A0">
              <w:rPr>
                <w:rFonts w:ascii="Times New Roman" w:hAnsi="Times New Roman" w:cs="Times New Roman"/>
                <w:sz w:val="28"/>
                <w:szCs w:val="28"/>
              </w:rPr>
              <w:t>Соединенные Штаты Америки</w:t>
            </w:r>
          </w:p>
        </w:tc>
      </w:tr>
      <w:tr w:rsidR="00B221A0" w:rsidRPr="00B221A0" w14:paraId="52030044" w14:textId="77777777" w:rsidTr="00E960A2">
        <w:tc>
          <w:tcPr>
            <w:tcW w:w="2127" w:type="dxa"/>
          </w:tcPr>
          <w:p w14:paraId="3558CF61" w14:textId="537D1033" w:rsidR="00B221A0" w:rsidRPr="00B221A0" w:rsidRDefault="00B221A0" w:rsidP="00B221A0">
            <w:pPr>
              <w:pStyle w:val="a4"/>
              <w:rPr>
                <w:rFonts w:ascii="Times New Roman" w:hAnsi="Times New Roman" w:cs="Times New Roman"/>
                <w:b/>
                <w:bCs/>
                <w:sz w:val="28"/>
                <w:szCs w:val="28"/>
              </w:rPr>
            </w:pPr>
            <w:r w:rsidRPr="00B221A0">
              <w:rPr>
                <w:rFonts w:ascii="Times New Roman" w:hAnsi="Times New Roman" w:cs="Times New Roman"/>
                <w:sz w:val="28"/>
                <w:szCs w:val="28"/>
              </w:rPr>
              <w:t>СШИОСД</w:t>
            </w:r>
          </w:p>
        </w:tc>
        <w:tc>
          <w:tcPr>
            <w:tcW w:w="645" w:type="dxa"/>
          </w:tcPr>
          <w:p w14:paraId="2B187AE1" w14:textId="7FE359E7" w:rsidR="00B221A0" w:rsidRPr="00B221A0" w:rsidRDefault="00B221A0" w:rsidP="00B221A0">
            <w:pPr>
              <w:pStyle w:val="a4"/>
              <w:jc w:val="center"/>
              <w:rPr>
                <w:rFonts w:ascii="Times New Roman" w:hAnsi="Times New Roman" w:cs="Times New Roman"/>
                <w:b/>
                <w:bCs/>
                <w:sz w:val="28"/>
                <w:szCs w:val="28"/>
              </w:rPr>
            </w:pPr>
            <w:r w:rsidRPr="00B221A0">
              <w:rPr>
                <w:rFonts w:ascii="Times New Roman" w:hAnsi="Times New Roman" w:cs="Times New Roman"/>
                <w:sz w:val="28"/>
                <w:szCs w:val="28"/>
              </w:rPr>
              <w:t>-</w:t>
            </w:r>
          </w:p>
        </w:tc>
        <w:tc>
          <w:tcPr>
            <w:tcW w:w="6856" w:type="dxa"/>
          </w:tcPr>
          <w:p w14:paraId="652EDDE1" w14:textId="32902A8B" w:rsidR="00B221A0" w:rsidRPr="00B221A0" w:rsidRDefault="00E960A2" w:rsidP="00890E47">
            <w:pPr>
              <w:pStyle w:val="a4"/>
              <w:jc w:val="both"/>
              <w:rPr>
                <w:rFonts w:ascii="Times New Roman" w:hAnsi="Times New Roman" w:cs="Times New Roman"/>
                <w:b/>
                <w:bCs/>
                <w:sz w:val="28"/>
                <w:szCs w:val="28"/>
              </w:rPr>
            </w:pPr>
            <w:r>
              <w:rPr>
                <w:rFonts w:ascii="Times New Roman" w:hAnsi="Times New Roman" w:cs="Times New Roman"/>
                <w:sz w:val="28"/>
                <w:szCs w:val="28"/>
              </w:rPr>
              <w:t>с</w:t>
            </w:r>
            <w:r w:rsidR="00B221A0" w:rsidRPr="00B221A0">
              <w:rPr>
                <w:rFonts w:ascii="Times New Roman" w:hAnsi="Times New Roman" w:cs="Times New Roman"/>
                <w:sz w:val="28"/>
                <w:szCs w:val="28"/>
              </w:rPr>
              <w:t xml:space="preserve">редняя школа-интернат для одаренных в спорте детей </w:t>
            </w:r>
          </w:p>
        </w:tc>
      </w:tr>
    </w:tbl>
    <w:p w14:paraId="729739B6" w14:textId="2E8E02F7" w:rsidR="00BB5BE8" w:rsidRPr="004804AA" w:rsidRDefault="00BB5BE8" w:rsidP="005C37DF">
      <w:pPr>
        <w:pStyle w:val="a4"/>
        <w:ind w:firstLine="709"/>
        <w:rPr>
          <w:rFonts w:ascii="Times New Roman" w:hAnsi="Times New Roman" w:cs="Times New Roman"/>
          <w:b/>
          <w:bCs/>
          <w:sz w:val="28"/>
          <w:szCs w:val="28"/>
        </w:rPr>
      </w:pPr>
    </w:p>
    <w:p w14:paraId="19147D59" w14:textId="42197AFA" w:rsidR="00BB5BE8" w:rsidRPr="004804AA" w:rsidRDefault="00BB5BE8" w:rsidP="005C37DF">
      <w:pPr>
        <w:pStyle w:val="a4"/>
        <w:ind w:firstLine="709"/>
        <w:jc w:val="center"/>
        <w:rPr>
          <w:rFonts w:ascii="Times New Roman" w:hAnsi="Times New Roman" w:cs="Times New Roman"/>
          <w:b/>
          <w:bCs/>
          <w:sz w:val="28"/>
          <w:szCs w:val="28"/>
        </w:rPr>
      </w:pPr>
    </w:p>
    <w:p w14:paraId="668F92C6" w14:textId="2CFE9A7C" w:rsidR="00BB5BE8" w:rsidRPr="004804AA" w:rsidRDefault="00BB5BE8" w:rsidP="005C37DF">
      <w:pPr>
        <w:pStyle w:val="a4"/>
        <w:ind w:firstLine="709"/>
        <w:jc w:val="center"/>
        <w:rPr>
          <w:rFonts w:ascii="Times New Roman" w:hAnsi="Times New Roman" w:cs="Times New Roman"/>
          <w:b/>
          <w:bCs/>
          <w:sz w:val="28"/>
          <w:szCs w:val="28"/>
        </w:rPr>
      </w:pPr>
    </w:p>
    <w:p w14:paraId="2C44CFF3" w14:textId="236B9EC7" w:rsidR="00B87F64" w:rsidRDefault="00B87F64" w:rsidP="005C37DF">
      <w:pPr>
        <w:spacing w:after="0" w:line="240" w:lineRule="auto"/>
        <w:ind w:firstLine="709"/>
        <w:rPr>
          <w:rFonts w:ascii="Times New Roman" w:eastAsiaTheme="minorHAnsi" w:hAnsi="Times New Roman" w:cs="Times New Roman"/>
          <w:b/>
          <w:bCs/>
          <w:sz w:val="28"/>
          <w:szCs w:val="28"/>
          <w:lang w:eastAsia="en-US"/>
        </w:rPr>
      </w:pPr>
      <w:r>
        <w:rPr>
          <w:rFonts w:ascii="Times New Roman" w:hAnsi="Times New Roman" w:cs="Times New Roman"/>
          <w:b/>
          <w:bCs/>
          <w:sz w:val="28"/>
          <w:szCs w:val="28"/>
        </w:rPr>
        <w:br w:type="page"/>
      </w:r>
    </w:p>
    <w:p w14:paraId="25E318BE" w14:textId="0C7A48E3" w:rsidR="000A0294" w:rsidRPr="00533A24" w:rsidRDefault="000A0294" w:rsidP="005C37DF">
      <w:pPr>
        <w:pStyle w:val="a4"/>
        <w:ind w:firstLine="709"/>
        <w:jc w:val="both"/>
        <w:rPr>
          <w:rFonts w:ascii="Times New Roman" w:hAnsi="Times New Roman" w:cs="Times New Roman"/>
          <w:b/>
          <w:bCs/>
          <w:sz w:val="28"/>
          <w:szCs w:val="28"/>
        </w:rPr>
      </w:pPr>
      <w:r w:rsidRPr="00533A24">
        <w:rPr>
          <w:rFonts w:ascii="Times New Roman" w:hAnsi="Times New Roman" w:cs="Times New Roman"/>
          <w:b/>
          <w:bCs/>
          <w:sz w:val="28"/>
          <w:szCs w:val="28"/>
        </w:rPr>
        <w:lastRenderedPageBreak/>
        <w:t>В</w:t>
      </w:r>
      <w:r w:rsidR="00F064ED">
        <w:rPr>
          <w:rFonts w:ascii="Times New Roman" w:hAnsi="Times New Roman" w:cs="Times New Roman"/>
          <w:b/>
          <w:bCs/>
          <w:sz w:val="28"/>
          <w:szCs w:val="28"/>
        </w:rPr>
        <w:t>ВЕДЕНИЕ</w:t>
      </w:r>
    </w:p>
    <w:p w14:paraId="1438E88C" w14:textId="76DA0C85" w:rsidR="000A0294" w:rsidRPr="004804AA" w:rsidRDefault="00F064ED" w:rsidP="005C37DF">
      <w:pPr>
        <w:pStyle w:val="a4"/>
        <w:ind w:firstLine="709"/>
        <w:jc w:val="both"/>
        <w:rPr>
          <w:rStyle w:val="ad"/>
          <w:rFonts w:ascii="Times New Roman" w:hAnsi="Times New Roman" w:cs="Times New Roman"/>
          <w:b w:val="0"/>
          <w:bCs w:val="0"/>
          <w:sz w:val="28"/>
          <w:szCs w:val="28"/>
        </w:rPr>
      </w:pPr>
      <w:r w:rsidRPr="00F064ED">
        <w:rPr>
          <w:rStyle w:val="ad"/>
          <w:rFonts w:ascii="Times New Roman" w:hAnsi="Times New Roman" w:cs="Times New Roman"/>
          <w:sz w:val="28"/>
          <w:szCs w:val="28"/>
        </w:rPr>
        <w:t>Актуальность.</w:t>
      </w:r>
      <w:r>
        <w:rPr>
          <w:rStyle w:val="ad"/>
          <w:rFonts w:ascii="Times New Roman" w:hAnsi="Times New Roman" w:cs="Times New Roman"/>
          <w:b w:val="0"/>
          <w:bCs w:val="0"/>
          <w:sz w:val="28"/>
          <w:szCs w:val="28"/>
        </w:rPr>
        <w:t xml:space="preserve"> </w:t>
      </w:r>
      <w:r w:rsidR="000A0294" w:rsidRPr="004804AA">
        <w:rPr>
          <w:rStyle w:val="ad"/>
          <w:rFonts w:ascii="Times New Roman" w:hAnsi="Times New Roman" w:cs="Times New Roman"/>
          <w:b w:val="0"/>
          <w:bCs w:val="0"/>
          <w:sz w:val="28"/>
          <w:szCs w:val="28"/>
        </w:rPr>
        <w:t xml:space="preserve">В течение последних десятилетий аномалии рефракции неизменно остаются ведущей причиной нарушения зрения у детей и подростков во всем мире </w:t>
      </w:r>
      <w:r w:rsidR="00FA7023" w:rsidRPr="00FA7023">
        <w:rPr>
          <w:rStyle w:val="ad"/>
          <w:rFonts w:ascii="Times New Roman" w:hAnsi="Times New Roman" w:cs="Times New Roman"/>
          <w:b w:val="0"/>
          <w:bCs w:val="0"/>
          <w:sz w:val="28"/>
          <w:szCs w:val="28"/>
        </w:rPr>
        <w:t>[1</w:t>
      </w:r>
      <w:r w:rsidR="00370636">
        <w:rPr>
          <w:rStyle w:val="ad"/>
          <w:rFonts w:ascii="Times New Roman" w:hAnsi="Times New Roman" w:cs="Times New Roman"/>
          <w:b w:val="0"/>
          <w:bCs w:val="0"/>
          <w:sz w:val="28"/>
          <w:szCs w:val="28"/>
        </w:rPr>
        <w:t>-</w:t>
      </w:r>
      <w:r w:rsidR="00FA7023" w:rsidRPr="00FA7023">
        <w:rPr>
          <w:rStyle w:val="ad"/>
          <w:rFonts w:ascii="Times New Roman" w:hAnsi="Times New Roman" w:cs="Times New Roman"/>
          <w:b w:val="0"/>
          <w:bCs w:val="0"/>
          <w:sz w:val="28"/>
          <w:szCs w:val="28"/>
        </w:rPr>
        <w:t xml:space="preserve"> 2]</w:t>
      </w:r>
      <w:r w:rsidR="00FA7023">
        <w:rPr>
          <w:rStyle w:val="ad"/>
          <w:rFonts w:ascii="Times New Roman" w:hAnsi="Times New Roman" w:cs="Times New Roman"/>
          <w:b w:val="0"/>
          <w:bCs w:val="0"/>
          <w:sz w:val="28"/>
          <w:szCs w:val="28"/>
        </w:rPr>
        <w:t>.</w:t>
      </w:r>
      <w:r w:rsidR="000A0294" w:rsidRPr="004804AA">
        <w:rPr>
          <w:rStyle w:val="ad"/>
          <w:rFonts w:ascii="Times New Roman" w:hAnsi="Times New Roman" w:cs="Times New Roman"/>
          <w:b w:val="0"/>
          <w:bCs w:val="0"/>
          <w:sz w:val="28"/>
          <w:szCs w:val="28"/>
        </w:rPr>
        <w:t xml:space="preserve"> </w:t>
      </w:r>
      <w:r w:rsidR="005825EA">
        <w:rPr>
          <w:rStyle w:val="ad"/>
          <w:rFonts w:ascii="Times New Roman" w:hAnsi="Times New Roman" w:cs="Times New Roman"/>
          <w:b w:val="0"/>
          <w:bCs w:val="0"/>
          <w:sz w:val="28"/>
          <w:szCs w:val="28"/>
        </w:rPr>
        <w:t>По оценкам</w:t>
      </w:r>
      <w:r w:rsidR="000A0294" w:rsidRPr="004804AA">
        <w:rPr>
          <w:rStyle w:val="ad"/>
          <w:rFonts w:ascii="Times New Roman" w:hAnsi="Times New Roman" w:cs="Times New Roman"/>
          <w:b w:val="0"/>
          <w:bCs w:val="0"/>
          <w:sz w:val="28"/>
          <w:szCs w:val="28"/>
        </w:rPr>
        <w:t xml:space="preserve"> Resnikoff с соавт</w:t>
      </w:r>
      <w:r w:rsidR="00A86FEC">
        <w:rPr>
          <w:rStyle w:val="ad"/>
          <w:rFonts w:ascii="Times New Roman" w:hAnsi="Times New Roman" w:cs="Times New Roman"/>
          <w:b w:val="0"/>
          <w:bCs w:val="0"/>
          <w:sz w:val="28"/>
          <w:szCs w:val="28"/>
        </w:rPr>
        <w:t>. (2004) около 12,8 млн детей (0,96</w:t>
      </w:r>
      <w:r w:rsidR="000A0294" w:rsidRPr="004804AA">
        <w:rPr>
          <w:rStyle w:val="ad"/>
          <w:rFonts w:ascii="Times New Roman" w:hAnsi="Times New Roman" w:cs="Times New Roman"/>
          <w:b w:val="0"/>
          <w:bCs w:val="0"/>
          <w:sz w:val="28"/>
          <w:szCs w:val="28"/>
        </w:rPr>
        <w:t xml:space="preserve">%) в возрастной группе 5–15 </w:t>
      </w:r>
      <w:r w:rsidR="000A0294" w:rsidRPr="00FE53AA">
        <w:rPr>
          <w:rStyle w:val="ad"/>
          <w:rFonts w:ascii="Times New Roman" w:hAnsi="Times New Roman" w:cs="Times New Roman"/>
          <w:b w:val="0"/>
          <w:bCs w:val="0"/>
          <w:sz w:val="28"/>
          <w:szCs w:val="28"/>
        </w:rPr>
        <w:t>лет име</w:t>
      </w:r>
      <w:r w:rsidR="009E2362">
        <w:rPr>
          <w:rStyle w:val="ad"/>
          <w:rFonts w:ascii="Times New Roman" w:hAnsi="Times New Roman" w:cs="Times New Roman"/>
          <w:b w:val="0"/>
          <w:bCs w:val="0"/>
          <w:sz w:val="28"/>
          <w:szCs w:val="28"/>
        </w:rPr>
        <w:t>ют</w:t>
      </w:r>
      <w:r w:rsidR="000A0294" w:rsidRPr="00FE53AA">
        <w:rPr>
          <w:rStyle w:val="ad"/>
          <w:rFonts w:ascii="Times New Roman" w:hAnsi="Times New Roman" w:cs="Times New Roman"/>
          <w:b w:val="0"/>
          <w:bCs w:val="0"/>
          <w:sz w:val="28"/>
          <w:szCs w:val="28"/>
        </w:rPr>
        <w:t xml:space="preserve"> нарушения зрения из-за не</w:t>
      </w:r>
      <w:r w:rsidR="007B47CF" w:rsidRPr="00FE53AA">
        <w:rPr>
          <w:rStyle w:val="ad"/>
          <w:rFonts w:ascii="Times New Roman" w:hAnsi="Times New Roman" w:cs="Times New Roman"/>
          <w:b w:val="0"/>
          <w:bCs w:val="0"/>
          <w:sz w:val="28"/>
          <w:szCs w:val="28"/>
        </w:rPr>
        <w:t>корр</w:t>
      </w:r>
      <w:r w:rsidR="000A0294" w:rsidRPr="00FE53AA">
        <w:rPr>
          <w:rStyle w:val="ad"/>
          <w:rFonts w:ascii="Times New Roman" w:hAnsi="Times New Roman" w:cs="Times New Roman"/>
          <w:b w:val="0"/>
          <w:bCs w:val="0"/>
          <w:sz w:val="28"/>
          <w:szCs w:val="28"/>
        </w:rPr>
        <w:t>и</w:t>
      </w:r>
      <w:r w:rsidR="007B47CF" w:rsidRPr="00FE53AA">
        <w:rPr>
          <w:rStyle w:val="ad"/>
          <w:rFonts w:ascii="Times New Roman" w:hAnsi="Times New Roman" w:cs="Times New Roman"/>
          <w:b w:val="0"/>
          <w:bCs w:val="0"/>
          <w:sz w:val="28"/>
          <w:szCs w:val="28"/>
        </w:rPr>
        <w:t>ги</w:t>
      </w:r>
      <w:r w:rsidR="000A0294" w:rsidRPr="00FE53AA">
        <w:rPr>
          <w:rStyle w:val="ad"/>
          <w:rFonts w:ascii="Times New Roman" w:hAnsi="Times New Roman" w:cs="Times New Roman"/>
          <w:b w:val="0"/>
          <w:bCs w:val="0"/>
          <w:sz w:val="28"/>
          <w:szCs w:val="28"/>
        </w:rPr>
        <w:t xml:space="preserve">рованных или неадекватно </w:t>
      </w:r>
      <w:r w:rsidR="007B47CF" w:rsidRPr="00FE53AA">
        <w:rPr>
          <w:rStyle w:val="ad"/>
          <w:rFonts w:ascii="Times New Roman" w:hAnsi="Times New Roman" w:cs="Times New Roman"/>
          <w:b w:val="0"/>
          <w:bCs w:val="0"/>
          <w:sz w:val="28"/>
          <w:szCs w:val="28"/>
        </w:rPr>
        <w:t xml:space="preserve">корригированных </w:t>
      </w:r>
      <w:r w:rsidR="000A0294" w:rsidRPr="004804AA">
        <w:rPr>
          <w:rStyle w:val="ad"/>
          <w:rFonts w:ascii="Times New Roman" w:hAnsi="Times New Roman" w:cs="Times New Roman"/>
          <w:b w:val="0"/>
          <w:bCs w:val="0"/>
          <w:sz w:val="28"/>
          <w:szCs w:val="28"/>
        </w:rPr>
        <w:t>аномалий рефракции</w:t>
      </w:r>
      <w:r w:rsidR="006D2708">
        <w:rPr>
          <w:rStyle w:val="ad"/>
          <w:rFonts w:ascii="Times New Roman" w:hAnsi="Times New Roman" w:cs="Times New Roman"/>
          <w:b w:val="0"/>
          <w:bCs w:val="0"/>
          <w:sz w:val="28"/>
          <w:szCs w:val="28"/>
        </w:rPr>
        <w:t>.</w:t>
      </w:r>
      <w:r w:rsidR="000A0294" w:rsidRPr="004804AA">
        <w:rPr>
          <w:rStyle w:val="ad"/>
          <w:rFonts w:ascii="Times New Roman" w:hAnsi="Times New Roman" w:cs="Times New Roman"/>
          <w:b w:val="0"/>
          <w:bCs w:val="0"/>
          <w:sz w:val="28"/>
          <w:szCs w:val="28"/>
        </w:rPr>
        <w:t xml:space="preserve"> </w:t>
      </w:r>
      <w:r w:rsidR="006D2708">
        <w:rPr>
          <w:rStyle w:val="ad"/>
          <w:rFonts w:ascii="Times New Roman" w:hAnsi="Times New Roman" w:cs="Times New Roman"/>
          <w:b w:val="0"/>
          <w:bCs w:val="0"/>
          <w:sz w:val="28"/>
          <w:szCs w:val="28"/>
        </w:rPr>
        <w:t xml:space="preserve">Отсутствие коррекции в этой возрастной группе обусловлено отсутствием скрининга зрения и недоступностью средств коррекции </w:t>
      </w:r>
      <w:r w:rsidR="000A0294" w:rsidRPr="004804AA">
        <w:rPr>
          <w:rStyle w:val="ad"/>
          <w:rFonts w:ascii="Times New Roman" w:hAnsi="Times New Roman" w:cs="Times New Roman"/>
          <w:sz w:val="28"/>
          <w:szCs w:val="28"/>
        </w:rPr>
        <w:fldChar w:fldCharType="begin"/>
      </w:r>
      <w:r w:rsidR="000A0294" w:rsidRPr="004804AA">
        <w:rPr>
          <w:rStyle w:val="ad"/>
          <w:rFonts w:ascii="Times New Roman" w:hAnsi="Times New Roman" w:cs="Times New Roman"/>
          <w:sz w:val="28"/>
          <w:szCs w:val="28"/>
        </w:rPr>
        <w:instrText xml:space="preserve"> ADDIN ZOTERO_ITEM CSL_CITATION {"citationID":"7OswPstM","properties":{"formattedCitation":"[3]","plainCitation":"[3]","noteIndex":0},"citationItems":[{"id":1744,"uris":["http://zotero.org/users/local/XMo5Fvid/items/ZWJBFFPN"],"itemData":{"id":1744,"type":"article-journal","abstract":"Estimates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P."}],"issued":{"date-parts":[["2008",1]]}}}],"schema":"https://github.com/citation-style-language/schema/raw/master/csl-citation.json"} </w:instrText>
      </w:r>
      <w:r w:rsidR="000A0294" w:rsidRPr="004804AA">
        <w:rPr>
          <w:rStyle w:val="ad"/>
          <w:rFonts w:ascii="Times New Roman" w:hAnsi="Times New Roman" w:cs="Times New Roman"/>
          <w:sz w:val="28"/>
          <w:szCs w:val="28"/>
        </w:rPr>
        <w:fldChar w:fldCharType="separate"/>
      </w:r>
      <w:r w:rsidR="000A0294" w:rsidRPr="004804AA">
        <w:rPr>
          <w:rFonts w:ascii="Times New Roman" w:hAnsi="Times New Roman" w:cs="Times New Roman"/>
          <w:sz w:val="28"/>
          <w:szCs w:val="28"/>
        </w:rPr>
        <w:t>[3]</w:t>
      </w:r>
      <w:r w:rsidR="000A0294" w:rsidRPr="004804AA">
        <w:rPr>
          <w:rStyle w:val="ad"/>
          <w:rFonts w:ascii="Times New Roman" w:hAnsi="Times New Roman" w:cs="Times New Roman"/>
          <w:sz w:val="28"/>
          <w:szCs w:val="28"/>
        </w:rPr>
        <w:fldChar w:fldCharType="end"/>
      </w:r>
      <w:r w:rsidR="00EE52E9">
        <w:rPr>
          <w:rStyle w:val="ad"/>
          <w:rFonts w:ascii="Times New Roman" w:hAnsi="Times New Roman" w:cs="Times New Roman"/>
          <w:sz w:val="28"/>
          <w:szCs w:val="28"/>
        </w:rPr>
        <w:t>.</w:t>
      </w:r>
      <w:r w:rsidR="000A0294" w:rsidRPr="004804AA">
        <w:rPr>
          <w:rStyle w:val="ad"/>
          <w:rFonts w:ascii="Times New Roman" w:hAnsi="Times New Roman" w:cs="Times New Roman"/>
          <w:b w:val="0"/>
          <w:bCs w:val="0"/>
          <w:sz w:val="28"/>
          <w:szCs w:val="28"/>
        </w:rPr>
        <w:t xml:space="preserve"> </w:t>
      </w:r>
    </w:p>
    <w:p w14:paraId="42D31F37" w14:textId="5E8E8A15" w:rsidR="00916A19" w:rsidRDefault="000A0294" w:rsidP="005C37DF">
      <w:pPr>
        <w:pStyle w:val="a4"/>
        <w:ind w:firstLine="709"/>
        <w:jc w:val="both"/>
        <w:rPr>
          <w:rStyle w:val="ad"/>
          <w:rFonts w:ascii="Times New Roman" w:hAnsi="Times New Roman" w:cs="Times New Roman"/>
          <w:b w:val="0"/>
          <w:bCs w:val="0"/>
          <w:sz w:val="28"/>
          <w:szCs w:val="28"/>
        </w:rPr>
      </w:pPr>
      <w:r w:rsidRPr="004804AA">
        <w:rPr>
          <w:rStyle w:val="ad"/>
          <w:rFonts w:ascii="Times New Roman" w:hAnsi="Times New Roman" w:cs="Times New Roman"/>
          <w:b w:val="0"/>
          <w:bCs w:val="0"/>
          <w:sz w:val="28"/>
          <w:szCs w:val="28"/>
        </w:rPr>
        <w:t xml:space="preserve">Миопия является наиболее распространенным видом нарушения рефракции в мире, а ее осложненная форма занимает первое место среди причин </w:t>
      </w:r>
      <w:r w:rsidR="00914D5A">
        <w:rPr>
          <w:rStyle w:val="ad"/>
          <w:rFonts w:ascii="Times New Roman" w:hAnsi="Times New Roman" w:cs="Times New Roman"/>
          <w:b w:val="0"/>
          <w:bCs w:val="0"/>
          <w:sz w:val="28"/>
          <w:szCs w:val="28"/>
        </w:rPr>
        <w:t>слепоты</w:t>
      </w:r>
      <w:r w:rsidRPr="004804AA">
        <w:rPr>
          <w:rStyle w:val="ad"/>
          <w:rFonts w:ascii="Times New Roman" w:hAnsi="Times New Roman" w:cs="Times New Roman"/>
          <w:b w:val="0"/>
          <w:bCs w:val="0"/>
          <w:sz w:val="28"/>
          <w:szCs w:val="28"/>
        </w:rPr>
        <w:t xml:space="preserve"> по зрению у детей</w:t>
      </w:r>
      <w:r w:rsidR="008C10B6">
        <w:rPr>
          <w:rStyle w:val="ad"/>
          <w:rFonts w:ascii="Times New Roman" w:hAnsi="Times New Roman" w:cs="Times New Roman"/>
          <w:b w:val="0"/>
          <w:bCs w:val="0"/>
          <w:sz w:val="28"/>
          <w:szCs w:val="28"/>
        </w:rPr>
        <w:t xml:space="preserve"> [</w:t>
      </w:r>
      <w:r w:rsidR="008C10B6" w:rsidRPr="008C10B6">
        <w:rPr>
          <w:rStyle w:val="ad"/>
          <w:rFonts w:ascii="Times New Roman" w:hAnsi="Times New Roman" w:cs="Times New Roman"/>
          <w:b w:val="0"/>
          <w:bCs w:val="0"/>
          <w:sz w:val="28"/>
          <w:szCs w:val="28"/>
        </w:rPr>
        <w:t>4</w:t>
      </w:r>
      <w:r w:rsidR="008C10B6">
        <w:rPr>
          <w:rStyle w:val="ad"/>
          <w:rFonts w:ascii="Times New Roman" w:hAnsi="Times New Roman" w:cs="Times New Roman"/>
          <w:b w:val="0"/>
          <w:bCs w:val="0"/>
          <w:sz w:val="28"/>
          <w:szCs w:val="28"/>
        </w:rPr>
        <w:t>]</w:t>
      </w:r>
      <w:r w:rsidRPr="004804AA">
        <w:rPr>
          <w:rStyle w:val="ad"/>
          <w:rFonts w:ascii="Times New Roman" w:hAnsi="Times New Roman" w:cs="Times New Roman"/>
          <w:b w:val="0"/>
          <w:bCs w:val="0"/>
          <w:sz w:val="28"/>
          <w:szCs w:val="28"/>
        </w:rPr>
        <w:t xml:space="preserve">. </w:t>
      </w:r>
      <w:r w:rsidR="00916A19" w:rsidRPr="004804AA">
        <w:rPr>
          <w:rStyle w:val="ad"/>
          <w:rFonts w:ascii="Times New Roman" w:hAnsi="Times New Roman" w:cs="Times New Roman"/>
          <w:b w:val="0"/>
          <w:bCs w:val="0"/>
          <w:sz w:val="28"/>
          <w:szCs w:val="28"/>
        </w:rPr>
        <w:t xml:space="preserve">По предположениям </w:t>
      </w:r>
      <w:r w:rsidR="00916A19" w:rsidRPr="004804AA">
        <w:rPr>
          <w:rStyle w:val="ad"/>
          <w:rFonts w:ascii="Times New Roman" w:hAnsi="Times New Roman" w:cs="Times New Roman"/>
          <w:b w:val="0"/>
          <w:bCs w:val="0"/>
          <w:sz w:val="28"/>
          <w:szCs w:val="28"/>
          <w:lang w:val="en-US"/>
        </w:rPr>
        <w:t>Holden</w:t>
      </w:r>
      <w:r w:rsidR="00916A19" w:rsidRPr="004804AA">
        <w:rPr>
          <w:rStyle w:val="ad"/>
          <w:rFonts w:ascii="Times New Roman" w:hAnsi="Times New Roman" w:cs="Times New Roman"/>
          <w:b w:val="0"/>
          <w:bCs w:val="0"/>
          <w:sz w:val="28"/>
          <w:szCs w:val="28"/>
        </w:rPr>
        <w:t xml:space="preserve"> (2016)</w:t>
      </w:r>
      <w:r w:rsidR="00916A19">
        <w:rPr>
          <w:rStyle w:val="ad"/>
          <w:rFonts w:ascii="Times New Roman" w:hAnsi="Times New Roman" w:cs="Times New Roman"/>
          <w:b w:val="0"/>
          <w:bCs w:val="0"/>
          <w:sz w:val="28"/>
          <w:szCs w:val="28"/>
        </w:rPr>
        <w:t>,</w:t>
      </w:r>
      <w:r w:rsidR="00916A19" w:rsidRPr="004804AA">
        <w:rPr>
          <w:rStyle w:val="ad"/>
          <w:rFonts w:ascii="Times New Roman" w:hAnsi="Times New Roman" w:cs="Times New Roman"/>
          <w:b w:val="0"/>
          <w:bCs w:val="0"/>
          <w:sz w:val="28"/>
          <w:szCs w:val="28"/>
        </w:rPr>
        <w:t xml:space="preserve"> среди детей в возрастном диапазоне от 5 до 9 лет уровень миопии удвоится, с 5% в 2000 г. до 10% в 2050 г</w:t>
      </w:r>
      <w:r w:rsidR="00916A19">
        <w:rPr>
          <w:rStyle w:val="ad"/>
          <w:rFonts w:ascii="Times New Roman" w:hAnsi="Times New Roman" w:cs="Times New Roman"/>
          <w:b w:val="0"/>
          <w:bCs w:val="0"/>
          <w:sz w:val="28"/>
          <w:szCs w:val="28"/>
        </w:rPr>
        <w:t xml:space="preserve"> </w:t>
      </w:r>
      <w:r w:rsidR="00916A19" w:rsidRPr="00916A19">
        <w:rPr>
          <w:rStyle w:val="ad"/>
          <w:rFonts w:ascii="Times New Roman" w:hAnsi="Times New Roman" w:cs="Times New Roman"/>
          <w:b w:val="0"/>
          <w:bCs w:val="0"/>
          <w:sz w:val="28"/>
          <w:szCs w:val="28"/>
        </w:rPr>
        <w:t>[5]</w:t>
      </w:r>
      <w:r w:rsidR="00916A19">
        <w:rPr>
          <w:rStyle w:val="ad"/>
          <w:rFonts w:ascii="Times New Roman" w:hAnsi="Times New Roman" w:cs="Times New Roman"/>
          <w:sz w:val="28"/>
          <w:szCs w:val="28"/>
        </w:rPr>
        <w:t>.</w:t>
      </w:r>
      <w:r w:rsidR="00916A19" w:rsidRPr="004804AA">
        <w:rPr>
          <w:rStyle w:val="ad"/>
          <w:rFonts w:ascii="Times New Roman" w:hAnsi="Times New Roman" w:cs="Times New Roman"/>
          <w:b w:val="0"/>
          <w:bCs w:val="0"/>
          <w:sz w:val="28"/>
          <w:szCs w:val="28"/>
        </w:rPr>
        <w:t xml:space="preserve"> </w:t>
      </w:r>
      <w:r w:rsidR="002C6627">
        <w:rPr>
          <w:rStyle w:val="ad"/>
          <w:rFonts w:ascii="Times New Roman" w:hAnsi="Times New Roman" w:cs="Times New Roman"/>
          <w:b w:val="0"/>
          <w:bCs w:val="0"/>
          <w:sz w:val="28"/>
          <w:szCs w:val="28"/>
        </w:rPr>
        <w:t>У</w:t>
      </w:r>
      <w:r w:rsidR="00916A19" w:rsidRPr="004804AA">
        <w:rPr>
          <w:rStyle w:val="ad"/>
          <w:rFonts w:ascii="Times New Roman" w:hAnsi="Times New Roman" w:cs="Times New Roman"/>
          <w:b w:val="0"/>
          <w:bCs w:val="0"/>
          <w:sz w:val="28"/>
          <w:szCs w:val="28"/>
        </w:rPr>
        <w:t>же на сегодняшний день в некоторых высокоразвитых городских районах Юго-Восточной Азии</w:t>
      </w:r>
      <w:r w:rsidR="00916A19">
        <w:rPr>
          <w:rStyle w:val="ad"/>
          <w:rFonts w:ascii="Times New Roman" w:hAnsi="Times New Roman" w:cs="Times New Roman"/>
          <w:b w:val="0"/>
          <w:bCs w:val="0"/>
          <w:sz w:val="28"/>
          <w:szCs w:val="28"/>
        </w:rPr>
        <w:t>, Кореи</w:t>
      </w:r>
      <w:r w:rsidR="00916A19" w:rsidRPr="004804AA">
        <w:rPr>
          <w:rStyle w:val="ad"/>
          <w:rFonts w:ascii="Times New Roman" w:hAnsi="Times New Roman" w:cs="Times New Roman"/>
          <w:b w:val="0"/>
          <w:bCs w:val="0"/>
          <w:sz w:val="28"/>
          <w:szCs w:val="28"/>
        </w:rPr>
        <w:t xml:space="preserve"> и Китая распространенность миопии среди детей школьного возраста превышает 80%, а</w:t>
      </w:r>
      <w:r w:rsidR="00916A19" w:rsidRPr="004804AA">
        <w:rPr>
          <w:rFonts w:ascii="Times New Roman" w:hAnsi="Times New Roman" w:cs="Times New Roman"/>
          <w:b/>
          <w:bCs/>
          <w:sz w:val="28"/>
          <w:szCs w:val="28"/>
        </w:rPr>
        <w:t xml:space="preserve"> </w:t>
      </w:r>
      <w:r w:rsidR="00916A19" w:rsidRPr="00CE53A0">
        <w:rPr>
          <w:rStyle w:val="ad"/>
          <w:rFonts w:ascii="Times New Roman" w:hAnsi="Times New Roman" w:cs="Times New Roman"/>
          <w:b w:val="0"/>
          <w:bCs w:val="0"/>
          <w:sz w:val="28"/>
          <w:szCs w:val="28"/>
        </w:rPr>
        <w:t xml:space="preserve">миопии высокой степени </w:t>
      </w:r>
      <w:r w:rsidR="00916A19">
        <w:rPr>
          <w:rStyle w:val="ad"/>
          <w:rFonts w:ascii="Times New Roman" w:hAnsi="Times New Roman" w:cs="Times New Roman"/>
          <w:b w:val="0"/>
          <w:bCs w:val="0"/>
          <w:sz w:val="28"/>
          <w:szCs w:val="28"/>
        </w:rPr>
        <w:t xml:space="preserve">– </w:t>
      </w:r>
      <w:r w:rsidR="00916A19" w:rsidRPr="004804AA">
        <w:rPr>
          <w:rStyle w:val="ad"/>
          <w:rFonts w:ascii="Times New Roman" w:hAnsi="Times New Roman" w:cs="Times New Roman"/>
          <w:b w:val="0"/>
          <w:bCs w:val="0"/>
          <w:sz w:val="28"/>
          <w:szCs w:val="28"/>
        </w:rPr>
        <w:t>10-20%</w:t>
      </w:r>
      <w:r w:rsidR="00916A19" w:rsidRPr="00916A19">
        <w:rPr>
          <w:rStyle w:val="ad"/>
          <w:rFonts w:ascii="Times New Roman" w:hAnsi="Times New Roman" w:cs="Times New Roman"/>
          <w:b w:val="0"/>
          <w:bCs w:val="0"/>
          <w:sz w:val="28"/>
          <w:szCs w:val="28"/>
        </w:rPr>
        <w:t xml:space="preserve"> [</w:t>
      </w:r>
      <w:r w:rsidR="001238A3">
        <w:rPr>
          <w:rStyle w:val="ad"/>
          <w:rFonts w:ascii="Times New Roman" w:hAnsi="Times New Roman" w:cs="Times New Roman"/>
          <w:b w:val="0"/>
          <w:bCs w:val="0"/>
          <w:sz w:val="28"/>
          <w:szCs w:val="28"/>
        </w:rPr>
        <w:t xml:space="preserve">4, с.1; </w:t>
      </w:r>
      <w:r w:rsidR="00957C7A">
        <w:rPr>
          <w:rStyle w:val="ad"/>
          <w:rFonts w:ascii="Times New Roman" w:hAnsi="Times New Roman" w:cs="Times New Roman"/>
          <w:b w:val="0"/>
          <w:bCs w:val="0"/>
          <w:sz w:val="28"/>
          <w:szCs w:val="28"/>
        </w:rPr>
        <w:t>6; 7</w:t>
      </w:r>
      <w:r w:rsidR="00916A19" w:rsidRPr="00916A19">
        <w:rPr>
          <w:rStyle w:val="ad"/>
          <w:rFonts w:ascii="Times New Roman" w:hAnsi="Times New Roman" w:cs="Times New Roman"/>
          <w:b w:val="0"/>
          <w:bCs w:val="0"/>
          <w:sz w:val="28"/>
          <w:szCs w:val="28"/>
        </w:rPr>
        <w:t>]</w:t>
      </w:r>
      <w:r w:rsidR="00916A19">
        <w:rPr>
          <w:rStyle w:val="ad"/>
          <w:rFonts w:ascii="Times New Roman" w:hAnsi="Times New Roman" w:cs="Times New Roman"/>
          <w:sz w:val="28"/>
          <w:szCs w:val="28"/>
        </w:rPr>
        <w:t>.</w:t>
      </w:r>
      <w:r w:rsidR="00916A19" w:rsidRPr="004804AA">
        <w:rPr>
          <w:rStyle w:val="ad"/>
          <w:rFonts w:ascii="Times New Roman" w:hAnsi="Times New Roman" w:cs="Times New Roman"/>
          <w:b w:val="0"/>
          <w:bCs w:val="0"/>
          <w:sz w:val="28"/>
          <w:szCs w:val="28"/>
        </w:rPr>
        <w:t xml:space="preserve"> </w:t>
      </w:r>
    </w:p>
    <w:p w14:paraId="24308BA6" w14:textId="293D6F1D" w:rsidR="002367C3" w:rsidRDefault="000A0294" w:rsidP="005C37DF">
      <w:pPr>
        <w:pStyle w:val="a4"/>
        <w:ind w:firstLine="709"/>
        <w:jc w:val="both"/>
        <w:rPr>
          <w:rStyle w:val="ad"/>
          <w:rFonts w:ascii="Times New Roman" w:hAnsi="Times New Roman" w:cs="Times New Roman"/>
          <w:sz w:val="28"/>
          <w:szCs w:val="28"/>
        </w:rPr>
      </w:pPr>
      <w:r w:rsidRPr="004804AA">
        <w:rPr>
          <w:rStyle w:val="ad"/>
          <w:rFonts w:ascii="Times New Roman" w:hAnsi="Times New Roman" w:cs="Times New Roman"/>
          <w:b w:val="0"/>
          <w:bCs w:val="0"/>
          <w:sz w:val="28"/>
          <w:szCs w:val="28"/>
        </w:rPr>
        <w:t>Миопия высокой степени с гораздо большей вероятностью (в 10–40 раз) приводит к угрожающим зрению последствиям, таким как ранняя катаракта, глаукома, отслойка сетчатки, миопическая макулярная дегенерация и др.</w:t>
      </w:r>
      <w:r w:rsidRPr="004804AA">
        <w:rPr>
          <w:rFonts w:ascii="Times New Roman" w:hAnsi="Times New Roman" w:cs="Times New Roman"/>
          <w:b/>
          <w:bCs/>
          <w:sz w:val="28"/>
          <w:szCs w:val="28"/>
        </w:rPr>
        <w:t xml:space="preserve"> </w:t>
      </w:r>
      <w:r w:rsidRPr="004804AA">
        <w:rPr>
          <w:rStyle w:val="ad"/>
          <w:rFonts w:ascii="Times New Roman" w:hAnsi="Times New Roman" w:cs="Times New Roman"/>
          <w:b w:val="0"/>
          <w:bCs w:val="0"/>
          <w:sz w:val="28"/>
          <w:szCs w:val="28"/>
        </w:rPr>
        <w:t xml:space="preserve">которые, в свою очередь, могут приводить к необратимой потере зрения </w:t>
      </w:r>
      <w:r w:rsidR="006638FE">
        <w:rPr>
          <w:rStyle w:val="ad"/>
          <w:rFonts w:ascii="Times New Roman" w:hAnsi="Times New Roman" w:cs="Times New Roman"/>
          <w:b w:val="0"/>
          <w:bCs w:val="0"/>
          <w:sz w:val="28"/>
          <w:szCs w:val="28"/>
        </w:rPr>
        <w:t>[</w:t>
      </w:r>
      <w:r w:rsidR="00114E4A">
        <w:rPr>
          <w:rStyle w:val="ad"/>
          <w:rFonts w:ascii="Times New Roman" w:hAnsi="Times New Roman" w:cs="Times New Roman"/>
          <w:b w:val="0"/>
          <w:bCs w:val="0"/>
          <w:sz w:val="28"/>
          <w:szCs w:val="28"/>
        </w:rPr>
        <w:t>8</w:t>
      </w:r>
      <w:r w:rsidR="00E83C38">
        <w:rPr>
          <w:rStyle w:val="ad"/>
          <w:rFonts w:ascii="Times New Roman" w:hAnsi="Times New Roman" w:cs="Times New Roman"/>
          <w:b w:val="0"/>
          <w:bCs w:val="0"/>
          <w:sz w:val="28"/>
          <w:szCs w:val="28"/>
        </w:rPr>
        <w:t>; 9;10</w:t>
      </w:r>
      <w:r w:rsidR="006638FE">
        <w:rPr>
          <w:rStyle w:val="ad"/>
          <w:rFonts w:ascii="Times New Roman" w:hAnsi="Times New Roman" w:cs="Times New Roman"/>
          <w:b w:val="0"/>
          <w:bCs w:val="0"/>
          <w:sz w:val="28"/>
          <w:szCs w:val="28"/>
        </w:rPr>
        <w:t xml:space="preserve">]. Так, по данным </w:t>
      </w:r>
      <w:r w:rsidR="006638FE">
        <w:rPr>
          <w:rStyle w:val="ad"/>
          <w:rFonts w:ascii="Times New Roman" w:hAnsi="Times New Roman" w:cs="Times New Roman"/>
          <w:b w:val="0"/>
          <w:bCs w:val="0"/>
          <w:sz w:val="28"/>
          <w:szCs w:val="28"/>
          <w:lang w:val="en-US"/>
        </w:rPr>
        <w:t>Arevalo</w:t>
      </w:r>
      <w:r w:rsidR="006638FE">
        <w:rPr>
          <w:rStyle w:val="ad"/>
          <w:rFonts w:ascii="Times New Roman" w:hAnsi="Times New Roman" w:cs="Times New Roman"/>
          <w:b w:val="0"/>
          <w:bCs w:val="0"/>
          <w:sz w:val="28"/>
          <w:szCs w:val="28"/>
        </w:rPr>
        <w:t>,</w:t>
      </w:r>
      <w:r w:rsidR="00B77726">
        <w:rPr>
          <w:rStyle w:val="ad"/>
          <w:rFonts w:ascii="Times New Roman" w:hAnsi="Times New Roman" w:cs="Times New Roman"/>
          <w:b w:val="0"/>
          <w:bCs w:val="0"/>
          <w:sz w:val="28"/>
          <w:szCs w:val="28"/>
        </w:rPr>
        <w:t xml:space="preserve"> частота отслойки сетчатки у пациентов с миопией менее 4,74 диоптрий (</w:t>
      </w:r>
      <w:r w:rsidR="00B77726">
        <w:rPr>
          <w:rStyle w:val="ad"/>
          <w:rFonts w:ascii="Times New Roman" w:hAnsi="Times New Roman" w:cs="Times New Roman"/>
          <w:b w:val="0"/>
          <w:bCs w:val="0"/>
          <w:sz w:val="28"/>
          <w:szCs w:val="28"/>
          <w:lang w:val="en-US"/>
        </w:rPr>
        <w:t>D</w:t>
      </w:r>
      <w:r w:rsidR="00B77726">
        <w:rPr>
          <w:rStyle w:val="ad"/>
          <w:rFonts w:ascii="Times New Roman" w:hAnsi="Times New Roman" w:cs="Times New Roman"/>
          <w:b w:val="0"/>
          <w:bCs w:val="0"/>
          <w:sz w:val="28"/>
          <w:szCs w:val="28"/>
        </w:rPr>
        <w:t xml:space="preserve">) составляет 0,015% в год, 0,07% в год – среди пациентов с миопией более 5,0 </w:t>
      </w:r>
      <w:r w:rsidR="00B77726">
        <w:rPr>
          <w:rStyle w:val="ad"/>
          <w:rFonts w:ascii="Times New Roman" w:hAnsi="Times New Roman" w:cs="Times New Roman"/>
          <w:b w:val="0"/>
          <w:bCs w:val="0"/>
          <w:sz w:val="28"/>
          <w:szCs w:val="28"/>
          <w:lang w:val="en-US"/>
        </w:rPr>
        <w:t>D</w:t>
      </w:r>
      <w:r w:rsidR="00B77726">
        <w:rPr>
          <w:rStyle w:val="ad"/>
          <w:rFonts w:ascii="Times New Roman" w:hAnsi="Times New Roman" w:cs="Times New Roman"/>
          <w:b w:val="0"/>
          <w:bCs w:val="0"/>
          <w:sz w:val="28"/>
          <w:szCs w:val="28"/>
        </w:rPr>
        <w:t xml:space="preserve"> и достигает 3,2% в год при миопии свыше 6,0 </w:t>
      </w:r>
      <w:r w:rsidR="00B77726">
        <w:rPr>
          <w:rStyle w:val="ad"/>
          <w:rFonts w:ascii="Times New Roman" w:hAnsi="Times New Roman" w:cs="Times New Roman"/>
          <w:b w:val="0"/>
          <w:bCs w:val="0"/>
          <w:sz w:val="28"/>
          <w:szCs w:val="28"/>
          <w:lang w:val="en-US"/>
        </w:rPr>
        <w:t>D</w:t>
      </w:r>
      <w:r w:rsidR="00B77726" w:rsidRPr="00B77726">
        <w:rPr>
          <w:rStyle w:val="ad"/>
          <w:rFonts w:ascii="Times New Roman" w:hAnsi="Times New Roman" w:cs="Times New Roman"/>
          <w:b w:val="0"/>
          <w:bCs w:val="0"/>
          <w:sz w:val="28"/>
          <w:szCs w:val="28"/>
        </w:rPr>
        <w:t xml:space="preserve"> </w:t>
      </w:r>
      <w:r w:rsidR="00B77726">
        <w:rPr>
          <w:rStyle w:val="ad"/>
          <w:rFonts w:ascii="Times New Roman" w:hAnsi="Times New Roman" w:cs="Times New Roman"/>
          <w:b w:val="0"/>
          <w:bCs w:val="0"/>
          <w:sz w:val="28"/>
          <w:szCs w:val="28"/>
        </w:rPr>
        <w:t>[</w:t>
      </w:r>
      <w:r w:rsidR="005D4C49">
        <w:rPr>
          <w:rStyle w:val="ad"/>
          <w:rFonts w:ascii="Times New Roman" w:hAnsi="Times New Roman" w:cs="Times New Roman"/>
          <w:b w:val="0"/>
          <w:bCs w:val="0"/>
          <w:sz w:val="28"/>
          <w:szCs w:val="28"/>
        </w:rPr>
        <w:t>11</w:t>
      </w:r>
      <w:r w:rsidR="00B77726">
        <w:rPr>
          <w:rStyle w:val="ad"/>
          <w:rFonts w:ascii="Times New Roman" w:hAnsi="Times New Roman" w:cs="Times New Roman"/>
          <w:b w:val="0"/>
          <w:bCs w:val="0"/>
          <w:sz w:val="28"/>
          <w:szCs w:val="28"/>
        </w:rPr>
        <w:t>]</w:t>
      </w:r>
      <w:r w:rsidR="00916A19">
        <w:rPr>
          <w:rStyle w:val="ad"/>
          <w:rFonts w:ascii="Times New Roman" w:hAnsi="Times New Roman" w:cs="Times New Roman"/>
          <w:b w:val="0"/>
          <w:bCs w:val="0"/>
          <w:sz w:val="28"/>
          <w:szCs w:val="28"/>
        </w:rPr>
        <w:t>.</w:t>
      </w:r>
      <w:r w:rsidRPr="004804AA">
        <w:rPr>
          <w:rStyle w:val="ad"/>
          <w:rFonts w:ascii="Times New Roman" w:hAnsi="Times New Roman" w:cs="Times New Roman"/>
          <w:b w:val="0"/>
          <w:bCs w:val="0"/>
          <w:sz w:val="28"/>
          <w:szCs w:val="28"/>
        </w:rPr>
        <w:t xml:space="preserve"> </w:t>
      </w:r>
      <w:r w:rsidR="002C6627">
        <w:rPr>
          <w:rStyle w:val="ad"/>
          <w:rFonts w:ascii="Times New Roman" w:hAnsi="Times New Roman" w:cs="Times New Roman"/>
          <w:b w:val="0"/>
          <w:bCs w:val="0"/>
          <w:sz w:val="28"/>
          <w:szCs w:val="28"/>
        </w:rPr>
        <w:t>Кроме того, наруше</w:t>
      </w:r>
      <w:r w:rsidR="000E04A2" w:rsidRPr="004804AA">
        <w:rPr>
          <w:rStyle w:val="ad"/>
          <w:rFonts w:ascii="Times New Roman" w:hAnsi="Times New Roman" w:cs="Times New Roman"/>
          <w:b w:val="0"/>
          <w:bCs w:val="0"/>
          <w:sz w:val="28"/>
          <w:szCs w:val="28"/>
        </w:rPr>
        <w:t xml:space="preserve">ния зрения у детей </w:t>
      </w:r>
      <w:r w:rsidR="000E04A2">
        <w:rPr>
          <w:rStyle w:val="ad"/>
          <w:rFonts w:ascii="Times New Roman" w:hAnsi="Times New Roman" w:cs="Times New Roman"/>
          <w:b w:val="0"/>
          <w:bCs w:val="0"/>
          <w:sz w:val="28"/>
          <w:szCs w:val="28"/>
        </w:rPr>
        <w:t>зачастую ведут к</w:t>
      </w:r>
      <w:r w:rsidR="000E04A2" w:rsidRPr="004804AA">
        <w:rPr>
          <w:rStyle w:val="ad"/>
          <w:rFonts w:ascii="Times New Roman" w:hAnsi="Times New Roman" w:cs="Times New Roman"/>
          <w:b w:val="0"/>
          <w:bCs w:val="0"/>
          <w:sz w:val="28"/>
          <w:szCs w:val="28"/>
        </w:rPr>
        <w:t xml:space="preserve"> ограничени</w:t>
      </w:r>
      <w:r w:rsidR="000E04A2">
        <w:rPr>
          <w:rStyle w:val="ad"/>
          <w:rFonts w:ascii="Times New Roman" w:hAnsi="Times New Roman" w:cs="Times New Roman"/>
          <w:b w:val="0"/>
          <w:bCs w:val="0"/>
          <w:sz w:val="28"/>
          <w:szCs w:val="28"/>
        </w:rPr>
        <w:t>я</w:t>
      </w:r>
      <w:r w:rsidR="000E04A2" w:rsidRPr="004804AA">
        <w:rPr>
          <w:rStyle w:val="ad"/>
          <w:rFonts w:ascii="Times New Roman" w:hAnsi="Times New Roman" w:cs="Times New Roman"/>
          <w:b w:val="0"/>
          <w:bCs w:val="0"/>
          <w:sz w:val="28"/>
          <w:szCs w:val="28"/>
        </w:rPr>
        <w:t xml:space="preserve">м спортивной и </w:t>
      </w:r>
      <w:r w:rsidR="002C6627" w:rsidRPr="004804AA">
        <w:rPr>
          <w:rStyle w:val="ad"/>
          <w:rFonts w:ascii="Times New Roman" w:hAnsi="Times New Roman" w:cs="Times New Roman"/>
          <w:b w:val="0"/>
          <w:bCs w:val="0"/>
          <w:sz w:val="28"/>
          <w:szCs w:val="28"/>
        </w:rPr>
        <w:t>социальной жизни</w:t>
      </w:r>
      <w:r w:rsidR="000E04A2" w:rsidRPr="004804AA">
        <w:rPr>
          <w:rStyle w:val="ad"/>
          <w:rFonts w:ascii="Times New Roman" w:hAnsi="Times New Roman" w:cs="Times New Roman"/>
          <w:b w:val="0"/>
          <w:bCs w:val="0"/>
          <w:sz w:val="28"/>
          <w:szCs w:val="28"/>
        </w:rPr>
        <w:t>, снижени</w:t>
      </w:r>
      <w:r w:rsidR="000E04A2">
        <w:rPr>
          <w:rStyle w:val="ad"/>
          <w:rFonts w:ascii="Times New Roman" w:hAnsi="Times New Roman" w:cs="Times New Roman"/>
          <w:b w:val="0"/>
          <w:bCs w:val="0"/>
          <w:sz w:val="28"/>
          <w:szCs w:val="28"/>
        </w:rPr>
        <w:t>ю</w:t>
      </w:r>
      <w:r w:rsidR="000E04A2" w:rsidRPr="004804AA">
        <w:rPr>
          <w:rStyle w:val="ad"/>
          <w:rFonts w:ascii="Times New Roman" w:hAnsi="Times New Roman" w:cs="Times New Roman"/>
          <w:b w:val="0"/>
          <w:bCs w:val="0"/>
          <w:sz w:val="28"/>
          <w:szCs w:val="28"/>
        </w:rPr>
        <w:t xml:space="preserve"> </w:t>
      </w:r>
      <w:r w:rsidR="002C6627" w:rsidRPr="004804AA">
        <w:rPr>
          <w:rStyle w:val="ad"/>
          <w:rFonts w:ascii="Times New Roman" w:hAnsi="Times New Roman" w:cs="Times New Roman"/>
          <w:b w:val="0"/>
          <w:bCs w:val="0"/>
          <w:sz w:val="28"/>
          <w:szCs w:val="28"/>
        </w:rPr>
        <w:t>повседневной активности</w:t>
      </w:r>
      <w:r w:rsidR="002C6627">
        <w:rPr>
          <w:rStyle w:val="ad"/>
          <w:rFonts w:ascii="Times New Roman" w:hAnsi="Times New Roman" w:cs="Times New Roman"/>
          <w:b w:val="0"/>
          <w:bCs w:val="0"/>
          <w:sz w:val="28"/>
          <w:szCs w:val="28"/>
        </w:rPr>
        <w:t xml:space="preserve"> и</w:t>
      </w:r>
      <w:r w:rsidR="002C6627" w:rsidRPr="004804AA">
        <w:rPr>
          <w:rStyle w:val="ad"/>
          <w:rFonts w:ascii="Times New Roman" w:hAnsi="Times New Roman" w:cs="Times New Roman"/>
          <w:b w:val="0"/>
          <w:bCs w:val="0"/>
          <w:sz w:val="28"/>
          <w:szCs w:val="28"/>
        </w:rPr>
        <w:t xml:space="preserve"> </w:t>
      </w:r>
      <w:r w:rsidR="000E04A2" w:rsidRPr="004804AA">
        <w:rPr>
          <w:rStyle w:val="ad"/>
          <w:rFonts w:ascii="Times New Roman" w:hAnsi="Times New Roman" w:cs="Times New Roman"/>
          <w:b w:val="0"/>
          <w:bCs w:val="0"/>
          <w:sz w:val="28"/>
          <w:szCs w:val="28"/>
        </w:rPr>
        <w:t xml:space="preserve">успеваемости, нарушениям психического здоровья детей </w:t>
      </w:r>
      <w:r w:rsidR="005D4C49">
        <w:rPr>
          <w:rStyle w:val="ad"/>
          <w:rFonts w:ascii="Times New Roman" w:hAnsi="Times New Roman" w:cs="Times New Roman"/>
          <w:b w:val="0"/>
          <w:bCs w:val="0"/>
          <w:sz w:val="28"/>
          <w:szCs w:val="28"/>
        </w:rPr>
        <w:t>[</w:t>
      </w:r>
      <w:r w:rsidR="005D4C49" w:rsidRPr="005D4C49">
        <w:rPr>
          <w:rStyle w:val="ad"/>
          <w:rFonts w:ascii="Times New Roman" w:hAnsi="Times New Roman" w:cs="Times New Roman"/>
          <w:b w:val="0"/>
          <w:bCs w:val="0"/>
          <w:sz w:val="28"/>
          <w:szCs w:val="28"/>
        </w:rPr>
        <w:t>12</w:t>
      </w:r>
      <w:r w:rsidR="000F702C" w:rsidRPr="000F702C">
        <w:rPr>
          <w:rStyle w:val="ad"/>
          <w:rFonts w:ascii="Times New Roman" w:hAnsi="Times New Roman" w:cs="Times New Roman"/>
          <w:b w:val="0"/>
          <w:bCs w:val="0"/>
          <w:sz w:val="28"/>
          <w:szCs w:val="28"/>
        </w:rPr>
        <w:t>-</w:t>
      </w:r>
      <w:r w:rsidR="001627DF" w:rsidRPr="001627DF">
        <w:rPr>
          <w:rStyle w:val="ad"/>
          <w:rFonts w:ascii="Times New Roman" w:hAnsi="Times New Roman" w:cs="Times New Roman"/>
          <w:b w:val="0"/>
          <w:bCs w:val="0"/>
          <w:sz w:val="28"/>
          <w:szCs w:val="28"/>
        </w:rPr>
        <w:t>1</w:t>
      </w:r>
      <w:r w:rsidR="000F702C" w:rsidRPr="000F702C">
        <w:rPr>
          <w:rStyle w:val="ad"/>
          <w:rFonts w:ascii="Times New Roman" w:hAnsi="Times New Roman" w:cs="Times New Roman"/>
          <w:b w:val="0"/>
          <w:bCs w:val="0"/>
          <w:sz w:val="28"/>
          <w:szCs w:val="28"/>
        </w:rPr>
        <w:t>5</w:t>
      </w:r>
      <w:r w:rsidR="005D4C49">
        <w:rPr>
          <w:rStyle w:val="ad"/>
          <w:rFonts w:ascii="Times New Roman" w:hAnsi="Times New Roman" w:cs="Times New Roman"/>
          <w:b w:val="0"/>
          <w:bCs w:val="0"/>
          <w:sz w:val="28"/>
          <w:szCs w:val="28"/>
        </w:rPr>
        <w:t>]</w:t>
      </w:r>
      <w:r w:rsidR="00EE52E9">
        <w:rPr>
          <w:rStyle w:val="ad"/>
          <w:rFonts w:ascii="Times New Roman" w:hAnsi="Times New Roman" w:cs="Times New Roman"/>
          <w:sz w:val="28"/>
          <w:szCs w:val="28"/>
        </w:rPr>
        <w:t>.</w:t>
      </w:r>
      <w:r w:rsidR="00AC4929">
        <w:rPr>
          <w:rStyle w:val="ad"/>
          <w:rFonts w:ascii="Times New Roman" w:hAnsi="Times New Roman" w:cs="Times New Roman"/>
          <w:sz w:val="28"/>
          <w:szCs w:val="28"/>
        </w:rPr>
        <w:t xml:space="preserve"> </w:t>
      </w:r>
    </w:p>
    <w:p w14:paraId="35669D0D" w14:textId="709D10EB" w:rsidR="000A0294" w:rsidRPr="004804AA" w:rsidRDefault="000A0294" w:rsidP="005C37DF">
      <w:pPr>
        <w:pStyle w:val="a4"/>
        <w:ind w:firstLine="709"/>
        <w:jc w:val="both"/>
        <w:rPr>
          <w:rStyle w:val="ad"/>
          <w:rFonts w:ascii="Times New Roman" w:hAnsi="Times New Roman" w:cs="Times New Roman"/>
          <w:b w:val="0"/>
          <w:bCs w:val="0"/>
          <w:sz w:val="28"/>
          <w:szCs w:val="28"/>
        </w:rPr>
      </w:pPr>
      <w:r w:rsidRPr="004804AA">
        <w:rPr>
          <w:rStyle w:val="ad"/>
          <w:rFonts w:ascii="Times New Roman" w:hAnsi="Times New Roman" w:cs="Times New Roman"/>
          <w:b w:val="0"/>
          <w:bCs w:val="0"/>
          <w:sz w:val="28"/>
          <w:szCs w:val="28"/>
        </w:rPr>
        <w:t>Экономические затраты, связанные с рефракционной коррекцией аметропий (при помощи очков, контактных линз</w:t>
      </w:r>
      <w:r w:rsidR="008338A0">
        <w:rPr>
          <w:rStyle w:val="ad"/>
          <w:rFonts w:ascii="Times New Roman" w:hAnsi="Times New Roman" w:cs="Times New Roman"/>
          <w:b w:val="0"/>
          <w:bCs w:val="0"/>
          <w:sz w:val="28"/>
          <w:szCs w:val="28"/>
        </w:rPr>
        <w:t>,</w:t>
      </w:r>
      <w:r w:rsidRPr="004804AA">
        <w:rPr>
          <w:rStyle w:val="ad"/>
          <w:rFonts w:ascii="Times New Roman" w:hAnsi="Times New Roman" w:cs="Times New Roman"/>
          <w:b w:val="0"/>
          <w:bCs w:val="0"/>
          <w:sz w:val="28"/>
          <w:szCs w:val="28"/>
        </w:rPr>
        <w:t xml:space="preserve"> хирургического вмешательства и др</w:t>
      </w:r>
      <w:r w:rsidR="007B47CF">
        <w:rPr>
          <w:rStyle w:val="ad"/>
          <w:rFonts w:ascii="Times New Roman" w:hAnsi="Times New Roman" w:cs="Times New Roman"/>
          <w:b w:val="0"/>
          <w:bCs w:val="0"/>
          <w:sz w:val="28"/>
          <w:szCs w:val="28"/>
        </w:rPr>
        <w:t>.</w:t>
      </w:r>
      <w:r w:rsidRPr="004804AA">
        <w:rPr>
          <w:rStyle w:val="ad"/>
          <w:rFonts w:ascii="Times New Roman" w:hAnsi="Times New Roman" w:cs="Times New Roman"/>
          <w:b w:val="0"/>
          <w:bCs w:val="0"/>
          <w:sz w:val="28"/>
          <w:szCs w:val="28"/>
        </w:rPr>
        <w:t>), а также борьба с осложнениями, представляют собой серьезные проблемы для и</w:t>
      </w:r>
      <w:r w:rsidR="00E34885">
        <w:rPr>
          <w:rStyle w:val="ad"/>
          <w:rFonts w:ascii="Times New Roman" w:hAnsi="Times New Roman" w:cs="Times New Roman"/>
          <w:b w:val="0"/>
          <w:bCs w:val="0"/>
          <w:sz w:val="28"/>
          <w:szCs w:val="28"/>
        </w:rPr>
        <w:t xml:space="preserve"> для</w:t>
      </w:r>
      <w:r w:rsidRPr="004804AA">
        <w:rPr>
          <w:rStyle w:val="ad"/>
          <w:rFonts w:ascii="Times New Roman" w:hAnsi="Times New Roman" w:cs="Times New Roman"/>
          <w:b w:val="0"/>
          <w:bCs w:val="0"/>
          <w:sz w:val="28"/>
          <w:szCs w:val="28"/>
        </w:rPr>
        <w:t xml:space="preserve"> экономики</w:t>
      </w:r>
      <w:r w:rsidR="000F702C" w:rsidRPr="000F702C">
        <w:rPr>
          <w:rStyle w:val="ad"/>
          <w:rFonts w:ascii="Times New Roman" w:hAnsi="Times New Roman" w:cs="Times New Roman"/>
          <w:b w:val="0"/>
          <w:bCs w:val="0"/>
          <w:sz w:val="28"/>
          <w:szCs w:val="28"/>
        </w:rPr>
        <w:t xml:space="preserve"> [16]</w:t>
      </w:r>
      <w:r w:rsidR="002B15F2">
        <w:rPr>
          <w:rStyle w:val="ad"/>
          <w:rFonts w:ascii="Times New Roman" w:hAnsi="Times New Roman" w:cs="Times New Roman"/>
          <w:b w:val="0"/>
          <w:bCs w:val="0"/>
          <w:sz w:val="28"/>
          <w:szCs w:val="28"/>
        </w:rPr>
        <w:t xml:space="preserve">. </w:t>
      </w:r>
      <w:r w:rsidRPr="004804AA">
        <w:rPr>
          <w:rStyle w:val="ad"/>
          <w:rFonts w:ascii="Times New Roman" w:hAnsi="Times New Roman" w:cs="Times New Roman"/>
          <w:b w:val="0"/>
          <w:bCs w:val="0"/>
          <w:sz w:val="28"/>
          <w:szCs w:val="28"/>
        </w:rPr>
        <w:t xml:space="preserve">Согласно Smith (2009), экономическое бремя </w:t>
      </w:r>
      <w:r w:rsidR="007B47CF" w:rsidRPr="00CE53A0">
        <w:rPr>
          <w:rStyle w:val="ad"/>
          <w:rFonts w:ascii="Times New Roman" w:hAnsi="Times New Roman" w:cs="Times New Roman"/>
          <w:b w:val="0"/>
          <w:bCs w:val="0"/>
          <w:sz w:val="28"/>
          <w:szCs w:val="28"/>
        </w:rPr>
        <w:t xml:space="preserve">некорригированных </w:t>
      </w:r>
      <w:r w:rsidRPr="00CE53A0">
        <w:rPr>
          <w:rStyle w:val="ad"/>
          <w:rFonts w:ascii="Times New Roman" w:hAnsi="Times New Roman" w:cs="Times New Roman"/>
          <w:b w:val="0"/>
          <w:bCs w:val="0"/>
          <w:sz w:val="28"/>
          <w:szCs w:val="28"/>
        </w:rPr>
        <w:t>а</w:t>
      </w:r>
      <w:r w:rsidRPr="004804AA">
        <w:rPr>
          <w:rStyle w:val="ad"/>
          <w:rFonts w:ascii="Times New Roman" w:hAnsi="Times New Roman" w:cs="Times New Roman"/>
          <w:b w:val="0"/>
          <w:bCs w:val="0"/>
          <w:sz w:val="28"/>
          <w:szCs w:val="28"/>
        </w:rPr>
        <w:t>номалий рефракции, в основном вызванной близорукостью, оценивалось в 268 м</w:t>
      </w:r>
      <w:r w:rsidR="006B204C">
        <w:rPr>
          <w:rStyle w:val="ad"/>
          <w:rFonts w:ascii="Times New Roman" w:hAnsi="Times New Roman" w:cs="Times New Roman"/>
          <w:b w:val="0"/>
          <w:bCs w:val="0"/>
          <w:sz w:val="28"/>
          <w:szCs w:val="28"/>
        </w:rPr>
        <w:t>лрд</w:t>
      </w:r>
      <w:r w:rsidRPr="004804AA">
        <w:rPr>
          <w:rStyle w:val="ad"/>
          <w:rFonts w:ascii="Times New Roman" w:hAnsi="Times New Roman" w:cs="Times New Roman"/>
          <w:b w:val="0"/>
          <w:bCs w:val="0"/>
          <w:sz w:val="28"/>
          <w:szCs w:val="28"/>
        </w:rPr>
        <w:t xml:space="preserve"> долларов </w:t>
      </w:r>
      <w:r w:rsidR="00837DEF">
        <w:rPr>
          <w:rStyle w:val="ad"/>
          <w:rFonts w:ascii="Times New Roman" w:hAnsi="Times New Roman" w:cs="Times New Roman"/>
          <w:b w:val="0"/>
          <w:bCs w:val="0"/>
          <w:sz w:val="28"/>
          <w:szCs w:val="28"/>
          <w:lang w:val="en-US"/>
        </w:rPr>
        <w:t>C</w:t>
      </w:r>
      <w:r w:rsidRPr="004804AA">
        <w:rPr>
          <w:rStyle w:val="ad"/>
          <w:rFonts w:ascii="Times New Roman" w:hAnsi="Times New Roman" w:cs="Times New Roman"/>
          <w:b w:val="0"/>
          <w:bCs w:val="0"/>
          <w:sz w:val="28"/>
          <w:szCs w:val="28"/>
        </w:rPr>
        <w:t>ША в год</w:t>
      </w:r>
      <w:r w:rsidR="002B15F2" w:rsidRPr="002B15F2">
        <w:rPr>
          <w:rStyle w:val="ad"/>
          <w:rFonts w:ascii="Times New Roman" w:hAnsi="Times New Roman" w:cs="Times New Roman"/>
          <w:b w:val="0"/>
          <w:bCs w:val="0"/>
          <w:sz w:val="28"/>
          <w:szCs w:val="28"/>
        </w:rPr>
        <w:t xml:space="preserve"> [1</w:t>
      </w:r>
      <w:r w:rsidR="000F702C" w:rsidRPr="000F702C">
        <w:rPr>
          <w:rStyle w:val="ad"/>
          <w:rFonts w:ascii="Times New Roman" w:hAnsi="Times New Roman" w:cs="Times New Roman"/>
          <w:b w:val="0"/>
          <w:bCs w:val="0"/>
          <w:sz w:val="28"/>
          <w:szCs w:val="28"/>
        </w:rPr>
        <w:t>6</w:t>
      </w:r>
      <w:r w:rsidR="002B15F2" w:rsidRPr="002B15F2">
        <w:rPr>
          <w:rStyle w:val="ad"/>
          <w:rFonts w:ascii="Times New Roman" w:hAnsi="Times New Roman" w:cs="Times New Roman"/>
          <w:b w:val="0"/>
          <w:bCs w:val="0"/>
          <w:sz w:val="28"/>
          <w:szCs w:val="28"/>
        </w:rPr>
        <w:t>]</w:t>
      </w:r>
      <w:r w:rsidR="00EE52E9">
        <w:rPr>
          <w:rStyle w:val="ad"/>
          <w:rFonts w:ascii="Times New Roman" w:hAnsi="Times New Roman" w:cs="Times New Roman"/>
          <w:sz w:val="28"/>
          <w:szCs w:val="28"/>
        </w:rPr>
        <w:t>.</w:t>
      </w:r>
      <w:r w:rsidRPr="004804AA">
        <w:rPr>
          <w:rFonts w:ascii="Times New Roman" w:hAnsi="Times New Roman" w:cs="Times New Roman"/>
          <w:b/>
          <w:bCs/>
          <w:sz w:val="28"/>
          <w:szCs w:val="28"/>
        </w:rPr>
        <w:t xml:space="preserve"> </w:t>
      </w:r>
      <w:r w:rsidRPr="004804AA">
        <w:rPr>
          <w:rStyle w:val="ad"/>
          <w:rFonts w:ascii="Times New Roman" w:hAnsi="Times New Roman" w:cs="Times New Roman"/>
          <w:b w:val="0"/>
          <w:bCs w:val="0"/>
          <w:sz w:val="28"/>
          <w:szCs w:val="28"/>
        </w:rPr>
        <w:t>Глобальная потенциальная потеря производительности, связанная с близорукостью в 2015 г., оценивалась в 250 млрд долларов США</w:t>
      </w:r>
      <w:r w:rsidR="002B15F2" w:rsidRPr="002B15F2">
        <w:rPr>
          <w:rStyle w:val="ad"/>
          <w:rFonts w:ascii="Times New Roman" w:hAnsi="Times New Roman" w:cs="Times New Roman"/>
          <w:sz w:val="28"/>
          <w:szCs w:val="28"/>
        </w:rPr>
        <w:t xml:space="preserve"> </w:t>
      </w:r>
      <w:r w:rsidR="002B15F2" w:rsidRPr="002B15F2">
        <w:rPr>
          <w:rStyle w:val="ad"/>
          <w:rFonts w:ascii="Times New Roman" w:hAnsi="Times New Roman" w:cs="Times New Roman"/>
          <w:b w:val="0"/>
          <w:sz w:val="28"/>
          <w:szCs w:val="28"/>
        </w:rPr>
        <w:t>[</w:t>
      </w:r>
      <w:r w:rsidR="002B15F2" w:rsidRPr="000F702C">
        <w:rPr>
          <w:rStyle w:val="ad"/>
          <w:rFonts w:ascii="Times New Roman" w:hAnsi="Times New Roman" w:cs="Times New Roman"/>
          <w:b w:val="0"/>
          <w:sz w:val="28"/>
          <w:szCs w:val="28"/>
        </w:rPr>
        <w:t>1</w:t>
      </w:r>
      <w:r w:rsidR="006E0D7F">
        <w:rPr>
          <w:rStyle w:val="ad"/>
          <w:rFonts w:ascii="Times New Roman" w:hAnsi="Times New Roman" w:cs="Times New Roman"/>
          <w:b w:val="0"/>
          <w:sz w:val="28"/>
          <w:szCs w:val="28"/>
        </w:rPr>
        <w:t>8</w:t>
      </w:r>
      <w:r w:rsidR="002B15F2" w:rsidRPr="002B15F2">
        <w:rPr>
          <w:rStyle w:val="ad"/>
          <w:rFonts w:ascii="Times New Roman" w:hAnsi="Times New Roman" w:cs="Times New Roman"/>
          <w:b w:val="0"/>
          <w:sz w:val="28"/>
          <w:szCs w:val="28"/>
        </w:rPr>
        <w:t>]</w:t>
      </w:r>
      <w:r w:rsidR="00EE52E9" w:rsidRPr="002B15F2">
        <w:rPr>
          <w:rStyle w:val="ad"/>
          <w:rFonts w:ascii="Times New Roman" w:hAnsi="Times New Roman" w:cs="Times New Roman"/>
          <w:b w:val="0"/>
          <w:sz w:val="28"/>
          <w:szCs w:val="28"/>
        </w:rPr>
        <w:t>.</w:t>
      </w:r>
      <w:r w:rsidRPr="002B15F2">
        <w:rPr>
          <w:rStyle w:val="ad"/>
          <w:rFonts w:ascii="Times New Roman" w:hAnsi="Times New Roman" w:cs="Times New Roman"/>
          <w:b w:val="0"/>
          <w:bCs w:val="0"/>
          <w:sz w:val="28"/>
          <w:szCs w:val="28"/>
        </w:rPr>
        <w:t xml:space="preserve"> </w:t>
      </w:r>
    </w:p>
    <w:p w14:paraId="465DBD14" w14:textId="17277BC9" w:rsidR="00253673" w:rsidRDefault="000A0294" w:rsidP="005C37DF">
      <w:pPr>
        <w:pStyle w:val="a4"/>
        <w:ind w:firstLine="709"/>
        <w:jc w:val="both"/>
        <w:rPr>
          <w:rStyle w:val="ad"/>
          <w:rFonts w:ascii="Times New Roman" w:hAnsi="Times New Roman" w:cs="Times New Roman"/>
          <w:b w:val="0"/>
          <w:bCs w:val="0"/>
          <w:sz w:val="28"/>
          <w:szCs w:val="28"/>
        </w:rPr>
      </w:pPr>
      <w:r w:rsidRPr="004804AA">
        <w:rPr>
          <w:rStyle w:val="ad"/>
          <w:rFonts w:ascii="Times New Roman" w:hAnsi="Times New Roman" w:cs="Times New Roman"/>
          <w:b w:val="0"/>
          <w:bCs w:val="0"/>
          <w:sz w:val="28"/>
          <w:szCs w:val="28"/>
        </w:rPr>
        <w:t>Таким образом, очевидная необходимость контроля нарушений рефракции, в частности близорукости, привела к росту числа научных исследований, направленных на выявление причин и факторов риска возникновения и прогрессирования миопии. Так проведенный сравнительный анализ отчетных данных и исследований, проведенных с 1930-х годов, позволяет предположить увеличение распространенности и степени миопии за последнее столетие и</w:t>
      </w:r>
      <w:r w:rsidR="00444869">
        <w:rPr>
          <w:rStyle w:val="ad"/>
          <w:rFonts w:ascii="Times New Roman" w:hAnsi="Times New Roman" w:cs="Times New Roman"/>
          <w:b w:val="0"/>
          <w:bCs w:val="0"/>
          <w:sz w:val="28"/>
          <w:szCs w:val="28"/>
        </w:rPr>
        <w:t xml:space="preserve"> </w:t>
      </w:r>
      <w:r w:rsidRPr="004804AA">
        <w:rPr>
          <w:rStyle w:val="ad"/>
          <w:rFonts w:ascii="Times New Roman" w:hAnsi="Times New Roman" w:cs="Times New Roman"/>
          <w:b w:val="0"/>
          <w:bCs w:val="0"/>
          <w:sz w:val="28"/>
          <w:szCs w:val="28"/>
        </w:rPr>
        <w:t>связь уровня миопии с образованием, экономическим развитием и</w:t>
      </w:r>
      <w:r w:rsidR="00444869">
        <w:rPr>
          <w:rStyle w:val="ad"/>
          <w:rFonts w:ascii="Times New Roman" w:hAnsi="Times New Roman" w:cs="Times New Roman"/>
          <w:b w:val="0"/>
          <w:bCs w:val="0"/>
          <w:sz w:val="28"/>
          <w:szCs w:val="28"/>
        </w:rPr>
        <w:t xml:space="preserve"> </w:t>
      </w:r>
      <w:r w:rsidRPr="004804AA">
        <w:rPr>
          <w:rStyle w:val="ad"/>
          <w:rFonts w:ascii="Times New Roman" w:hAnsi="Times New Roman" w:cs="Times New Roman"/>
          <w:b w:val="0"/>
          <w:bCs w:val="0"/>
          <w:sz w:val="28"/>
          <w:szCs w:val="28"/>
        </w:rPr>
        <w:t>урбанизацией</w:t>
      </w:r>
      <w:r w:rsidR="00E142B9" w:rsidRPr="00E142B9">
        <w:rPr>
          <w:rStyle w:val="ad"/>
          <w:rFonts w:ascii="Times New Roman" w:hAnsi="Times New Roman" w:cs="Times New Roman"/>
          <w:b w:val="0"/>
          <w:bCs w:val="0"/>
          <w:sz w:val="28"/>
          <w:szCs w:val="28"/>
        </w:rPr>
        <w:t xml:space="preserve"> [19]</w:t>
      </w:r>
      <w:r w:rsidR="00E142B9">
        <w:rPr>
          <w:rStyle w:val="ad"/>
          <w:rFonts w:ascii="Times New Roman" w:hAnsi="Times New Roman" w:cs="Times New Roman"/>
          <w:b w:val="0"/>
          <w:bCs w:val="0"/>
          <w:sz w:val="28"/>
          <w:szCs w:val="28"/>
        </w:rPr>
        <w:t>.</w:t>
      </w:r>
      <w:r w:rsidRPr="004804AA">
        <w:rPr>
          <w:rStyle w:val="ad"/>
          <w:rFonts w:ascii="Times New Roman" w:hAnsi="Times New Roman" w:cs="Times New Roman"/>
          <w:b w:val="0"/>
          <w:bCs w:val="0"/>
          <w:sz w:val="28"/>
          <w:szCs w:val="28"/>
        </w:rPr>
        <w:t xml:space="preserve"> Помимо этого, проводится изучение других вероятных предикторов развития миопии, таких как возраст, пол, этнос, наследственн</w:t>
      </w:r>
      <w:r w:rsidR="00253673">
        <w:rPr>
          <w:rStyle w:val="ad"/>
          <w:rFonts w:ascii="Times New Roman" w:hAnsi="Times New Roman" w:cs="Times New Roman"/>
          <w:b w:val="0"/>
          <w:bCs w:val="0"/>
          <w:sz w:val="28"/>
          <w:szCs w:val="28"/>
        </w:rPr>
        <w:t>ая</w:t>
      </w:r>
      <w:r w:rsidRPr="004804AA">
        <w:rPr>
          <w:rStyle w:val="ad"/>
          <w:rFonts w:ascii="Times New Roman" w:hAnsi="Times New Roman" w:cs="Times New Roman"/>
          <w:b w:val="0"/>
          <w:bCs w:val="0"/>
          <w:sz w:val="28"/>
          <w:szCs w:val="28"/>
        </w:rPr>
        <w:t xml:space="preserve"> предрасположенност</w:t>
      </w:r>
      <w:r w:rsidR="00253673">
        <w:rPr>
          <w:rStyle w:val="ad"/>
          <w:rFonts w:ascii="Times New Roman" w:hAnsi="Times New Roman" w:cs="Times New Roman"/>
          <w:b w:val="0"/>
          <w:bCs w:val="0"/>
          <w:sz w:val="28"/>
          <w:szCs w:val="28"/>
        </w:rPr>
        <w:t>ь</w:t>
      </w:r>
      <w:r w:rsidRPr="004804AA">
        <w:rPr>
          <w:rStyle w:val="ad"/>
          <w:rFonts w:ascii="Times New Roman" w:hAnsi="Times New Roman" w:cs="Times New Roman"/>
          <w:b w:val="0"/>
          <w:bCs w:val="0"/>
          <w:sz w:val="28"/>
          <w:szCs w:val="28"/>
        </w:rPr>
        <w:t>, фактор</w:t>
      </w:r>
      <w:r w:rsidR="00253673">
        <w:rPr>
          <w:rStyle w:val="ad"/>
          <w:rFonts w:ascii="Times New Roman" w:hAnsi="Times New Roman" w:cs="Times New Roman"/>
          <w:b w:val="0"/>
          <w:bCs w:val="0"/>
          <w:sz w:val="28"/>
          <w:szCs w:val="28"/>
        </w:rPr>
        <w:t>ы</w:t>
      </w:r>
      <w:r w:rsidRPr="004804AA">
        <w:rPr>
          <w:rStyle w:val="ad"/>
          <w:rFonts w:ascii="Times New Roman" w:hAnsi="Times New Roman" w:cs="Times New Roman"/>
          <w:b w:val="0"/>
          <w:bCs w:val="0"/>
          <w:sz w:val="28"/>
          <w:szCs w:val="28"/>
        </w:rPr>
        <w:t xml:space="preserve"> образа жизни (уровень и </w:t>
      </w:r>
      <w:r w:rsidRPr="004804AA">
        <w:rPr>
          <w:rStyle w:val="ad"/>
          <w:rFonts w:ascii="Times New Roman" w:hAnsi="Times New Roman" w:cs="Times New Roman"/>
          <w:b w:val="0"/>
          <w:bCs w:val="0"/>
          <w:sz w:val="28"/>
          <w:szCs w:val="28"/>
        </w:rPr>
        <w:lastRenderedPageBreak/>
        <w:t>интенсивность образования, зрительная и физическая активность, продолжительность сна, питание и др.),</w:t>
      </w:r>
      <w:r w:rsidR="00444869">
        <w:rPr>
          <w:rStyle w:val="ad"/>
          <w:rFonts w:ascii="Times New Roman" w:hAnsi="Times New Roman" w:cs="Times New Roman"/>
          <w:b w:val="0"/>
          <w:bCs w:val="0"/>
          <w:sz w:val="28"/>
          <w:szCs w:val="28"/>
        </w:rPr>
        <w:t xml:space="preserve"> </w:t>
      </w:r>
      <w:r w:rsidR="00253673">
        <w:rPr>
          <w:rStyle w:val="ad"/>
          <w:rFonts w:ascii="Times New Roman" w:hAnsi="Times New Roman" w:cs="Times New Roman"/>
          <w:b w:val="0"/>
          <w:bCs w:val="0"/>
          <w:sz w:val="28"/>
          <w:szCs w:val="28"/>
        </w:rPr>
        <w:t xml:space="preserve">и </w:t>
      </w:r>
      <w:r w:rsidRPr="004804AA">
        <w:rPr>
          <w:rStyle w:val="ad"/>
          <w:rFonts w:ascii="Times New Roman" w:hAnsi="Times New Roman" w:cs="Times New Roman"/>
          <w:b w:val="0"/>
          <w:bCs w:val="0"/>
          <w:sz w:val="28"/>
          <w:szCs w:val="28"/>
        </w:rPr>
        <w:t>окружающей среды (качество воздуха, продолжительность светового дня), экономически</w:t>
      </w:r>
      <w:r w:rsidR="00253673">
        <w:rPr>
          <w:rStyle w:val="ad"/>
          <w:rFonts w:ascii="Times New Roman" w:hAnsi="Times New Roman" w:cs="Times New Roman"/>
          <w:b w:val="0"/>
          <w:bCs w:val="0"/>
          <w:sz w:val="28"/>
          <w:szCs w:val="28"/>
        </w:rPr>
        <w:t>е</w:t>
      </w:r>
      <w:r w:rsidRPr="004804AA">
        <w:rPr>
          <w:rStyle w:val="ad"/>
          <w:rFonts w:ascii="Times New Roman" w:hAnsi="Times New Roman" w:cs="Times New Roman"/>
          <w:b w:val="0"/>
          <w:bCs w:val="0"/>
          <w:sz w:val="28"/>
          <w:szCs w:val="28"/>
        </w:rPr>
        <w:t xml:space="preserve"> фактор</w:t>
      </w:r>
      <w:r w:rsidR="00253673">
        <w:rPr>
          <w:rStyle w:val="ad"/>
          <w:rFonts w:ascii="Times New Roman" w:hAnsi="Times New Roman" w:cs="Times New Roman"/>
          <w:b w:val="0"/>
          <w:bCs w:val="0"/>
          <w:sz w:val="28"/>
          <w:szCs w:val="28"/>
        </w:rPr>
        <w:t>ы</w:t>
      </w:r>
      <w:r w:rsidRPr="004804AA">
        <w:rPr>
          <w:rStyle w:val="ad"/>
          <w:rFonts w:ascii="Times New Roman" w:hAnsi="Times New Roman" w:cs="Times New Roman"/>
          <w:b w:val="0"/>
          <w:bCs w:val="0"/>
          <w:sz w:val="28"/>
          <w:szCs w:val="28"/>
        </w:rPr>
        <w:t xml:space="preserve"> и многи</w:t>
      </w:r>
      <w:r w:rsidR="00253673">
        <w:rPr>
          <w:rStyle w:val="ad"/>
          <w:rFonts w:ascii="Times New Roman" w:hAnsi="Times New Roman" w:cs="Times New Roman"/>
          <w:b w:val="0"/>
          <w:bCs w:val="0"/>
          <w:sz w:val="28"/>
          <w:szCs w:val="28"/>
        </w:rPr>
        <w:t>е</w:t>
      </w:r>
      <w:r w:rsidRPr="004804AA">
        <w:rPr>
          <w:rStyle w:val="ad"/>
          <w:rFonts w:ascii="Times New Roman" w:hAnsi="Times New Roman" w:cs="Times New Roman"/>
          <w:b w:val="0"/>
          <w:bCs w:val="0"/>
          <w:sz w:val="28"/>
          <w:szCs w:val="28"/>
        </w:rPr>
        <w:t xml:space="preserve"> други</w:t>
      </w:r>
      <w:r w:rsidR="00253673">
        <w:rPr>
          <w:rStyle w:val="ad"/>
          <w:rFonts w:ascii="Times New Roman" w:hAnsi="Times New Roman" w:cs="Times New Roman"/>
          <w:b w:val="0"/>
          <w:bCs w:val="0"/>
          <w:sz w:val="28"/>
          <w:szCs w:val="28"/>
        </w:rPr>
        <w:t>е</w:t>
      </w:r>
      <w:r w:rsidR="00E142B9" w:rsidRPr="00E142B9">
        <w:rPr>
          <w:rStyle w:val="ad"/>
          <w:rFonts w:ascii="Times New Roman" w:hAnsi="Times New Roman" w:cs="Times New Roman"/>
          <w:b w:val="0"/>
          <w:bCs w:val="0"/>
          <w:sz w:val="28"/>
          <w:szCs w:val="28"/>
        </w:rPr>
        <w:t xml:space="preserve"> [12</w:t>
      </w:r>
      <w:r w:rsidR="00E142B9">
        <w:rPr>
          <w:rStyle w:val="ad"/>
          <w:rFonts w:ascii="Times New Roman" w:hAnsi="Times New Roman" w:cs="Times New Roman"/>
          <w:b w:val="0"/>
          <w:bCs w:val="0"/>
          <w:sz w:val="28"/>
          <w:szCs w:val="28"/>
        </w:rPr>
        <w:t>,</w:t>
      </w:r>
      <w:r w:rsidR="00E142B9" w:rsidRPr="00E142B9">
        <w:rPr>
          <w:rStyle w:val="ad"/>
          <w:rFonts w:ascii="Times New Roman" w:hAnsi="Times New Roman" w:cs="Times New Roman"/>
          <w:b w:val="0"/>
          <w:bCs w:val="0"/>
          <w:sz w:val="28"/>
          <w:szCs w:val="28"/>
        </w:rPr>
        <w:t xml:space="preserve"> </w:t>
      </w:r>
      <w:r w:rsidR="00E142B9">
        <w:rPr>
          <w:rStyle w:val="ad"/>
          <w:rFonts w:ascii="Times New Roman" w:hAnsi="Times New Roman" w:cs="Times New Roman"/>
          <w:b w:val="0"/>
          <w:bCs w:val="0"/>
          <w:sz w:val="28"/>
          <w:szCs w:val="28"/>
        </w:rPr>
        <w:t>c</w:t>
      </w:r>
      <w:r w:rsidR="00E142B9" w:rsidRPr="00E142B9">
        <w:rPr>
          <w:rStyle w:val="ad"/>
          <w:rFonts w:ascii="Times New Roman" w:hAnsi="Times New Roman" w:cs="Times New Roman"/>
          <w:b w:val="0"/>
          <w:bCs w:val="0"/>
          <w:sz w:val="28"/>
          <w:szCs w:val="28"/>
        </w:rPr>
        <w:t>.3-4; 2</w:t>
      </w:r>
      <w:r w:rsidR="00AB55C6" w:rsidRPr="00AB55C6">
        <w:rPr>
          <w:rStyle w:val="ad"/>
          <w:rFonts w:ascii="Times New Roman" w:hAnsi="Times New Roman" w:cs="Times New Roman"/>
          <w:b w:val="0"/>
          <w:bCs w:val="0"/>
          <w:sz w:val="28"/>
          <w:szCs w:val="28"/>
        </w:rPr>
        <w:t>5</w:t>
      </w:r>
      <w:r w:rsidR="00E142B9" w:rsidRPr="00E142B9">
        <w:rPr>
          <w:rStyle w:val="ad"/>
          <w:rFonts w:ascii="Times New Roman" w:hAnsi="Times New Roman" w:cs="Times New Roman"/>
          <w:b w:val="0"/>
          <w:bCs w:val="0"/>
          <w:sz w:val="28"/>
          <w:szCs w:val="28"/>
        </w:rPr>
        <w:t>–2</w:t>
      </w:r>
      <w:r w:rsidR="00AB55C6" w:rsidRPr="00AB55C6">
        <w:rPr>
          <w:rStyle w:val="ad"/>
          <w:rFonts w:ascii="Times New Roman" w:hAnsi="Times New Roman" w:cs="Times New Roman"/>
          <w:b w:val="0"/>
          <w:bCs w:val="0"/>
          <w:sz w:val="28"/>
          <w:szCs w:val="28"/>
        </w:rPr>
        <w:t>8</w:t>
      </w:r>
      <w:r w:rsidR="00E142B9" w:rsidRPr="00E142B9">
        <w:rPr>
          <w:rStyle w:val="ad"/>
          <w:rFonts w:ascii="Times New Roman" w:hAnsi="Times New Roman" w:cs="Times New Roman"/>
          <w:b w:val="0"/>
          <w:bCs w:val="0"/>
          <w:sz w:val="28"/>
          <w:szCs w:val="28"/>
        </w:rPr>
        <w:t>]</w:t>
      </w:r>
      <w:r w:rsidR="00EE52E9">
        <w:rPr>
          <w:rStyle w:val="ad"/>
          <w:rFonts w:ascii="Times New Roman" w:hAnsi="Times New Roman" w:cs="Times New Roman"/>
          <w:sz w:val="28"/>
          <w:szCs w:val="28"/>
        </w:rPr>
        <w:t>.</w:t>
      </w:r>
      <w:r w:rsidRPr="004804AA">
        <w:rPr>
          <w:rStyle w:val="ad"/>
          <w:rFonts w:ascii="Times New Roman" w:hAnsi="Times New Roman" w:cs="Times New Roman"/>
          <w:b w:val="0"/>
          <w:bCs w:val="0"/>
          <w:sz w:val="28"/>
          <w:szCs w:val="28"/>
        </w:rPr>
        <w:t xml:space="preserve"> </w:t>
      </w:r>
    </w:p>
    <w:p w14:paraId="34ABA4E4" w14:textId="2A8F5474" w:rsidR="003E33B3" w:rsidRDefault="000A0294" w:rsidP="005C37DF">
      <w:pPr>
        <w:pStyle w:val="a4"/>
        <w:ind w:firstLine="709"/>
        <w:jc w:val="both"/>
        <w:rPr>
          <w:rStyle w:val="ad"/>
          <w:rFonts w:ascii="Times New Roman" w:hAnsi="Times New Roman" w:cs="Times New Roman"/>
          <w:sz w:val="28"/>
          <w:szCs w:val="28"/>
        </w:rPr>
      </w:pPr>
      <w:r w:rsidRPr="004804AA">
        <w:rPr>
          <w:rStyle w:val="ad"/>
          <w:rFonts w:ascii="Times New Roman" w:hAnsi="Times New Roman" w:cs="Times New Roman"/>
          <w:b w:val="0"/>
          <w:bCs w:val="0"/>
          <w:sz w:val="28"/>
          <w:szCs w:val="28"/>
        </w:rPr>
        <w:t>В настоящий момент контроль миопии включает в себя мероприятия направленные на профилактику возникновения близорукости и замедление ее прогрессирования</w:t>
      </w:r>
      <w:r w:rsidR="00837DEF" w:rsidRPr="00837DEF">
        <w:rPr>
          <w:rStyle w:val="ad"/>
          <w:rFonts w:ascii="Times New Roman" w:hAnsi="Times New Roman" w:cs="Times New Roman"/>
          <w:b w:val="0"/>
          <w:bCs w:val="0"/>
          <w:sz w:val="28"/>
          <w:szCs w:val="28"/>
        </w:rPr>
        <w:t xml:space="preserve"> [27]</w:t>
      </w:r>
      <w:r w:rsidR="00EE52E9">
        <w:rPr>
          <w:rStyle w:val="ad"/>
          <w:rFonts w:ascii="Times New Roman" w:hAnsi="Times New Roman" w:cs="Times New Roman"/>
          <w:sz w:val="28"/>
          <w:szCs w:val="28"/>
        </w:rPr>
        <w:t>.</w:t>
      </w:r>
      <w:r w:rsidRPr="004804AA">
        <w:rPr>
          <w:rStyle w:val="ad"/>
          <w:rFonts w:ascii="Times New Roman" w:hAnsi="Times New Roman" w:cs="Times New Roman"/>
          <w:b w:val="0"/>
          <w:bCs w:val="0"/>
          <w:sz w:val="28"/>
          <w:szCs w:val="28"/>
        </w:rPr>
        <w:t xml:space="preserve"> </w:t>
      </w:r>
      <w:r w:rsidR="00AC4929" w:rsidRPr="004804AA">
        <w:rPr>
          <w:rStyle w:val="ad"/>
          <w:rFonts w:ascii="Times New Roman" w:hAnsi="Times New Roman" w:cs="Times New Roman"/>
          <w:b w:val="0"/>
          <w:bCs w:val="0"/>
          <w:sz w:val="28"/>
          <w:szCs w:val="28"/>
        </w:rPr>
        <w:t>Критическим периодом развития миопии у детей признан период школьного обучения</w:t>
      </w:r>
      <w:r w:rsidR="003E33B3">
        <w:rPr>
          <w:rStyle w:val="ad"/>
          <w:rFonts w:ascii="Times New Roman" w:hAnsi="Times New Roman" w:cs="Times New Roman"/>
          <w:b w:val="0"/>
          <w:bCs w:val="0"/>
          <w:sz w:val="28"/>
          <w:szCs w:val="28"/>
        </w:rPr>
        <w:t>, с максимальным прогрессированием в возрасте 8-15 лет</w:t>
      </w:r>
      <w:r w:rsidR="003E33B3" w:rsidRPr="003E33B3">
        <w:rPr>
          <w:rStyle w:val="ad"/>
          <w:rFonts w:ascii="Times New Roman" w:hAnsi="Times New Roman" w:cs="Times New Roman"/>
          <w:b w:val="0"/>
          <w:bCs w:val="0"/>
          <w:sz w:val="28"/>
          <w:szCs w:val="28"/>
        </w:rPr>
        <w:t xml:space="preserve"> [28]</w:t>
      </w:r>
      <w:r w:rsidR="00AC4929" w:rsidRPr="004804AA">
        <w:rPr>
          <w:rStyle w:val="ad"/>
          <w:rFonts w:ascii="Times New Roman" w:hAnsi="Times New Roman" w:cs="Times New Roman"/>
          <w:b w:val="0"/>
          <w:bCs w:val="0"/>
          <w:sz w:val="28"/>
          <w:szCs w:val="28"/>
        </w:rPr>
        <w:t xml:space="preserve">. </w:t>
      </w:r>
      <w:r w:rsidR="000B6114">
        <w:rPr>
          <w:rStyle w:val="ad"/>
          <w:rFonts w:ascii="Times New Roman" w:hAnsi="Times New Roman" w:cs="Times New Roman"/>
          <w:b w:val="0"/>
          <w:bCs w:val="0"/>
          <w:sz w:val="28"/>
          <w:szCs w:val="28"/>
        </w:rPr>
        <w:t xml:space="preserve">При этом, возраст манифестации миопии является наиболее важным предиктором быстрого прогрессирования и более высокой степени в последующем </w:t>
      </w:r>
      <w:r w:rsidR="00837DEF" w:rsidRPr="00837DEF">
        <w:rPr>
          <w:rStyle w:val="ad"/>
          <w:rFonts w:ascii="Times New Roman" w:hAnsi="Times New Roman" w:cs="Times New Roman"/>
          <w:b w:val="0"/>
          <w:bCs w:val="0"/>
          <w:sz w:val="28"/>
          <w:szCs w:val="28"/>
        </w:rPr>
        <w:t>[</w:t>
      </w:r>
      <w:r w:rsidR="003E33B3" w:rsidRPr="003E33B3">
        <w:rPr>
          <w:rStyle w:val="ad"/>
          <w:rFonts w:ascii="Times New Roman" w:hAnsi="Times New Roman" w:cs="Times New Roman"/>
          <w:b w:val="0"/>
          <w:bCs w:val="0"/>
          <w:sz w:val="28"/>
          <w:szCs w:val="28"/>
        </w:rPr>
        <w:t>29</w:t>
      </w:r>
      <w:r w:rsidR="00837DEF" w:rsidRPr="00837DEF">
        <w:rPr>
          <w:rStyle w:val="ad"/>
          <w:rFonts w:ascii="Times New Roman" w:hAnsi="Times New Roman" w:cs="Times New Roman"/>
          <w:b w:val="0"/>
          <w:bCs w:val="0"/>
          <w:sz w:val="28"/>
          <w:szCs w:val="28"/>
        </w:rPr>
        <w:t>-3</w:t>
      </w:r>
      <w:r w:rsidR="003E33B3" w:rsidRPr="003E33B3">
        <w:rPr>
          <w:rStyle w:val="ad"/>
          <w:rFonts w:ascii="Times New Roman" w:hAnsi="Times New Roman" w:cs="Times New Roman"/>
          <w:b w:val="0"/>
          <w:bCs w:val="0"/>
          <w:sz w:val="28"/>
          <w:szCs w:val="28"/>
        </w:rPr>
        <w:t>3</w:t>
      </w:r>
      <w:r w:rsidR="00837DEF" w:rsidRPr="00837DEF">
        <w:rPr>
          <w:rStyle w:val="ad"/>
          <w:rFonts w:ascii="Times New Roman" w:hAnsi="Times New Roman" w:cs="Times New Roman"/>
          <w:b w:val="0"/>
          <w:bCs w:val="0"/>
          <w:sz w:val="28"/>
          <w:szCs w:val="28"/>
        </w:rPr>
        <w:t>]</w:t>
      </w:r>
      <w:r w:rsidR="00EE52E9">
        <w:rPr>
          <w:rStyle w:val="ad"/>
          <w:rFonts w:ascii="Times New Roman" w:hAnsi="Times New Roman" w:cs="Times New Roman"/>
          <w:sz w:val="28"/>
          <w:szCs w:val="28"/>
        </w:rPr>
        <w:t>.</w:t>
      </w:r>
      <w:r w:rsidR="00AC4929">
        <w:rPr>
          <w:rStyle w:val="ad"/>
          <w:rFonts w:ascii="Times New Roman" w:hAnsi="Times New Roman" w:cs="Times New Roman"/>
          <w:sz w:val="28"/>
          <w:szCs w:val="28"/>
        </w:rPr>
        <w:t xml:space="preserve"> </w:t>
      </w:r>
    </w:p>
    <w:p w14:paraId="5A859F3F" w14:textId="72CD2385" w:rsidR="001B2868" w:rsidRDefault="00AC4929" w:rsidP="005C37DF">
      <w:pPr>
        <w:pStyle w:val="a4"/>
        <w:ind w:firstLine="709"/>
        <w:jc w:val="both"/>
        <w:rPr>
          <w:rStyle w:val="ad"/>
          <w:rFonts w:ascii="Times New Roman" w:hAnsi="Times New Roman" w:cs="Times New Roman"/>
          <w:b w:val="0"/>
          <w:bCs w:val="0"/>
          <w:sz w:val="28"/>
          <w:szCs w:val="28"/>
        </w:rPr>
      </w:pPr>
      <w:r w:rsidRPr="00AC4929">
        <w:rPr>
          <w:rStyle w:val="ad"/>
          <w:rFonts w:ascii="Times New Roman" w:hAnsi="Times New Roman" w:cs="Times New Roman"/>
          <w:b w:val="0"/>
          <w:bCs w:val="0"/>
          <w:sz w:val="28"/>
          <w:szCs w:val="28"/>
        </w:rPr>
        <w:t>Таким образом, о</w:t>
      </w:r>
      <w:r w:rsidR="000A0294" w:rsidRPr="00AC4929">
        <w:rPr>
          <w:rStyle w:val="ad"/>
          <w:rFonts w:ascii="Times New Roman" w:hAnsi="Times New Roman" w:cs="Times New Roman"/>
          <w:b w:val="0"/>
          <w:bCs w:val="0"/>
          <w:sz w:val="28"/>
          <w:szCs w:val="28"/>
        </w:rPr>
        <w:t>чевидно</w:t>
      </w:r>
      <w:r w:rsidR="000A0294" w:rsidRPr="004804AA">
        <w:rPr>
          <w:rStyle w:val="ad"/>
          <w:rFonts w:ascii="Times New Roman" w:hAnsi="Times New Roman" w:cs="Times New Roman"/>
          <w:b w:val="0"/>
          <w:bCs w:val="0"/>
          <w:sz w:val="28"/>
          <w:szCs w:val="28"/>
        </w:rPr>
        <w:t>, что решающее значение для</w:t>
      </w:r>
      <w:r w:rsidR="002D5740">
        <w:rPr>
          <w:rStyle w:val="ad"/>
          <w:rFonts w:ascii="Times New Roman" w:hAnsi="Times New Roman" w:cs="Times New Roman"/>
          <w:b w:val="0"/>
          <w:bCs w:val="0"/>
          <w:sz w:val="28"/>
          <w:szCs w:val="28"/>
        </w:rPr>
        <w:t xml:space="preserve"> профилактики и </w:t>
      </w:r>
      <w:r w:rsidR="000A0294" w:rsidRPr="004804AA">
        <w:rPr>
          <w:rStyle w:val="ad"/>
          <w:rFonts w:ascii="Times New Roman" w:hAnsi="Times New Roman" w:cs="Times New Roman"/>
          <w:b w:val="0"/>
          <w:bCs w:val="0"/>
          <w:sz w:val="28"/>
          <w:szCs w:val="28"/>
        </w:rPr>
        <w:t xml:space="preserve">контроля миопии в подростковом и детском возрасте имеет своевременное, регулярное офтальмологическое обследование. </w:t>
      </w:r>
      <w:r w:rsidR="00D57764">
        <w:rPr>
          <w:rStyle w:val="ad"/>
          <w:rFonts w:ascii="Times New Roman" w:hAnsi="Times New Roman" w:cs="Times New Roman"/>
          <w:b w:val="0"/>
          <w:bCs w:val="0"/>
          <w:sz w:val="28"/>
          <w:szCs w:val="28"/>
        </w:rPr>
        <w:t>Однако</w:t>
      </w:r>
      <w:r>
        <w:rPr>
          <w:rStyle w:val="ad"/>
          <w:rFonts w:ascii="Times New Roman" w:hAnsi="Times New Roman" w:cs="Times New Roman"/>
          <w:b w:val="0"/>
          <w:bCs w:val="0"/>
          <w:sz w:val="28"/>
          <w:szCs w:val="28"/>
        </w:rPr>
        <w:t xml:space="preserve">, </w:t>
      </w:r>
      <w:r w:rsidR="000A0294" w:rsidRPr="004804AA">
        <w:rPr>
          <w:rStyle w:val="ad"/>
          <w:rFonts w:ascii="Times New Roman" w:hAnsi="Times New Roman" w:cs="Times New Roman"/>
          <w:b w:val="0"/>
          <w:bCs w:val="0"/>
          <w:sz w:val="28"/>
          <w:szCs w:val="28"/>
        </w:rPr>
        <w:t>дефицит кадров, необходимост</w:t>
      </w:r>
      <w:r w:rsidR="00D57764">
        <w:rPr>
          <w:rStyle w:val="ad"/>
          <w:rFonts w:ascii="Times New Roman" w:hAnsi="Times New Roman" w:cs="Times New Roman"/>
          <w:b w:val="0"/>
          <w:bCs w:val="0"/>
          <w:sz w:val="28"/>
          <w:szCs w:val="28"/>
        </w:rPr>
        <w:t xml:space="preserve">ь наличия </w:t>
      </w:r>
      <w:r w:rsidR="000A0294" w:rsidRPr="004804AA">
        <w:rPr>
          <w:rStyle w:val="ad"/>
          <w:rFonts w:ascii="Times New Roman" w:hAnsi="Times New Roman" w:cs="Times New Roman"/>
          <w:b w:val="0"/>
          <w:bCs w:val="0"/>
          <w:sz w:val="28"/>
          <w:szCs w:val="28"/>
        </w:rPr>
        <w:t>дорогостоящего оборудования, обученного персонала, отдельных помещений, и главное –</w:t>
      </w:r>
      <w:r w:rsidR="00D57764">
        <w:rPr>
          <w:rStyle w:val="ad"/>
          <w:rFonts w:ascii="Times New Roman" w:hAnsi="Times New Roman" w:cs="Times New Roman"/>
          <w:b w:val="0"/>
          <w:bCs w:val="0"/>
          <w:sz w:val="28"/>
          <w:szCs w:val="28"/>
        </w:rPr>
        <w:t xml:space="preserve"> </w:t>
      </w:r>
      <w:r w:rsidR="000A0294" w:rsidRPr="004804AA">
        <w:rPr>
          <w:rStyle w:val="ad"/>
          <w:rFonts w:ascii="Times New Roman" w:hAnsi="Times New Roman" w:cs="Times New Roman"/>
          <w:b w:val="0"/>
          <w:bCs w:val="0"/>
          <w:sz w:val="28"/>
          <w:szCs w:val="28"/>
        </w:rPr>
        <w:t>возрастающей нагруз</w:t>
      </w:r>
      <w:r w:rsidR="00D57764">
        <w:rPr>
          <w:rStyle w:val="ad"/>
          <w:rFonts w:ascii="Times New Roman" w:hAnsi="Times New Roman" w:cs="Times New Roman"/>
          <w:b w:val="0"/>
          <w:bCs w:val="0"/>
          <w:sz w:val="28"/>
          <w:szCs w:val="28"/>
        </w:rPr>
        <w:t xml:space="preserve">ки на первичное звено ПМСП, </w:t>
      </w:r>
      <w:r w:rsidR="000A0294" w:rsidRPr="004804AA">
        <w:rPr>
          <w:rStyle w:val="ad"/>
          <w:rFonts w:ascii="Times New Roman" w:hAnsi="Times New Roman" w:cs="Times New Roman"/>
          <w:b w:val="0"/>
          <w:bCs w:val="0"/>
          <w:sz w:val="28"/>
          <w:szCs w:val="28"/>
        </w:rPr>
        <w:t xml:space="preserve">делает </w:t>
      </w:r>
      <w:r>
        <w:rPr>
          <w:rStyle w:val="ad"/>
          <w:rFonts w:ascii="Times New Roman" w:hAnsi="Times New Roman" w:cs="Times New Roman"/>
          <w:b w:val="0"/>
          <w:bCs w:val="0"/>
          <w:sz w:val="28"/>
          <w:szCs w:val="28"/>
        </w:rPr>
        <w:t>его</w:t>
      </w:r>
      <w:r w:rsidR="000A0294" w:rsidRPr="004804AA">
        <w:rPr>
          <w:rStyle w:val="ad"/>
          <w:rFonts w:ascii="Times New Roman" w:hAnsi="Times New Roman" w:cs="Times New Roman"/>
          <w:b w:val="0"/>
          <w:bCs w:val="0"/>
          <w:sz w:val="28"/>
          <w:szCs w:val="28"/>
        </w:rPr>
        <w:t xml:space="preserve"> трудоемким</w:t>
      </w:r>
      <w:r w:rsidR="00D57764">
        <w:rPr>
          <w:rStyle w:val="ad"/>
          <w:rFonts w:ascii="Times New Roman" w:hAnsi="Times New Roman" w:cs="Times New Roman"/>
          <w:b w:val="0"/>
          <w:bCs w:val="0"/>
          <w:sz w:val="28"/>
          <w:szCs w:val="28"/>
        </w:rPr>
        <w:t xml:space="preserve"> </w:t>
      </w:r>
      <w:r w:rsidR="00F14EDD">
        <w:rPr>
          <w:rStyle w:val="ad"/>
          <w:rFonts w:ascii="Times New Roman" w:hAnsi="Times New Roman" w:cs="Times New Roman"/>
          <w:b w:val="0"/>
          <w:bCs w:val="0"/>
          <w:sz w:val="28"/>
          <w:szCs w:val="28"/>
        </w:rPr>
        <w:t xml:space="preserve">и </w:t>
      </w:r>
      <w:r w:rsidR="00F14EDD" w:rsidRPr="004804AA">
        <w:rPr>
          <w:rStyle w:val="ad"/>
          <w:rFonts w:ascii="Times New Roman" w:hAnsi="Times New Roman" w:cs="Times New Roman"/>
          <w:b w:val="0"/>
          <w:bCs w:val="0"/>
          <w:sz w:val="28"/>
          <w:szCs w:val="28"/>
        </w:rPr>
        <w:t>затратным</w:t>
      </w:r>
      <w:r w:rsidR="000A0294" w:rsidRPr="004804AA">
        <w:rPr>
          <w:rStyle w:val="ad"/>
          <w:rFonts w:ascii="Times New Roman" w:hAnsi="Times New Roman" w:cs="Times New Roman"/>
          <w:b w:val="0"/>
          <w:bCs w:val="0"/>
          <w:sz w:val="28"/>
          <w:szCs w:val="28"/>
        </w:rPr>
        <w:t xml:space="preserve"> процесс</w:t>
      </w:r>
      <w:r>
        <w:rPr>
          <w:rStyle w:val="ad"/>
          <w:rFonts w:ascii="Times New Roman" w:hAnsi="Times New Roman" w:cs="Times New Roman"/>
          <w:b w:val="0"/>
          <w:bCs w:val="0"/>
          <w:sz w:val="28"/>
          <w:szCs w:val="28"/>
        </w:rPr>
        <w:t>ом</w:t>
      </w:r>
      <w:r w:rsidR="003E33B3" w:rsidRPr="003E33B3">
        <w:rPr>
          <w:rStyle w:val="ad"/>
          <w:rFonts w:ascii="Times New Roman" w:hAnsi="Times New Roman" w:cs="Times New Roman"/>
          <w:b w:val="0"/>
          <w:bCs w:val="0"/>
          <w:sz w:val="28"/>
          <w:szCs w:val="28"/>
        </w:rPr>
        <w:t xml:space="preserve"> [34]</w:t>
      </w:r>
      <w:r w:rsidR="00EE52E9">
        <w:rPr>
          <w:rStyle w:val="ad"/>
          <w:rFonts w:ascii="Times New Roman" w:hAnsi="Times New Roman" w:cs="Times New Roman"/>
          <w:sz w:val="28"/>
          <w:szCs w:val="28"/>
        </w:rPr>
        <w:t>.</w:t>
      </w:r>
      <w:r w:rsidR="000A0294" w:rsidRPr="004804AA">
        <w:rPr>
          <w:rStyle w:val="ad"/>
          <w:rFonts w:ascii="Times New Roman" w:hAnsi="Times New Roman" w:cs="Times New Roman"/>
          <w:b w:val="0"/>
          <w:bCs w:val="0"/>
          <w:sz w:val="28"/>
          <w:szCs w:val="28"/>
        </w:rPr>
        <w:t xml:space="preserve"> </w:t>
      </w:r>
    </w:p>
    <w:p w14:paraId="726D5C31" w14:textId="0CAEACEE" w:rsidR="000A0294" w:rsidRPr="004804AA" w:rsidRDefault="000A0294" w:rsidP="005C37DF">
      <w:pPr>
        <w:pStyle w:val="a4"/>
        <w:ind w:firstLine="709"/>
        <w:jc w:val="both"/>
        <w:rPr>
          <w:rStyle w:val="ad"/>
          <w:rFonts w:ascii="Times New Roman" w:hAnsi="Times New Roman" w:cs="Times New Roman"/>
          <w:b w:val="0"/>
          <w:bCs w:val="0"/>
          <w:sz w:val="28"/>
          <w:szCs w:val="28"/>
        </w:rPr>
      </w:pPr>
      <w:r w:rsidRPr="004804AA">
        <w:rPr>
          <w:rStyle w:val="ad"/>
          <w:rFonts w:ascii="Times New Roman" w:hAnsi="Times New Roman" w:cs="Times New Roman"/>
          <w:b w:val="0"/>
          <w:bCs w:val="0"/>
          <w:sz w:val="28"/>
          <w:szCs w:val="28"/>
        </w:rPr>
        <w:t>Школьный скрининг на аномалии рефракции экономически более привлекателен, имеет больший охват, чем программы первично</w:t>
      </w:r>
      <w:r w:rsidR="00606E22">
        <w:rPr>
          <w:rStyle w:val="ad"/>
          <w:rFonts w:ascii="Times New Roman" w:hAnsi="Times New Roman" w:cs="Times New Roman"/>
          <w:b w:val="0"/>
          <w:bCs w:val="0"/>
          <w:sz w:val="28"/>
          <w:szCs w:val="28"/>
        </w:rPr>
        <w:t>го</w:t>
      </w:r>
      <w:r w:rsidRPr="004804AA">
        <w:rPr>
          <w:rStyle w:val="ad"/>
          <w:rFonts w:ascii="Times New Roman" w:hAnsi="Times New Roman" w:cs="Times New Roman"/>
          <w:b w:val="0"/>
          <w:bCs w:val="0"/>
          <w:sz w:val="28"/>
          <w:szCs w:val="28"/>
        </w:rPr>
        <w:t xml:space="preserve"> офтальмологическо</w:t>
      </w:r>
      <w:r w:rsidR="00606E22">
        <w:rPr>
          <w:rStyle w:val="ad"/>
          <w:rFonts w:ascii="Times New Roman" w:hAnsi="Times New Roman" w:cs="Times New Roman"/>
          <w:b w:val="0"/>
          <w:bCs w:val="0"/>
          <w:sz w:val="28"/>
          <w:szCs w:val="28"/>
        </w:rPr>
        <w:t>го</w:t>
      </w:r>
      <w:r w:rsidRPr="004804AA">
        <w:rPr>
          <w:rStyle w:val="ad"/>
          <w:rFonts w:ascii="Times New Roman" w:hAnsi="Times New Roman" w:cs="Times New Roman"/>
          <w:b w:val="0"/>
          <w:bCs w:val="0"/>
          <w:sz w:val="28"/>
          <w:szCs w:val="28"/>
        </w:rPr>
        <w:t xml:space="preserve"> </w:t>
      </w:r>
      <w:r w:rsidR="00606E22">
        <w:rPr>
          <w:rStyle w:val="ad"/>
          <w:rFonts w:ascii="Times New Roman" w:hAnsi="Times New Roman" w:cs="Times New Roman"/>
          <w:b w:val="0"/>
          <w:bCs w:val="0"/>
          <w:sz w:val="28"/>
          <w:szCs w:val="28"/>
        </w:rPr>
        <w:t>осмотра</w:t>
      </w:r>
      <w:r w:rsidRPr="004804AA">
        <w:rPr>
          <w:rStyle w:val="ad"/>
          <w:rFonts w:ascii="Times New Roman" w:hAnsi="Times New Roman" w:cs="Times New Roman"/>
          <w:b w:val="0"/>
          <w:bCs w:val="0"/>
          <w:sz w:val="28"/>
          <w:szCs w:val="28"/>
        </w:rPr>
        <w:t xml:space="preserve"> </w:t>
      </w:r>
      <w:r w:rsidR="003266FC" w:rsidRPr="003266FC">
        <w:rPr>
          <w:rStyle w:val="ad"/>
          <w:rFonts w:ascii="Times New Roman" w:hAnsi="Times New Roman" w:cs="Times New Roman"/>
          <w:b w:val="0"/>
          <w:bCs w:val="0"/>
          <w:sz w:val="28"/>
          <w:szCs w:val="28"/>
        </w:rPr>
        <w:t>[35; 36]</w:t>
      </w:r>
      <w:r w:rsidR="00EE52E9">
        <w:rPr>
          <w:rStyle w:val="ad"/>
          <w:rFonts w:ascii="Times New Roman" w:hAnsi="Times New Roman" w:cs="Times New Roman"/>
          <w:sz w:val="28"/>
          <w:szCs w:val="28"/>
        </w:rPr>
        <w:t>.</w:t>
      </w:r>
      <w:r w:rsidRPr="004804AA">
        <w:rPr>
          <w:rStyle w:val="ad"/>
          <w:rFonts w:ascii="Times New Roman" w:hAnsi="Times New Roman" w:cs="Times New Roman"/>
          <w:b w:val="0"/>
          <w:bCs w:val="0"/>
          <w:sz w:val="28"/>
          <w:szCs w:val="28"/>
        </w:rPr>
        <w:t xml:space="preserve"> Параллельно с этим, широкое распространение мобильных и онлайн технологий позволяет </w:t>
      </w:r>
      <w:r w:rsidR="00606E22">
        <w:rPr>
          <w:rStyle w:val="ad"/>
          <w:rFonts w:ascii="Times New Roman" w:hAnsi="Times New Roman" w:cs="Times New Roman"/>
          <w:b w:val="0"/>
          <w:bCs w:val="0"/>
          <w:sz w:val="28"/>
          <w:szCs w:val="28"/>
        </w:rPr>
        <w:t>расширить</w:t>
      </w:r>
      <w:r w:rsidRPr="004804AA">
        <w:rPr>
          <w:rStyle w:val="ad"/>
          <w:rFonts w:ascii="Times New Roman" w:hAnsi="Times New Roman" w:cs="Times New Roman"/>
          <w:b w:val="0"/>
          <w:bCs w:val="0"/>
          <w:sz w:val="28"/>
          <w:szCs w:val="28"/>
        </w:rPr>
        <w:t xml:space="preserve"> проведени</w:t>
      </w:r>
      <w:r w:rsidR="00606E22">
        <w:rPr>
          <w:rStyle w:val="ad"/>
          <w:rFonts w:ascii="Times New Roman" w:hAnsi="Times New Roman" w:cs="Times New Roman"/>
          <w:b w:val="0"/>
          <w:bCs w:val="0"/>
          <w:sz w:val="28"/>
          <w:szCs w:val="28"/>
        </w:rPr>
        <w:t>е</w:t>
      </w:r>
      <w:r w:rsidRPr="004804AA">
        <w:rPr>
          <w:rStyle w:val="ad"/>
          <w:rFonts w:ascii="Times New Roman" w:hAnsi="Times New Roman" w:cs="Times New Roman"/>
          <w:b w:val="0"/>
          <w:bCs w:val="0"/>
          <w:sz w:val="28"/>
          <w:szCs w:val="28"/>
        </w:rPr>
        <w:t xml:space="preserve"> скрининг</w:t>
      </w:r>
      <w:r w:rsidR="00606E22">
        <w:rPr>
          <w:rStyle w:val="ad"/>
          <w:rFonts w:ascii="Times New Roman" w:hAnsi="Times New Roman" w:cs="Times New Roman"/>
          <w:b w:val="0"/>
          <w:bCs w:val="0"/>
          <w:sz w:val="28"/>
          <w:szCs w:val="28"/>
        </w:rPr>
        <w:t>а детей</w:t>
      </w:r>
      <w:r w:rsidRPr="004804AA">
        <w:rPr>
          <w:rStyle w:val="ad"/>
          <w:rFonts w:ascii="Times New Roman" w:hAnsi="Times New Roman" w:cs="Times New Roman"/>
          <w:b w:val="0"/>
          <w:bCs w:val="0"/>
          <w:sz w:val="28"/>
          <w:szCs w:val="28"/>
        </w:rPr>
        <w:t xml:space="preserve">. Перспективным направлением в этом отношении является применение дистанционных компьютерных программ. Опыт применения подобных программ рядом авторов показал, что результаты успешны и не уступают по эффективности традиционным методам </w:t>
      </w:r>
      <w:r w:rsidR="003266FC" w:rsidRPr="003266FC">
        <w:rPr>
          <w:rStyle w:val="ad"/>
          <w:rFonts w:ascii="Times New Roman" w:hAnsi="Times New Roman" w:cs="Times New Roman"/>
          <w:b w:val="0"/>
          <w:bCs w:val="0"/>
          <w:sz w:val="28"/>
          <w:szCs w:val="28"/>
        </w:rPr>
        <w:t>[37-44]</w:t>
      </w:r>
      <w:r w:rsidR="00EE52E9">
        <w:rPr>
          <w:rStyle w:val="ad"/>
          <w:rFonts w:ascii="Times New Roman" w:hAnsi="Times New Roman" w:cs="Times New Roman"/>
          <w:sz w:val="28"/>
          <w:szCs w:val="28"/>
        </w:rPr>
        <w:t>.</w:t>
      </w:r>
      <w:r w:rsidRPr="004804AA">
        <w:rPr>
          <w:rStyle w:val="ad"/>
          <w:rFonts w:ascii="Times New Roman" w:hAnsi="Times New Roman" w:cs="Times New Roman"/>
          <w:b w:val="0"/>
          <w:bCs w:val="0"/>
          <w:sz w:val="28"/>
          <w:szCs w:val="28"/>
        </w:rPr>
        <w:t xml:space="preserve"> Однако, риск, связанный с любым протоколом скрининга, заключается в высокой частоте ложных результатов, что приводит к неправильной маркировке субъекта. Чтобы снизить этот риск при больших объемах скрининга, необходимо использовать технологи</w:t>
      </w:r>
      <w:r w:rsidR="00606E22">
        <w:rPr>
          <w:rStyle w:val="ad"/>
          <w:rFonts w:ascii="Times New Roman" w:hAnsi="Times New Roman" w:cs="Times New Roman"/>
          <w:b w:val="0"/>
          <w:bCs w:val="0"/>
          <w:sz w:val="28"/>
          <w:szCs w:val="28"/>
        </w:rPr>
        <w:t>и</w:t>
      </w:r>
      <w:r w:rsidRPr="004804AA">
        <w:rPr>
          <w:rStyle w:val="ad"/>
          <w:rFonts w:ascii="Times New Roman" w:hAnsi="Times New Roman" w:cs="Times New Roman"/>
          <w:b w:val="0"/>
          <w:bCs w:val="0"/>
          <w:sz w:val="28"/>
          <w:szCs w:val="28"/>
        </w:rPr>
        <w:t>, котор</w:t>
      </w:r>
      <w:r w:rsidR="00606E22">
        <w:rPr>
          <w:rStyle w:val="ad"/>
          <w:rFonts w:ascii="Times New Roman" w:hAnsi="Times New Roman" w:cs="Times New Roman"/>
          <w:b w:val="0"/>
          <w:bCs w:val="0"/>
          <w:sz w:val="28"/>
          <w:szCs w:val="28"/>
        </w:rPr>
        <w:t>ые</w:t>
      </w:r>
      <w:r w:rsidRPr="004804AA">
        <w:rPr>
          <w:rStyle w:val="ad"/>
          <w:rFonts w:ascii="Times New Roman" w:hAnsi="Times New Roman" w:cs="Times New Roman"/>
          <w:b w:val="0"/>
          <w:bCs w:val="0"/>
          <w:sz w:val="28"/>
          <w:szCs w:val="28"/>
        </w:rPr>
        <w:t xml:space="preserve"> легко внедрить и котор</w:t>
      </w:r>
      <w:r w:rsidR="00606E22">
        <w:rPr>
          <w:rStyle w:val="ad"/>
          <w:rFonts w:ascii="Times New Roman" w:hAnsi="Times New Roman" w:cs="Times New Roman"/>
          <w:b w:val="0"/>
          <w:bCs w:val="0"/>
          <w:sz w:val="28"/>
          <w:szCs w:val="28"/>
        </w:rPr>
        <w:t>ые</w:t>
      </w:r>
      <w:r w:rsidRPr="004804AA">
        <w:rPr>
          <w:rStyle w:val="ad"/>
          <w:rFonts w:ascii="Times New Roman" w:hAnsi="Times New Roman" w:cs="Times New Roman"/>
          <w:b w:val="0"/>
          <w:bCs w:val="0"/>
          <w:sz w:val="28"/>
          <w:szCs w:val="28"/>
        </w:rPr>
        <w:t xml:space="preserve"> требу</w:t>
      </w:r>
      <w:r w:rsidR="00606E22">
        <w:rPr>
          <w:rStyle w:val="ad"/>
          <w:rFonts w:ascii="Times New Roman" w:hAnsi="Times New Roman" w:cs="Times New Roman"/>
          <w:b w:val="0"/>
          <w:bCs w:val="0"/>
          <w:sz w:val="28"/>
          <w:szCs w:val="28"/>
        </w:rPr>
        <w:t>ют</w:t>
      </w:r>
      <w:r w:rsidRPr="004804AA">
        <w:rPr>
          <w:rStyle w:val="ad"/>
          <w:rFonts w:ascii="Times New Roman" w:hAnsi="Times New Roman" w:cs="Times New Roman"/>
          <w:b w:val="0"/>
          <w:bCs w:val="0"/>
          <w:sz w:val="28"/>
          <w:szCs w:val="28"/>
        </w:rPr>
        <w:t xml:space="preserve"> минимального обучения при сохранении точности</w:t>
      </w:r>
      <w:r w:rsidR="003266FC" w:rsidRPr="003266FC">
        <w:rPr>
          <w:rStyle w:val="ad"/>
          <w:rFonts w:ascii="Times New Roman" w:hAnsi="Times New Roman" w:cs="Times New Roman"/>
          <w:b w:val="0"/>
          <w:bCs w:val="0"/>
          <w:sz w:val="28"/>
          <w:szCs w:val="28"/>
        </w:rPr>
        <w:t xml:space="preserve"> [45-48]</w:t>
      </w:r>
      <w:r w:rsidRPr="004804AA">
        <w:rPr>
          <w:rStyle w:val="ad"/>
          <w:rFonts w:ascii="Times New Roman" w:hAnsi="Times New Roman" w:cs="Times New Roman"/>
          <w:b w:val="0"/>
          <w:bCs w:val="0"/>
          <w:sz w:val="28"/>
          <w:szCs w:val="28"/>
        </w:rPr>
        <w:t>.</w:t>
      </w:r>
    </w:p>
    <w:p w14:paraId="6876B4DE" w14:textId="22AA19EA"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Отсутствие школьных скрининговых программ зрения, рост числа детей с нарушениями рефракции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4DK3fOM","properties":{"formattedCitation":"[48\\uc0\\u8211{}51]","plainCitation":"[48–51]","noteIndex":0},"citationItems":[{"id":961,"uris":["http://zotero.org/users/local/XMo5Fvid/items/Z8ZLEEYH"],"itemData":{"id":961,"type":"article-journal","container-title":"Материалы 5-й межд. конференции","page":"19-22","title":"Причины снижения зрения у детей 12 лет по данным республиканского декадника","author":[{"family":"Аубакирова","given":"АЖ"},{"family":"Кульжанов","given":"МК"},{"family":"Токсанбаева","given":"ГК"},{"family":"Джанабаев","given":"ЧД"}],"issued":{"date-parts":[["2006"]]}},"label":"page"},{"id":1742,"uris":["http://zotero.org/users/local/XMo5Fvid/items/AJTI9ZBE"],"itemData":{"id":1742,"type":"article-journal","issue":"4","journalAbbreviation":"Офтальм. журал Казахстана","language":"rus","page":"8 - 10","title":"Клинико-статистическая характеристика миопии у школьников г. Алматы и особенности её лечения","author":[{"family":"Аубакирова","given":"Айгуль Жумагалиевна"},{"family":"Кенжебаева","given":"Камила Сейткамаловна"},{"family":"ИскакбаеваД","given":"Джулдыз Сейтхановна"}],"issued":{"date-parts":[["2001"]]}},"label":"page"},{"id":959,"uris":["http://zotero.org/users/local/XMo5Fvid/items/V65P8BKH"],"itemData":{"id":959,"type":"article-journal","container-title":"Қазақстан Офтальмологиялық журналы","page":"12 - 14","title":"Эффективность профилактики и лечения близорукости у детей в условиях школы","author":[{"family":"Аубакирова","given":"AЖ"},{"family":"Токсамбаева","given":"ГК"},{"family":"Аужанова","given":"РМ"}],"issued":{"date-parts":[["2010"]]}},"label":"page"},{"id":244,"uris":["http://zotero.org/users/local/XMo5Fvid/items/BKVUKIMS"],"itemData":{"id":244,"type":"article-journal","abstract":"На 66-й сессии Всемирной Ассамблеи Здравоохранения (март 2013 г.) принят План действий по профилактике\nпредупреждаемой слепоты и нарушений зрения «Всеобщий доступ к здоровью глаз: глобальный план действий на\n2014-2019 гг.». Индикатором достижения глобальной цели является сокращение масштабов распространенности\nпредупреждаемой слепоты и нарушений зрения от базисного показателя 2010 г. (3,18%) на 25% к 2019 г. (до 2,37%).\nДля каждой из этих задач разработаны показатели реализации.\nВ статье оцениваются индикаторы масштабов и причин нарушений зрения, состояния офтальмологической службы\n(в т.ч. кадров) и катарактальной хирургии в Казахстане. Представлены возможные направления реализации плана\nВОЗ по предупреждению слепоты и слабовидения в Казахстане.","issue":"9","journalAbbreviation":"Медицина","page":"10-15","title":"ОФТАЛЬМОЛОГИЯ КАЗАХСТАНА В РЕАЛИЗАЦИИ ГЛОБАЛЬНОГО ПЛАНА ВОЗ НА 2014-2019 гг. «ВСЕОБЩИЙ ДОСТУП К ЗДОРОВЬЮ ГЛАЗ»","author":[{"family":"Т.К. Ботабекова, Г.У. Кулкаева, Ж.К. Бурибаева, Д.Б. Абдрахимова","given":""}],"issued":{"date-parts":[["2013"]]}},"label":"page"}],"schema":"https://github.com/citation-style-language/schema/raw/master/csl-citation.json"}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[48–51]</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и отсутствие исследований факторов риска миопии в Казахстане объясняют актуальность текущего исследования. </w:t>
      </w:r>
    </w:p>
    <w:p w14:paraId="2D05863C"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b/>
          <w:bCs/>
          <w:sz w:val="28"/>
          <w:szCs w:val="28"/>
        </w:rPr>
        <w:t>Цель исследования:</w:t>
      </w:r>
      <w:r w:rsidRPr="004804AA">
        <w:rPr>
          <w:rFonts w:ascii="Times New Roman" w:hAnsi="Times New Roman" w:cs="Times New Roman"/>
          <w:sz w:val="28"/>
          <w:szCs w:val="28"/>
        </w:rPr>
        <w:t xml:space="preserve"> </w:t>
      </w:r>
      <w:r w:rsidRPr="00C3096F">
        <w:rPr>
          <w:rFonts w:ascii="Times New Roman" w:hAnsi="Times New Roman" w:cs="Times New Roman"/>
          <w:sz w:val="28"/>
          <w:szCs w:val="28"/>
        </w:rPr>
        <w:t>Разработка комплексной программы по профилактике и раннему выявлению нарушений рефракции у детей школьного возраста.</w:t>
      </w:r>
    </w:p>
    <w:p w14:paraId="47FB809E" w14:textId="77777777" w:rsidR="000A0294" w:rsidRPr="004804AA" w:rsidRDefault="000A0294" w:rsidP="005C37DF">
      <w:pPr>
        <w:pStyle w:val="a4"/>
        <w:ind w:firstLine="709"/>
        <w:jc w:val="both"/>
        <w:rPr>
          <w:rFonts w:ascii="Times New Roman" w:hAnsi="Times New Roman" w:cs="Times New Roman"/>
          <w:b/>
          <w:bCs/>
          <w:sz w:val="28"/>
          <w:szCs w:val="28"/>
        </w:rPr>
      </w:pPr>
      <w:r w:rsidRPr="004804AA">
        <w:rPr>
          <w:rFonts w:ascii="Times New Roman" w:hAnsi="Times New Roman" w:cs="Times New Roman"/>
          <w:b/>
          <w:bCs/>
          <w:sz w:val="28"/>
          <w:szCs w:val="28"/>
        </w:rPr>
        <w:t xml:space="preserve">Задачи исследования: </w:t>
      </w:r>
    </w:p>
    <w:p w14:paraId="1681F88E"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1. Изучить распространенность и структуру нарушений рефракции среди учащихся гимназических и общеобразовательных школ г. Алматы.</w:t>
      </w:r>
    </w:p>
    <w:p w14:paraId="59B6CF9A" w14:textId="77777777" w:rsidR="00D57764" w:rsidRPr="00D57764" w:rsidRDefault="000A0294" w:rsidP="00D57764">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2. </w:t>
      </w:r>
      <w:r w:rsidR="00D57764" w:rsidRPr="00D57764">
        <w:rPr>
          <w:rFonts w:ascii="Times New Roman" w:hAnsi="Times New Roman" w:cs="Times New Roman"/>
          <w:sz w:val="28"/>
          <w:szCs w:val="28"/>
        </w:rPr>
        <w:t>Определить основные факторы риска возникновения и развития аномалий рефракции среди школьников различных возрастных групп.</w:t>
      </w:r>
    </w:p>
    <w:p w14:paraId="55471DA3"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3. Оценить эффективность дистантного компьютерного скрининга в раннем выявлении аномалий рефракции у детей школьного возраста г.Алматы.</w:t>
      </w:r>
    </w:p>
    <w:p w14:paraId="2448D620"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lastRenderedPageBreak/>
        <w:t>4. Разработать и провести апробацию программы поэтапных мероприятий по раннему выявлению, профилактике развития и прогрессирования аномалий рефракции у детей школьного возраста.</w:t>
      </w:r>
    </w:p>
    <w:p w14:paraId="194B5049" w14:textId="77777777" w:rsidR="00D57764" w:rsidRPr="00D57764" w:rsidRDefault="00D57764" w:rsidP="00D57764">
      <w:pPr>
        <w:pStyle w:val="a4"/>
        <w:ind w:firstLine="709"/>
        <w:jc w:val="both"/>
        <w:rPr>
          <w:rFonts w:ascii="Times New Roman" w:hAnsi="Times New Roman" w:cs="Times New Roman"/>
          <w:b/>
          <w:sz w:val="28"/>
          <w:szCs w:val="28"/>
        </w:rPr>
      </w:pPr>
      <w:r w:rsidRPr="00D57764">
        <w:rPr>
          <w:rFonts w:ascii="Times New Roman" w:hAnsi="Times New Roman" w:cs="Times New Roman"/>
          <w:b/>
          <w:sz w:val="28"/>
          <w:szCs w:val="28"/>
        </w:rPr>
        <w:t>Научная новизна исследования</w:t>
      </w:r>
    </w:p>
    <w:p w14:paraId="7953BF02"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Впервые изучена распространенность и структура аномалий рефракции среди школьников г.Алматы. Проведен сравнительный анализ в трех возрастных группах и школах с разной академической нагрузкой.</w:t>
      </w:r>
    </w:p>
    <w:p w14:paraId="1CD39C4D"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Впервые проведен комплексный анализ поведенческих и социальных факторов риска развития миопии среди школьников Алматы с использованием разработанных опросников для родителей.</w:t>
      </w:r>
    </w:p>
    <w:p w14:paraId="7D1FF116"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 xml:space="preserve">Оценена эффективность школьного дистантного компьютерного скрининга для раннего выявления нарушений рефракции. </w:t>
      </w:r>
    </w:p>
    <w:p w14:paraId="4D70E542"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Разработана и апробирована программа профилактики развития и прогрессирования рефракционных нарушений среди учащихся средних школ г.Алматы.</w:t>
      </w:r>
    </w:p>
    <w:p w14:paraId="7F17F003" w14:textId="77777777" w:rsidR="00D57764" w:rsidRPr="00D57764" w:rsidRDefault="00D57764" w:rsidP="00D57764">
      <w:pPr>
        <w:pStyle w:val="a4"/>
        <w:ind w:firstLine="709"/>
        <w:jc w:val="both"/>
        <w:rPr>
          <w:rFonts w:ascii="Times New Roman" w:hAnsi="Times New Roman" w:cs="Times New Roman"/>
          <w:b/>
          <w:sz w:val="28"/>
          <w:szCs w:val="28"/>
        </w:rPr>
      </w:pPr>
      <w:r w:rsidRPr="00D57764">
        <w:rPr>
          <w:rFonts w:ascii="Times New Roman" w:hAnsi="Times New Roman" w:cs="Times New Roman"/>
          <w:b/>
          <w:sz w:val="28"/>
          <w:szCs w:val="28"/>
        </w:rPr>
        <w:t>Теоретическая и практическая ценность работы</w:t>
      </w:r>
    </w:p>
    <w:p w14:paraId="545F9787" w14:textId="634970D4"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 xml:space="preserve">Результаты полученные входе исследования дополняют и актуализируют существующие данные о </w:t>
      </w:r>
      <w:r>
        <w:rPr>
          <w:rFonts w:ascii="Times New Roman" w:hAnsi="Times New Roman" w:cs="Times New Roman"/>
          <w:sz w:val="28"/>
          <w:szCs w:val="28"/>
        </w:rPr>
        <w:t>частоте</w:t>
      </w:r>
      <w:r w:rsidRPr="00D57764">
        <w:rPr>
          <w:rFonts w:ascii="Times New Roman" w:hAnsi="Times New Roman" w:cs="Times New Roman"/>
          <w:sz w:val="28"/>
          <w:szCs w:val="28"/>
        </w:rPr>
        <w:t xml:space="preserve"> аномалий рефракции </w:t>
      </w:r>
      <w:r>
        <w:rPr>
          <w:rFonts w:ascii="Times New Roman" w:hAnsi="Times New Roman" w:cs="Times New Roman"/>
          <w:sz w:val="28"/>
          <w:szCs w:val="28"/>
        </w:rPr>
        <w:t>среди</w:t>
      </w:r>
      <w:r w:rsidRPr="00D57764">
        <w:rPr>
          <w:rFonts w:ascii="Times New Roman" w:hAnsi="Times New Roman" w:cs="Times New Roman"/>
          <w:sz w:val="28"/>
          <w:szCs w:val="28"/>
        </w:rPr>
        <w:t xml:space="preserve"> школьников г.Алматы. Публикация этих результатов дает основание для включения </w:t>
      </w:r>
      <w:r>
        <w:rPr>
          <w:rFonts w:ascii="Times New Roman" w:hAnsi="Times New Roman" w:cs="Times New Roman"/>
          <w:sz w:val="28"/>
          <w:szCs w:val="28"/>
        </w:rPr>
        <w:t>региона</w:t>
      </w:r>
      <w:r w:rsidRPr="00D57764">
        <w:rPr>
          <w:rFonts w:ascii="Times New Roman" w:hAnsi="Times New Roman" w:cs="Times New Roman"/>
          <w:sz w:val="28"/>
          <w:szCs w:val="28"/>
        </w:rPr>
        <w:t xml:space="preserve"> в междунаро</w:t>
      </w:r>
      <w:r>
        <w:rPr>
          <w:rFonts w:ascii="Times New Roman" w:hAnsi="Times New Roman" w:cs="Times New Roman"/>
          <w:sz w:val="28"/>
          <w:szCs w:val="28"/>
        </w:rPr>
        <w:t xml:space="preserve">дные эпидемиологические обзоры. </w:t>
      </w:r>
      <w:r w:rsidRPr="00D57764">
        <w:rPr>
          <w:rFonts w:ascii="Times New Roman" w:hAnsi="Times New Roman" w:cs="Times New Roman"/>
          <w:sz w:val="28"/>
          <w:szCs w:val="28"/>
        </w:rPr>
        <w:t xml:space="preserve">Определение роли отдельных факторов риска способствует более глубокому пониманию механизмов формирования аномалий рефракции в изучаемой возрастной группе. Результаты могут быть использованы при составлении методических рекомендаций для врачей, формировании </w:t>
      </w:r>
      <w:r>
        <w:rPr>
          <w:rFonts w:ascii="Times New Roman" w:hAnsi="Times New Roman" w:cs="Times New Roman"/>
          <w:sz w:val="28"/>
          <w:szCs w:val="28"/>
        </w:rPr>
        <w:t>образовательных программ</w:t>
      </w:r>
      <w:r w:rsidRPr="00D57764">
        <w:rPr>
          <w:rFonts w:ascii="Times New Roman" w:hAnsi="Times New Roman" w:cs="Times New Roman"/>
          <w:sz w:val="28"/>
          <w:szCs w:val="28"/>
        </w:rPr>
        <w:t xml:space="preserve"> для студентов высших медицинских и педагогических учебных заведений, разработке клинических протоколов диагностики и лечения. .</w:t>
      </w:r>
    </w:p>
    <w:p w14:paraId="7244FA5F" w14:textId="2E5208C3"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 xml:space="preserve">Внедрение школьных компьютерных скрининговых программ в отдаленных областях и регионах может представлять альтернативу офтальмологическому медицинскому осмотру, особенно в условиях нехватки офтальмологических кадров в регионах, и сократить нагрузку на систему здравоохранения. Разработанная поэтапная программа профилактики развития и прогрессирования аномалий рефракции у школьников поможет более эффективно проводить работу по раннему выявлению учащихся со сниженной остротой зрения, своевременно предлагать мероприятия по профилактике прогрессирования и контролировать динамику. </w:t>
      </w:r>
    </w:p>
    <w:p w14:paraId="452DAA8C" w14:textId="77777777" w:rsidR="00F14EDD" w:rsidRDefault="00F14EDD" w:rsidP="00D57764">
      <w:pPr>
        <w:pStyle w:val="a4"/>
        <w:ind w:firstLine="709"/>
        <w:jc w:val="both"/>
        <w:rPr>
          <w:rFonts w:ascii="Times New Roman" w:hAnsi="Times New Roman" w:cs="Times New Roman"/>
          <w:b/>
          <w:sz w:val="28"/>
          <w:szCs w:val="28"/>
        </w:rPr>
      </w:pPr>
    </w:p>
    <w:p w14:paraId="5B45F0AB" w14:textId="77777777" w:rsidR="00D57764" w:rsidRPr="00D57764" w:rsidRDefault="00D57764" w:rsidP="00D57764">
      <w:pPr>
        <w:pStyle w:val="a4"/>
        <w:ind w:firstLine="709"/>
        <w:jc w:val="both"/>
        <w:rPr>
          <w:rFonts w:ascii="Times New Roman" w:hAnsi="Times New Roman" w:cs="Times New Roman"/>
          <w:b/>
          <w:sz w:val="28"/>
          <w:szCs w:val="28"/>
        </w:rPr>
      </w:pPr>
      <w:r w:rsidRPr="00D57764">
        <w:rPr>
          <w:rFonts w:ascii="Times New Roman" w:hAnsi="Times New Roman" w:cs="Times New Roman"/>
          <w:b/>
          <w:sz w:val="28"/>
          <w:szCs w:val="28"/>
        </w:rPr>
        <w:t>Основные положения диссертации, выносимые на защиту</w:t>
      </w:r>
    </w:p>
    <w:p w14:paraId="252EA82A"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Распространенность нарушений рефракции среди школьников Алматы является достаточно высокой и составляет 31,6%. Миопия занимает первое ранговое место в структуре аномалий рефракции у детей школьного возраста. Частота ее зависит от возраста и уровня обучения (класса).</w:t>
      </w:r>
    </w:p>
    <w:p w14:paraId="09F61725"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 xml:space="preserve">Такие поведенческие факторы как активность на открытом воздухе и регулярные занятия спортом ассоциируются с более низким риском развития и прогрессирования миопии у детей. </w:t>
      </w:r>
    </w:p>
    <w:p w14:paraId="40E2AFA6" w14:textId="77777777" w:rsidR="00D57764" w:rsidRPr="00D57764"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lastRenderedPageBreak/>
        <w:t>Компьютерная программа дистанционного скрининга показала высокую эффективность, сравнимую с офтальмологическим осмотром и позволяет сократить время обследования при выявлении аномалий рефракции у детей школьного возраста.</w:t>
      </w:r>
    </w:p>
    <w:p w14:paraId="2085F09B" w14:textId="0AC05ED5" w:rsidR="000A0294" w:rsidRPr="00CE53A0" w:rsidRDefault="00D57764" w:rsidP="00D57764">
      <w:pPr>
        <w:pStyle w:val="a4"/>
        <w:ind w:firstLine="709"/>
        <w:jc w:val="both"/>
        <w:rPr>
          <w:rFonts w:ascii="Times New Roman" w:hAnsi="Times New Roman" w:cs="Times New Roman"/>
          <w:sz w:val="28"/>
          <w:szCs w:val="28"/>
        </w:rPr>
      </w:pPr>
      <w:r w:rsidRPr="00D57764">
        <w:rPr>
          <w:rFonts w:ascii="Times New Roman" w:hAnsi="Times New Roman" w:cs="Times New Roman"/>
          <w:sz w:val="28"/>
          <w:szCs w:val="28"/>
        </w:rPr>
        <w:t>Разработана комплексная программа профилактики развития и прогрессирования аномалий рефракции у школьников.</w:t>
      </w:r>
      <w:r w:rsidR="000A0294" w:rsidRPr="00CE53A0">
        <w:rPr>
          <w:rFonts w:ascii="Times New Roman" w:hAnsi="Times New Roman" w:cs="Times New Roman"/>
          <w:sz w:val="28"/>
          <w:szCs w:val="28"/>
        </w:rPr>
        <w:t xml:space="preserve"> </w:t>
      </w:r>
    </w:p>
    <w:p w14:paraId="4D6C35C3" w14:textId="5A1F52CE" w:rsidR="000A0294" w:rsidRPr="004804AA" w:rsidRDefault="000A0294" w:rsidP="005C37DF">
      <w:pPr>
        <w:pStyle w:val="a4"/>
        <w:ind w:firstLine="709"/>
        <w:jc w:val="both"/>
        <w:rPr>
          <w:rFonts w:ascii="Times New Roman" w:hAnsi="Times New Roman" w:cs="Times New Roman"/>
          <w:b/>
          <w:bCs/>
          <w:sz w:val="28"/>
          <w:szCs w:val="28"/>
        </w:rPr>
      </w:pPr>
      <w:r w:rsidRPr="004804AA">
        <w:rPr>
          <w:rFonts w:ascii="Times New Roman" w:hAnsi="Times New Roman" w:cs="Times New Roman"/>
          <w:b/>
          <w:bCs/>
          <w:sz w:val="28"/>
          <w:szCs w:val="28"/>
        </w:rPr>
        <w:t>Внедрение результатов в практику</w:t>
      </w:r>
    </w:p>
    <w:p w14:paraId="4B57504F" w14:textId="2A14E31F"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lang w:eastAsia="ko-KR"/>
        </w:rPr>
        <w:t xml:space="preserve">Дистантный компьютерный скрининг внедрен в </w:t>
      </w:r>
      <w:r w:rsidRPr="004804AA">
        <w:rPr>
          <w:rFonts w:ascii="Times New Roman" w:hAnsi="Times New Roman" w:cs="Times New Roman"/>
          <w:sz w:val="28"/>
          <w:szCs w:val="28"/>
        </w:rPr>
        <w:t>школ</w:t>
      </w:r>
      <w:r w:rsidR="00FF727B">
        <w:rPr>
          <w:rFonts w:ascii="Times New Roman" w:hAnsi="Times New Roman" w:cs="Times New Roman"/>
          <w:sz w:val="28"/>
          <w:szCs w:val="28"/>
        </w:rPr>
        <w:t>ах</w:t>
      </w:r>
      <w:r w:rsidRPr="004804AA">
        <w:rPr>
          <w:rFonts w:ascii="Times New Roman" w:hAnsi="Times New Roman" w:cs="Times New Roman"/>
          <w:sz w:val="28"/>
          <w:szCs w:val="28"/>
        </w:rPr>
        <w:t xml:space="preserve"> №95, №8, №25, №36, №46, №120, №136, СШИОСД г. Алматы. </w:t>
      </w:r>
    </w:p>
    <w:p w14:paraId="6FB0B1B3" w14:textId="716A84FE"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Получено свидетельство о внесении сведений в государственный реестр прав на объекты, охраняемые авторским правом № 414 от 5 ноября 2018 года на «Программу профилактики развития и прогрессирования аномалий рефракции у школьников (этапность)»</w:t>
      </w:r>
      <w:r w:rsidR="00C70EA7">
        <w:rPr>
          <w:rFonts w:ascii="Times New Roman" w:hAnsi="Times New Roman" w:cs="Times New Roman"/>
          <w:sz w:val="28"/>
          <w:szCs w:val="28"/>
        </w:rPr>
        <w:t xml:space="preserve"> (Приложение Д)</w:t>
      </w:r>
      <w:r w:rsidRPr="004804AA">
        <w:rPr>
          <w:rFonts w:ascii="Times New Roman" w:hAnsi="Times New Roman" w:cs="Times New Roman"/>
          <w:sz w:val="28"/>
          <w:szCs w:val="28"/>
        </w:rPr>
        <w:t xml:space="preserve">. </w:t>
      </w:r>
    </w:p>
    <w:p w14:paraId="1441B4E1" w14:textId="77777777" w:rsidR="000A0294" w:rsidRPr="004804AA" w:rsidRDefault="000A0294" w:rsidP="005C37DF">
      <w:pPr>
        <w:pStyle w:val="a4"/>
        <w:ind w:firstLine="709"/>
        <w:jc w:val="both"/>
        <w:rPr>
          <w:rFonts w:ascii="Times New Roman" w:hAnsi="Times New Roman" w:cs="Times New Roman"/>
          <w:b/>
          <w:bCs/>
          <w:sz w:val="28"/>
          <w:szCs w:val="28"/>
        </w:rPr>
      </w:pPr>
      <w:r w:rsidRPr="004804AA">
        <w:rPr>
          <w:rFonts w:ascii="Times New Roman" w:hAnsi="Times New Roman" w:cs="Times New Roman"/>
          <w:sz w:val="28"/>
          <w:szCs w:val="28"/>
        </w:rPr>
        <w:t>Разработанная карта обследования школьников внедрена в работу в кабинете охраны зрения (на базе поликлиники №31 г.Алматы).</w:t>
      </w:r>
    </w:p>
    <w:p w14:paraId="1D9A5ADC" w14:textId="06687C5E" w:rsidR="00C3096F" w:rsidRDefault="000A0294" w:rsidP="00C3096F">
      <w:pPr>
        <w:pStyle w:val="a4"/>
        <w:ind w:firstLine="709"/>
        <w:jc w:val="both"/>
        <w:rPr>
          <w:rFonts w:ascii="Times New Roman" w:hAnsi="Times New Roman" w:cs="Times New Roman"/>
          <w:b/>
          <w:bCs/>
          <w:sz w:val="28"/>
          <w:szCs w:val="28"/>
        </w:rPr>
      </w:pPr>
      <w:r w:rsidRPr="004804AA">
        <w:rPr>
          <w:rFonts w:ascii="Times New Roman" w:hAnsi="Times New Roman" w:cs="Times New Roman"/>
          <w:b/>
          <w:bCs/>
          <w:sz w:val="28"/>
          <w:szCs w:val="28"/>
        </w:rPr>
        <w:t>Апробация</w:t>
      </w:r>
    </w:p>
    <w:p w14:paraId="261F46A0" w14:textId="77777777" w:rsidR="00370636" w:rsidRDefault="000A0294" w:rsidP="00C3096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О</w:t>
      </w:r>
      <w:r w:rsidR="00BA2EDC">
        <w:rPr>
          <w:rFonts w:ascii="Times New Roman" w:hAnsi="Times New Roman" w:cs="Times New Roman"/>
          <w:sz w:val="28"/>
          <w:szCs w:val="28"/>
        </w:rPr>
        <w:t>сновные</w:t>
      </w:r>
      <w:r w:rsidRPr="004804AA">
        <w:rPr>
          <w:rFonts w:ascii="Times New Roman" w:hAnsi="Times New Roman" w:cs="Times New Roman"/>
          <w:sz w:val="28"/>
          <w:szCs w:val="28"/>
        </w:rPr>
        <w:t xml:space="preserve"> положения и результаты исследования были представлены </w:t>
      </w:r>
      <w:r w:rsidR="00BA2EDC">
        <w:rPr>
          <w:rFonts w:ascii="Times New Roman" w:hAnsi="Times New Roman" w:cs="Times New Roman"/>
          <w:sz w:val="28"/>
          <w:szCs w:val="28"/>
        </w:rPr>
        <w:t xml:space="preserve">в виде устных и постерных докладов и печатных работ в материалах международных конференций: </w:t>
      </w:r>
    </w:p>
    <w:p w14:paraId="2A5A9DDC" w14:textId="77777777" w:rsidR="00370636" w:rsidRDefault="000A0294" w:rsidP="00C3096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Х международн</w:t>
      </w:r>
      <w:r w:rsidR="00BA2EDC">
        <w:rPr>
          <w:rFonts w:ascii="Times New Roman" w:hAnsi="Times New Roman" w:cs="Times New Roman"/>
          <w:sz w:val="28"/>
          <w:szCs w:val="28"/>
        </w:rPr>
        <w:t>ая</w:t>
      </w:r>
      <w:r w:rsidRPr="004804AA">
        <w:rPr>
          <w:rFonts w:ascii="Times New Roman" w:hAnsi="Times New Roman" w:cs="Times New Roman"/>
          <w:sz w:val="28"/>
          <w:szCs w:val="28"/>
        </w:rPr>
        <w:t xml:space="preserve"> конференци</w:t>
      </w:r>
      <w:r w:rsidR="00BA2EDC">
        <w:rPr>
          <w:rFonts w:ascii="Times New Roman" w:hAnsi="Times New Roman" w:cs="Times New Roman"/>
          <w:sz w:val="28"/>
          <w:szCs w:val="28"/>
        </w:rPr>
        <w:t>я</w:t>
      </w:r>
      <w:r w:rsidRPr="004804AA">
        <w:rPr>
          <w:rFonts w:ascii="Times New Roman" w:hAnsi="Times New Roman" w:cs="Times New Roman"/>
          <w:sz w:val="28"/>
          <w:szCs w:val="28"/>
        </w:rPr>
        <w:t xml:space="preserve"> офтальмологов «Вос</w:t>
      </w:r>
      <w:r w:rsidR="00BA2EDC">
        <w:rPr>
          <w:rFonts w:ascii="Times New Roman" w:hAnsi="Times New Roman" w:cs="Times New Roman"/>
          <w:sz w:val="28"/>
          <w:szCs w:val="28"/>
        </w:rPr>
        <w:t xml:space="preserve">ток-Запад – 2019» (г.Уфа, 2019); </w:t>
      </w:r>
    </w:p>
    <w:p w14:paraId="0C9C394C" w14:textId="6DE5F577" w:rsidR="00370636" w:rsidRDefault="00370636" w:rsidP="00C3096F">
      <w:pPr>
        <w:pStyle w:val="a4"/>
        <w:ind w:firstLine="709"/>
        <w:jc w:val="both"/>
        <w:rPr>
          <w:rFonts w:ascii="Times New Roman" w:hAnsi="Times New Roman" w:cs="Times New Roman"/>
          <w:sz w:val="28"/>
          <w:szCs w:val="28"/>
        </w:rPr>
      </w:pPr>
      <w:r>
        <w:rPr>
          <w:rFonts w:ascii="Times New Roman" w:hAnsi="Times New Roman" w:cs="Times New Roman"/>
          <w:sz w:val="28"/>
          <w:szCs w:val="28"/>
        </w:rPr>
        <w:t>М</w:t>
      </w:r>
      <w:r w:rsidR="00BA2EDC" w:rsidRPr="00BA2EDC">
        <w:rPr>
          <w:rFonts w:ascii="Times New Roman" w:hAnsi="Times New Roman" w:cs="Times New Roman"/>
          <w:sz w:val="28"/>
          <w:szCs w:val="28"/>
        </w:rPr>
        <w:t>еждународн</w:t>
      </w:r>
      <w:r w:rsidR="00122B4A">
        <w:rPr>
          <w:rFonts w:ascii="Times New Roman" w:hAnsi="Times New Roman" w:cs="Times New Roman"/>
          <w:sz w:val="28"/>
          <w:szCs w:val="28"/>
        </w:rPr>
        <w:t>ая</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rPr>
        <w:t>научно</w:t>
      </w:r>
      <w:r w:rsidR="00BA2EDC" w:rsidRPr="00370636">
        <w:rPr>
          <w:rFonts w:ascii="Times New Roman" w:hAnsi="Times New Roman" w:cs="Times New Roman"/>
          <w:sz w:val="28"/>
          <w:szCs w:val="28"/>
          <w:lang w:val="en-US"/>
        </w:rPr>
        <w:t>-</w:t>
      </w:r>
      <w:r w:rsidR="00BA2EDC" w:rsidRPr="00BA2EDC">
        <w:rPr>
          <w:rFonts w:ascii="Times New Roman" w:hAnsi="Times New Roman" w:cs="Times New Roman"/>
          <w:sz w:val="28"/>
          <w:szCs w:val="28"/>
        </w:rPr>
        <w:t>практическ</w:t>
      </w:r>
      <w:r w:rsidR="00122B4A">
        <w:rPr>
          <w:rFonts w:ascii="Times New Roman" w:hAnsi="Times New Roman" w:cs="Times New Roman"/>
          <w:sz w:val="28"/>
          <w:szCs w:val="28"/>
        </w:rPr>
        <w:t>ая</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rPr>
        <w:t>конференци</w:t>
      </w:r>
      <w:r w:rsidR="00BA2EDC">
        <w:rPr>
          <w:rFonts w:ascii="Times New Roman" w:hAnsi="Times New Roman" w:cs="Times New Roman"/>
          <w:sz w:val="28"/>
          <w:szCs w:val="28"/>
        </w:rPr>
        <w:t>и</w:t>
      </w:r>
      <w:r w:rsidR="00BA2EDC" w:rsidRPr="00370636">
        <w:rPr>
          <w:rFonts w:ascii="Times New Roman" w:hAnsi="Times New Roman" w:cs="Times New Roman"/>
          <w:sz w:val="28"/>
          <w:szCs w:val="28"/>
          <w:lang w:val="en-US"/>
        </w:rPr>
        <w:t>: “</w:t>
      </w:r>
      <w:r w:rsidR="00BA2EDC" w:rsidRPr="00BA2EDC">
        <w:rPr>
          <w:rFonts w:ascii="Times New Roman" w:hAnsi="Times New Roman" w:cs="Times New Roman"/>
          <w:sz w:val="28"/>
          <w:szCs w:val="28"/>
          <w:lang w:val="en-US"/>
        </w:rPr>
        <w:t>The</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internationalization</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of</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continuing</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medical</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education</w:t>
      </w:r>
      <w:r w:rsidR="00BA2EDC" w:rsidRPr="00370636">
        <w:rPr>
          <w:rFonts w:ascii="Times New Roman" w:hAnsi="Times New Roman" w:cs="Times New Roman"/>
          <w:sz w:val="28"/>
          <w:szCs w:val="28"/>
          <w:lang w:val="en-US"/>
        </w:rPr>
        <w:t xml:space="preserve">. </w:t>
      </w:r>
      <w:r w:rsidR="00BA2EDC" w:rsidRPr="00BA2EDC">
        <w:rPr>
          <w:rFonts w:ascii="Times New Roman" w:hAnsi="Times New Roman" w:cs="Times New Roman"/>
          <w:sz w:val="28"/>
          <w:szCs w:val="28"/>
          <w:lang w:val="en-US"/>
        </w:rPr>
        <w:t>Prospection</w:t>
      </w:r>
      <w:r w:rsidR="00BA2EDC" w:rsidRPr="00122B4A">
        <w:rPr>
          <w:rFonts w:ascii="Times New Roman" w:hAnsi="Times New Roman" w:cs="Times New Roman"/>
          <w:sz w:val="28"/>
          <w:szCs w:val="28"/>
        </w:rPr>
        <w:t xml:space="preserve">” (Актобе, </w:t>
      </w:r>
      <w:r w:rsidR="00122B4A" w:rsidRPr="00122B4A">
        <w:rPr>
          <w:rFonts w:ascii="Times New Roman" w:hAnsi="Times New Roman" w:cs="Times New Roman"/>
          <w:sz w:val="28"/>
          <w:szCs w:val="28"/>
        </w:rPr>
        <w:t>Казахстан, 25 мая 2019г.)</w:t>
      </w:r>
      <w:r w:rsidR="00122B4A">
        <w:rPr>
          <w:rFonts w:ascii="Times New Roman" w:hAnsi="Times New Roman" w:cs="Times New Roman"/>
          <w:sz w:val="28"/>
          <w:szCs w:val="28"/>
        </w:rPr>
        <w:t xml:space="preserve">; </w:t>
      </w:r>
    </w:p>
    <w:p w14:paraId="6BB4E79A" w14:textId="63D30CB1" w:rsidR="00BA2EDC" w:rsidRPr="00122B4A" w:rsidRDefault="00370636" w:rsidP="00C3096F">
      <w:pPr>
        <w:pStyle w:val="a4"/>
        <w:ind w:firstLine="709"/>
        <w:jc w:val="both"/>
        <w:rPr>
          <w:rFonts w:ascii="Times New Roman" w:hAnsi="Times New Roman" w:cs="Times New Roman"/>
          <w:sz w:val="28"/>
          <w:szCs w:val="28"/>
        </w:rPr>
      </w:pPr>
      <w:r>
        <w:rPr>
          <w:rFonts w:ascii="Times New Roman" w:hAnsi="Times New Roman" w:cs="Times New Roman"/>
          <w:sz w:val="28"/>
          <w:szCs w:val="28"/>
        </w:rPr>
        <w:t>Н</w:t>
      </w:r>
      <w:r w:rsidR="00122B4A" w:rsidRPr="00122B4A">
        <w:rPr>
          <w:rFonts w:ascii="Times New Roman" w:hAnsi="Times New Roman" w:cs="Times New Roman"/>
          <w:sz w:val="28"/>
          <w:szCs w:val="28"/>
        </w:rPr>
        <w:t>аучно-практическ</w:t>
      </w:r>
      <w:r w:rsidR="00122B4A">
        <w:rPr>
          <w:rFonts w:ascii="Times New Roman" w:hAnsi="Times New Roman" w:cs="Times New Roman"/>
          <w:sz w:val="28"/>
          <w:szCs w:val="28"/>
        </w:rPr>
        <w:t>ая конференция</w:t>
      </w:r>
      <w:r w:rsidR="00122B4A" w:rsidRPr="00122B4A">
        <w:rPr>
          <w:rFonts w:ascii="Times New Roman" w:hAnsi="Times New Roman" w:cs="Times New Roman"/>
          <w:sz w:val="28"/>
          <w:szCs w:val="28"/>
        </w:rPr>
        <w:t xml:space="preserve"> с международным участием «Современная офтальмология: интеграция науки и практики»" (Алматы, Казахстан, 12 – 13 октября 2018г</w:t>
      </w:r>
      <w:r w:rsidR="00122B4A">
        <w:rPr>
          <w:rFonts w:ascii="Times New Roman" w:hAnsi="Times New Roman" w:cs="Times New Roman"/>
          <w:sz w:val="28"/>
          <w:szCs w:val="28"/>
        </w:rPr>
        <w:t>.</w:t>
      </w:r>
    </w:p>
    <w:p w14:paraId="7A17CD49" w14:textId="3F4AA919" w:rsidR="000A0294" w:rsidRPr="004804AA" w:rsidRDefault="000A0294" w:rsidP="005C37DF">
      <w:pPr>
        <w:pStyle w:val="a4"/>
        <w:ind w:firstLine="709"/>
        <w:jc w:val="both"/>
        <w:rPr>
          <w:rFonts w:ascii="Times New Roman" w:hAnsi="Times New Roman" w:cs="Times New Roman"/>
          <w:b/>
          <w:bCs/>
          <w:sz w:val="28"/>
          <w:szCs w:val="28"/>
        </w:rPr>
      </w:pPr>
      <w:r w:rsidRPr="004804AA">
        <w:rPr>
          <w:rFonts w:ascii="Times New Roman" w:hAnsi="Times New Roman" w:cs="Times New Roman"/>
          <w:b/>
          <w:bCs/>
          <w:sz w:val="28"/>
          <w:szCs w:val="28"/>
        </w:rPr>
        <w:t>Публикации</w:t>
      </w:r>
    </w:p>
    <w:p w14:paraId="7E2B5723" w14:textId="0F580C4D" w:rsidR="000A0294" w:rsidRPr="004804AA" w:rsidRDefault="000A0294" w:rsidP="005C37DF">
      <w:pPr>
        <w:pStyle w:val="a4"/>
        <w:ind w:firstLine="709"/>
        <w:jc w:val="both"/>
        <w:rPr>
          <w:rFonts w:ascii="Times New Roman" w:hAnsi="Times New Roman" w:cs="Times New Roman"/>
          <w:b/>
          <w:sz w:val="28"/>
          <w:szCs w:val="28"/>
        </w:rPr>
      </w:pPr>
      <w:r w:rsidRPr="004804AA">
        <w:rPr>
          <w:rFonts w:ascii="Times New Roman" w:hAnsi="Times New Roman" w:cs="Times New Roman"/>
          <w:sz w:val="28"/>
          <w:szCs w:val="28"/>
        </w:rPr>
        <w:t xml:space="preserve">По теме работы </w:t>
      </w:r>
      <w:r w:rsidRPr="005C3704">
        <w:rPr>
          <w:rFonts w:ascii="Times New Roman" w:hAnsi="Times New Roman" w:cs="Times New Roman"/>
          <w:sz w:val="28"/>
          <w:szCs w:val="28"/>
        </w:rPr>
        <w:t>опубликован</w:t>
      </w:r>
      <w:r w:rsidR="000414CD" w:rsidRPr="005C3704">
        <w:rPr>
          <w:rFonts w:ascii="Times New Roman" w:hAnsi="Times New Roman" w:cs="Times New Roman"/>
          <w:sz w:val="28"/>
          <w:szCs w:val="28"/>
        </w:rPr>
        <w:t>ы</w:t>
      </w:r>
      <w:r w:rsidRPr="005C3704">
        <w:rPr>
          <w:rFonts w:ascii="Times New Roman" w:hAnsi="Times New Roman" w:cs="Times New Roman"/>
          <w:sz w:val="28"/>
          <w:szCs w:val="28"/>
        </w:rPr>
        <w:t xml:space="preserve"> 1</w:t>
      </w:r>
      <w:r w:rsidR="0029266D">
        <w:rPr>
          <w:rFonts w:ascii="Times New Roman" w:hAnsi="Times New Roman" w:cs="Times New Roman"/>
          <w:sz w:val="28"/>
          <w:szCs w:val="28"/>
        </w:rPr>
        <w:t>0</w:t>
      </w:r>
      <w:r w:rsidRPr="005C3704">
        <w:rPr>
          <w:rFonts w:ascii="Times New Roman" w:hAnsi="Times New Roman" w:cs="Times New Roman"/>
          <w:sz w:val="28"/>
          <w:szCs w:val="28"/>
        </w:rPr>
        <w:t xml:space="preserve"> печатных работ, из них </w:t>
      </w:r>
      <w:r w:rsidR="003D4199" w:rsidRPr="005C3704">
        <w:rPr>
          <w:rFonts w:ascii="Times New Roman" w:hAnsi="Times New Roman" w:cs="Times New Roman"/>
          <w:sz w:val="28"/>
          <w:szCs w:val="28"/>
        </w:rPr>
        <w:t>1 в рецензируемом издании</w:t>
      </w:r>
      <w:r w:rsidR="009335A5">
        <w:rPr>
          <w:rFonts w:ascii="Times New Roman" w:hAnsi="Times New Roman" w:cs="Times New Roman"/>
          <w:sz w:val="28"/>
          <w:szCs w:val="28"/>
        </w:rPr>
        <w:t xml:space="preserve">, входящем в </w:t>
      </w:r>
      <w:r w:rsidR="009335A5" w:rsidRPr="009335A5">
        <w:rPr>
          <w:rFonts w:ascii="Times New Roman" w:hAnsi="Times New Roman" w:cs="Times New Roman"/>
          <w:sz w:val="28"/>
          <w:szCs w:val="28"/>
        </w:rPr>
        <w:t>международную базу цитирования Scopus</w:t>
      </w:r>
      <w:r w:rsidR="003D4199" w:rsidRPr="005C3704">
        <w:rPr>
          <w:rFonts w:ascii="Times New Roman" w:hAnsi="Times New Roman" w:cs="Times New Roman"/>
          <w:sz w:val="28"/>
          <w:szCs w:val="28"/>
        </w:rPr>
        <w:t xml:space="preserve">; </w:t>
      </w:r>
      <w:r w:rsidR="007629A0">
        <w:rPr>
          <w:rFonts w:ascii="Times New Roman" w:hAnsi="Times New Roman" w:cs="Times New Roman"/>
          <w:sz w:val="28"/>
          <w:szCs w:val="28"/>
        </w:rPr>
        <w:t>3</w:t>
      </w:r>
      <w:r w:rsidRPr="005C3704">
        <w:rPr>
          <w:rFonts w:ascii="Times New Roman" w:hAnsi="Times New Roman" w:cs="Times New Roman"/>
          <w:sz w:val="28"/>
          <w:szCs w:val="28"/>
        </w:rPr>
        <w:t xml:space="preserve"> в журналах, рекомендованных Комитетом по контролю в сфере </w:t>
      </w:r>
      <w:r w:rsidR="00370636">
        <w:rPr>
          <w:rFonts w:ascii="Times New Roman" w:hAnsi="Times New Roman" w:cs="Times New Roman"/>
          <w:sz w:val="28"/>
          <w:szCs w:val="28"/>
        </w:rPr>
        <w:t xml:space="preserve">науки и высшего </w:t>
      </w:r>
      <w:r w:rsidRPr="005C3704">
        <w:rPr>
          <w:rFonts w:ascii="Times New Roman" w:hAnsi="Times New Roman" w:cs="Times New Roman"/>
          <w:sz w:val="28"/>
          <w:szCs w:val="28"/>
        </w:rPr>
        <w:t xml:space="preserve">образования Министерства науки </w:t>
      </w:r>
      <w:r w:rsidR="00370636">
        <w:rPr>
          <w:rFonts w:ascii="Times New Roman" w:hAnsi="Times New Roman" w:cs="Times New Roman"/>
          <w:sz w:val="28"/>
          <w:szCs w:val="28"/>
        </w:rPr>
        <w:t xml:space="preserve">и высшего образования </w:t>
      </w:r>
      <w:r w:rsidRPr="005C3704">
        <w:rPr>
          <w:rFonts w:ascii="Times New Roman" w:hAnsi="Times New Roman" w:cs="Times New Roman"/>
          <w:sz w:val="28"/>
          <w:szCs w:val="28"/>
        </w:rPr>
        <w:t>РК; 2 тезис</w:t>
      </w:r>
      <w:r w:rsidR="009335A5">
        <w:rPr>
          <w:rFonts w:ascii="Times New Roman" w:hAnsi="Times New Roman" w:cs="Times New Roman"/>
          <w:sz w:val="28"/>
          <w:szCs w:val="28"/>
        </w:rPr>
        <w:t>а</w:t>
      </w:r>
      <w:r w:rsidRPr="005C3704">
        <w:rPr>
          <w:rFonts w:ascii="Times New Roman" w:hAnsi="Times New Roman" w:cs="Times New Roman"/>
          <w:sz w:val="28"/>
          <w:szCs w:val="28"/>
        </w:rPr>
        <w:t xml:space="preserve"> в </w:t>
      </w:r>
      <w:r w:rsidRPr="004804AA">
        <w:rPr>
          <w:rFonts w:ascii="Times New Roman" w:hAnsi="Times New Roman" w:cs="Times New Roman"/>
          <w:sz w:val="28"/>
          <w:szCs w:val="28"/>
        </w:rPr>
        <w:t xml:space="preserve">материалах международных и зарубежных конференций; </w:t>
      </w:r>
      <w:r w:rsidR="00A92E09" w:rsidRPr="00A92E09">
        <w:rPr>
          <w:rFonts w:ascii="Times New Roman" w:hAnsi="Times New Roman" w:cs="Times New Roman"/>
          <w:sz w:val="28"/>
          <w:szCs w:val="28"/>
        </w:rPr>
        <w:t>постерный доклад</w:t>
      </w:r>
      <w:r w:rsidRPr="00A92E09">
        <w:rPr>
          <w:rFonts w:ascii="Times New Roman" w:hAnsi="Times New Roman" w:cs="Times New Roman"/>
          <w:sz w:val="28"/>
          <w:szCs w:val="28"/>
        </w:rPr>
        <w:t xml:space="preserve"> на юбилейной </w:t>
      </w:r>
      <w:r w:rsidRPr="00A92E09">
        <w:rPr>
          <w:rFonts w:ascii="Times New Roman" w:hAnsi="Times New Roman" w:cs="Times New Roman"/>
          <w:sz w:val="28"/>
          <w:szCs w:val="28"/>
          <w:lang w:val="kk-KZ"/>
        </w:rPr>
        <w:t>научно-практической конференци</w:t>
      </w:r>
      <w:r w:rsidR="009335A5" w:rsidRPr="00A92E09">
        <w:rPr>
          <w:rFonts w:ascii="Times New Roman" w:hAnsi="Times New Roman" w:cs="Times New Roman"/>
          <w:sz w:val="28"/>
          <w:szCs w:val="28"/>
          <w:lang w:val="kk-KZ"/>
        </w:rPr>
        <w:t>и</w:t>
      </w:r>
      <w:r w:rsidRPr="00A92E09">
        <w:rPr>
          <w:rFonts w:ascii="Times New Roman" w:hAnsi="Times New Roman" w:cs="Times New Roman"/>
          <w:sz w:val="28"/>
          <w:szCs w:val="28"/>
          <w:lang w:val="kk-KZ"/>
        </w:rPr>
        <w:t xml:space="preserve"> с международным участием </w:t>
      </w:r>
      <w:r w:rsidRPr="00A92E09">
        <w:rPr>
          <w:rFonts w:ascii="Times New Roman" w:hAnsi="Times New Roman" w:cs="Times New Roman"/>
          <w:sz w:val="28"/>
          <w:szCs w:val="28"/>
        </w:rPr>
        <w:t>«Современная офтальмология: интеграция науки и практики» (Алматы, 2018).</w:t>
      </w:r>
      <w:r w:rsidRPr="004804AA">
        <w:rPr>
          <w:rFonts w:ascii="Times New Roman" w:hAnsi="Times New Roman" w:cs="Times New Roman"/>
          <w:sz w:val="28"/>
          <w:szCs w:val="28"/>
        </w:rPr>
        <w:t xml:space="preserve"> </w:t>
      </w:r>
    </w:p>
    <w:p w14:paraId="5FBAD006" w14:textId="77777777" w:rsidR="000A0294" w:rsidRPr="00A92E09" w:rsidRDefault="000A0294" w:rsidP="005C37DF">
      <w:pPr>
        <w:pStyle w:val="a4"/>
        <w:ind w:firstLine="709"/>
        <w:jc w:val="both"/>
        <w:rPr>
          <w:rFonts w:ascii="Times New Roman" w:hAnsi="Times New Roman" w:cs="Times New Roman"/>
          <w:b/>
          <w:bCs/>
          <w:sz w:val="28"/>
          <w:szCs w:val="28"/>
        </w:rPr>
      </w:pPr>
      <w:r w:rsidRPr="004804AA">
        <w:rPr>
          <w:rFonts w:ascii="Times New Roman" w:hAnsi="Times New Roman" w:cs="Times New Roman"/>
          <w:b/>
          <w:bCs/>
          <w:sz w:val="28"/>
          <w:szCs w:val="28"/>
        </w:rPr>
        <w:t xml:space="preserve">Структура и объем </w:t>
      </w:r>
      <w:r w:rsidRPr="00A92E09">
        <w:rPr>
          <w:rFonts w:ascii="Times New Roman" w:hAnsi="Times New Roman" w:cs="Times New Roman"/>
          <w:b/>
          <w:bCs/>
          <w:sz w:val="28"/>
          <w:szCs w:val="28"/>
        </w:rPr>
        <w:t>диссертации</w:t>
      </w:r>
    </w:p>
    <w:p w14:paraId="43756BB0" w14:textId="6ABFB550" w:rsidR="000A0294" w:rsidRPr="004804AA" w:rsidRDefault="000A0294" w:rsidP="00CA14FF">
      <w:pPr>
        <w:pStyle w:val="a4"/>
        <w:ind w:firstLine="709"/>
        <w:jc w:val="both"/>
        <w:rPr>
          <w:rFonts w:ascii="Times New Roman" w:hAnsi="Times New Roman" w:cs="Times New Roman"/>
          <w:sz w:val="28"/>
          <w:szCs w:val="28"/>
        </w:rPr>
      </w:pPr>
      <w:r w:rsidRPr="00892B97">
        <w:rPr>
          <w:rFonts w:ascii="Times New Roman" w:hAnsi="Times New Roman" w:cs="Times New Roman"/>
          <w:sz w:val="28"/>
          <w:szCs w:val="28"/>
        </w:rPr>
        <w:t xml:space="preserve">Диссертация содержит </w:t>
      </w:r>
      <w:r w:rsidR="0068252D" w:rsidRPr="00892B97">
        <w:rPr>
          <w:rFonts w:ascii="Times New Roman" w:hAnsi="Times New Roman" w:cs="Times New Roman"/>
          <w:sz w:val="28"/>
          <w:szCs w:val="28"/>
        </w:rPr>
        <w:t>1</w:t>
      </w:r>
      <w:r w:rsidR="00C3096F" w:rsidRPr="00892B97">
        <w:rPr>
          <w:rFonts w:ascii="Times New Roman" w:hAnsi="Times New Roman" w:cs="Times New Roman"/>
          <w:sz w:val="28"/>
          <w:szCs w:val="28"/>
        </w:rPr>
        <w:t>1</w:t>
      </w:r>
      <w:r w:rsidR="00892B97" w:rsidRPr="00892B97">
        <w:rPr>
          <w:rFonts w:ascii="Times New Roman" w:hAnsi="Times New Roman" w:cs="Times New Roman"/>
          <w:sz w:val="28"/>
          <w:szCs w:val="28"/>
        </w:rPr>
        <w:t>4</w:t>
      </w:r>
      <w:r w:rsidR="0068252D">
        <w:rPr>
          <w:rFonts w:ascii="Times New Roman" w:hAnsi="Times New Roman" w:cs="Times New Roman"/>
          <w:sz w:val="28"/>
          <w:szCs w:val="28"/>
        </w:rPr>
        <w:t xml:space="preserve"> </w:t>
      </w:r>
      <w:r w:rsidRPr="004804AA">
        <w:rPr>
          <w:rFonts w:ascii="Times New Roman" w:hAnsi="Times New Roman" w:cs="Times New Roman"/>
          <w:sz w:val="28"/>
          <w:szCs w:val="28"/>
        </w:rPr>
        <w:t xml:space="preserve">страниц </w:t>
      </w:r>
      <w:r w:rsidR="00CA14FF" w:rsidRPr="00CA14FF">
        <w:rPr>
          <w:rFonts w:ascii="Times New Roman" w:hAnsi="Times New Roman" w:cs="Times New Roman"/>
          <w:sz w:val="28"/>
          <w:szCs w:val="28"/>
        </w:rPr>
        <w:t>компьютерного набора текст</w:t>
      </w:r>
      <w:r w:rsidR="00CA14FF">
        <w:rPr>
          <w:rFonts w:ascii="Times New Roman" w:hAnsi="Times New Roman" w:cs="Times New Roman"/>
          <w:sz w:val="28"/>
          <w:szCs w:val="28"/>
        </w:rPr>
        <w:t xml:space="preserve">ового редактора Microsoft Word. </w:t>
      </w:r>
      <w:r w:rsidRPr="004804AA">
        <w:rPr>
          <w:rFonts w:ascii="Times New Roman" w:hAnsi="Times New Roman" w:cs="Times New Roman"/>
          <w:sz w:val="28"/>
          <w:szCs w:val="28"/>
        </w:rPr>
        <w:t xml:space="preserve">Диссертация состоит из введения, обзора литературы, основной части (материалы и методы исследования, главы собственных исследований), заключения, выводов, практических рекомендаций, </w:t>
      </w:r>
      <w:r w:rsidR="00B43BC8">
        <w:rPr>
          <w:rFonts w:ascii="Times New Roman" w:hAnsi="Times New Roman" w:cs="Times New Roman"/>
          <w:sz w:val="28"/>
          <w:szCs w:val="28"/>
        </w:rPr>
        <w:t>30</w:t>
      </w:r>
      <w:r w:rsidR="005B284C">
        <w:rPr>
          <w:rFonts w:ascii="Times New Roman" w:hAnsi="Times New Roman" w:cs="Times New Roman"/>
          <w:sz w:val="28"/>
          <w:szCs w:val="28"/>
        </w:rPr>
        <w:t xml:space="preserve"> </w:t>
      </w:r>
      <w:r w:rsidRPr="004804AA">
        <w:rPr>
          <w:rFonts w:ascii="Times New Roman" w:hAnsi="Times New Roman" w:cs="Times New Roman"/>
          <w:sz w:val="28"/>
          <w:szCs w:val="28"/>
        </w:rPr>
        <w:t xml:space="preserve">таблиц, </w:t>
      </w:r>
      <w:r w:rsidR="00E65B4C">
        <w:rPr>
          <w:rFonts w:ascii="Times New Roman" w:hAnsi="Times New Roman" w:cs="Times New Roman"/>
          <w:sz w:val="28"/>
          <w:szCs w:val="28"/>
        </w:rPr>
        <w:t xml:space="preserve">14 </w:t>
      </w:r>
      <w:r w:rsidRPr="004804AA">
        <w:rPr>
          <w:rFonts w:ascii="Times New Roman" w:hAnsi="Times New Roman" w:cs="Times New Roman"/>
          <w:sz w:val="28"/>
          <w:szCs w:val="28"/>
        </w:rPr>
        <w:t xml:space="preserve">рисунков и списка литературы, включающего в себя </w:t>
      </w:r>
      <w:r w:rsidR="00456BB0">
        <w:rPr>
          <w:rFonts w:ascii="Times New Roman" w:hAnsi="Times New Roman" w:cs="Times New Roman"/>
          <w:sz w:val="28"/>
          <w:szCs w:val="28"/>
        </w:rPr>
        <w:t xml:space="preserve">242 </w:t>
      </w:r>
      <w:r w:rsidRPr="004804AA">
        <w:rPr>
          <w:rFonts w:ascii="Times New Roman" w:hAnsi="Times New Roman" w:cs="Times New Roman"/>
          <w:sz w:val="28"/>
          <w:szCs w:val="28"/>
        </w:rPr>
        <w:t xml:space="preserve">источника, </w:t>
      </w:r>
      <w:r w:rsidR="0068252D">
        <w:rPr>
          <w:rFonts w:ascii="Times New Roman" w:hAnsi="Times New Roman" w:cs="Times New Roman"/>
          <w:sz w:val="28"/>
          <w:szCs w:val="28"/>
        </w:rPr>
        <w:t xml:space="preserve">6 </w:t>
      </w:r>
      <w:r w:rsidRPr="004804AA">
        <w:rPr>
          <w:rFonts w:ascii="Times New Roman" w:hAnsi="Times New Roman" w:cs="Times New Roman"/>
          <w:sz w:val="28"/>
          <w:szCs w:val="28"/>
        </w:rPr>
        <w:t>приложени</w:t>
      </w:r>
      <w:r w:rsidR="0068252D">
        <w:rPr>
          <w:rFonts w:ascii="Times New Roman" w:hAnsi="Times New Roman" w:cs="Times New Roman"/>
          <w:sz w:val="28"/>
          <w:szCs w:val="28"/>
        </w:rPr>
        <w:t>й</w:t>
      </w:r>
      <w:r w:rsidRPr="004804AA">
        <w:rPr>
          <w:rFonts w:ascii="Times New Roman" w:hAnsi="Times New Roman" w:cs="Times New Roman"/>
          <w:sz w:val="28"/>
          <w:szCs w:val="28"/>
        </w:rPr>
        <w:t>.</w:t>
      </w:r>
    </w:p>
    <w:p w14:paraId="7839EB25" w14:textId="7364FDD9" w:rsidR="00B87F64" w:rsidRDefault="00B87F64" w:rsidP="005C37DF">
      <w:pPr>
        <w:spacing w:after="0" w:line="240" w:lineRule="auto"/>
        <w:ind w:firstLine="709"/>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14:paraId="1DB31BA9" w14:textId="66104DD9" w:rsidR="002C2A5C" w:rsidRPr="002C2A5C" w:rsidRDefault="002C2A5C" w:rsidP="005C37DF">
      <w:pPr>
        <w:pStyle w:val="a4"/>
        <w:ind w:firstLine="709"/>
        <w:jc w:val="both"/>
        <w:rPr>
          <w:rFonts w:ascii="Times New Roman" w:hAnsi="Times New Roman" w:cs="Times New Roman"/>
          <w:b/>
          <w:bCs/>
          <w:sz w:val="28"/>
          <w:szCs w:val="28"/>
        </w:rPr>
      </w:pPr>
      <w:r w:rsidRPr="002C2A5C">
        <w:rPr>
          <w:rFonts w:ascii="Times New Roman" w:hAnsi="Times New Roman" w:cs="Times New Roman"/>
          <w:b/>
          <w:bCs/>
          <w:sz w:val="28"/>
          <w:szCs w:val="28"/>
        </w:rPr>
        <w:lastRenderedPageBreak/>
        <w:t xml:space="preserve">1 СОВРЕМЕННОЕ СОСТОЯНИЕ ПРОБЛЕМЫ </w:t>
      </w:r>
      <w:r>
        <w:rPr>
          <w:rFonts w:ascii="Times New Roman" w:hAnsi="Times New Roman" w:cs="Times New Roman"/>
          <w:b/>
          <w:bCs/>
          <w:sz w:val="28"/>
          <w:szCs w:val="28"/>
        </w:rPr>
        <w:t xml:space="preserve">АНОМАЛИЙ </w:t>
      </w:r>
      <w:r w:rsidRPr="002C2A5C">
        <w:rPr>
          <w:rFonts w:ascii="Times New Roman" w:hAnsi="Times New Roman" w:cs="Times New Roman"/>
          <w:b/>
          <w:bCs/>
          <w:sz w:val="28"/>
          <w:szCs w:val="28"/>
        </w:rPr>
        <w:t>РЕФРАКЦИИ У ДЕТЕЙ (ОБЗОР ЛИТЕРАТУРЫ)</w:t>
      </w:r>
    </w:p>
    <w:p w14:paraId="655998E1" w14:textId="77777777" w:rsidR="002C2A5C" w:rsidRDefault="002C2A5C" w:rsidP="005C37DF">
      <w:pPr>
        <w:pStyle w:val="a4"/>
        <w:ind w:firstLine="709"/>
        <w:jc w:val="both"/>
        <w:rPr>
          <w:rFonts w:ascii="Times New Roman" w:hAnsi="Times New Roman" w:cs="Times New Roman"/>
          <w:sz w:val="28"/>
          <w:szCs w:val="28"/>
        </w:rPr>
      </w:pPr>
    </w:p>
    <w:p w14:paraId="26E3C6C0" w14:textId="6E597B6D" w:rsidR="000A5561" w:rsidRPr="002C2A5C" w:rsidRDefault="000A5561" w:rsidP="005C37DF">
      <w:pPr>
        <w:pStyle w:val="a4"/>
        <w:ind w:firstLine="709"/>
        <w:jc w:val="both"/>
        <w:rPr>
          <w:rFonts w:ascii="Times New Roman" w:hAnsi="Times New Roman" w:cs="Times New Roman"/>
          <w:b/>
          <w:bCs/>
          <w:sz w:val="28"/>
          <w:szCs w:val="28"/>
        </w:rPr>
      </w:pPr>
      <w:r w:rsidRPr="002C2A5C">
        <w:rPr>
          <w:rFonts w:ascii="Times New Roman" w:hAnsi="Times New Roman" w:cs="Times New Roman"/>
          <w:b/>
          <w:bCs/>
          <w:sz w:val="28"/>
          <w:szCs w:val="28"/>
        </w:rPr>
        <w:t xml:space="preserve">1.1 </w:t>
      </w:r>
      <w:r w:rsidR="00AE0E7D" w:rsidRPr="002C2A5C">
        <w:rPr>
          <w:rFonts w:ascii="Times New Roman" w:hAnsi="Times New Roman" w:cs="Times New Roman"/>
          <w:b/>
          <w:bCs/>
          <w:sz w:val="28"/>
          <w:szCs w:val="28"/>
        </w:rPr>
        <w:t>Распростран</w:t>
      </w:r>
      <w:r w:rsidR="00353081">
        <w:rPr>
          <w:rFonts w:ascii="Times New Roman" w:hAnsi="Times New Roman" w:cs="Times New Roman"/>
          <w:b/>
          <w:bCs/>
          <w:sz w:val="28"/>
          <w:szCs w:val="28"/>
        </w:rPr>
        <w:t>е</w:t>
      </w:r>
      <w:r w:rsidR="00AE0E7D" w:rsidRPr="002C2A5C">
        <w:rPr>
          <w:rFonts w:ascii="Times New Roman" w:hAnsi="Times New Roman" w:cs="Times New Roman"/>
          <w:b/>
          <w:bCs/>
          <w:sz w:val="28"/>
          <w:szCs w:val="28"/>
        </w:rPr>
        <w:t>нность и з</w:t>
      </w:r>
      <w:r w:rsidRPr="002C2A5C">
        <w:rPr>
          <w:rFonts w:ascii="Times New Roman" w:hAnsi="Times New Roman" w:cs="Times New Roman"/>
          <w:b/>
          <w:bCs/>
          <w:sz w:val="28"/>
          <w:szCs w:val="28"/>
        </w:rPr>
        <w:t xml:space="preserve">начение аномалий рефракции </w:t>
      </w:r>
    </w:p>
    <w:p w14:paraId="3FA7F767" w14:textId="648401A2" w:rsidR="001B72B9" w:rsidRPr="004804AA" w:rsidRDefault="00EE7AC6" w:rsidP="001B72B9">
      <w:pPr>
        <w:pStyle w:val="a3"/>
        <w:shd w:val="clear" w:color="auto" w:fill="FFFFFF"/>
        <w:spacing w:before="0" w:beforeAutospacing="0" w:after="0" w:afterAutospacing="0"/>
        <w:ind w:firstLine="709"/>
        <w:jc w:val="both"/>
        <w:rPr>
          <w:rFonts w:eastAsiaTheme="minorHAnsi"/>
          <w:color w:val="000000"/>
          <w:sz w:val="28"/>
          <w:szCs w:val="28"/>
          <w:lang w:eastAsia="en-US"/>
        </w:rPr>
      </w:pPr>
      <w:r w:rsidRPr="004804AA">
        <w:rPr>
          <w:color w:val="000000"/>
          <w:sz w:val="28"/>
          <w:szCs w:val="28"/>
        </w:rPr>
        <w:t>В глобальном обществе, построенном на способности видеть, нарушение зрения имеет далеко идущие последствия</w:t>
      </w:r>
      <w:r w:rsidR="008F5242" w:rsidRPr="004804AA">
        <w:rPr>
          <w:color w:val="000000"/>
          <w:sz w:val="28"/>
          <w:szCs w:val="28"/>
        </w:rPr>
        <w:t xml:space="preserve"> как</w:t>
      </w:r>
      <w:r w:rsidRPr="004804AA">
        <w:rPr>
          <w:color w:val="000000"/>
          <w:sz w:val="28"/>
          <w:szCs w:val="28"/>
        </w:rPr>
        <w:t xml:space="preserve"> для отдельных людей</w:t>
      </w:r>
      <w:r w:rsidR="00B87694">
        <w:rPr>
          <w:color w:val="000000"/>
          <w:sz w:val="28"/>
          <w:szCs w:val="28"/>
        </w:rPr>
        <w:t xml:space="preserve"> и</w:t>
      </w:r>
      <w:r w:rsidRPr="004804AA">
        <w:rPr>
          <w:color w:val="000000"/>
          <w:sz w:val="28"/>
          <w:szCs w:val="28"/>
        </w:rPr>
        <w:t xml:space="preserve"> их семей</w:t>
      </w:r>
      <w:r w:rsidR="00B87694">
        <w:rPr>
          <w:color w:val="000000"/>
          <w:sz w:val="28"/>
          <w:szCs w:val="28"/>
        </w:rPr>
        <w:t>,</w:t>
      </w:r>
      <w:r w:rsidRPr="004804AA">
        <w:rPr>
          <w:color w:val="000000"/>
          <w:sz w:val="28"/>
          <w:szCs w:val="28"/>
        </w:rPr>
        <w:t xml:space="preserve"> </w:t>
      </w:r>
      <w:r w:rsidR="008F5242" w:rsidRPr="004804AA">
        <w:rPr>
          <w:color w:val="000000"/>
          <w:sz w:val="28"/>
          <w:szCs w:val="28"/>
        </w:rPr>
        <w:t xml:space="preserve">так </w:t>
      </w:r>
      <w:r w:rsidRPr="004804AA">
        <w:rPr>
          <w:color w:val="000000"/>
          <w:sz w:val="28"/>
          <w:szCs w:val="28"/>
        </w:rPr>
        <w:t>и общества в целом</w:t>
      </w:r>
      <w:r w:rsidR="00EE52E9">
        <w:rPr>
          <w:color w:val="000000"/>
          <w:sz w:val="28"/>
          <w:szCs w:val="28"/>
        </w:rPr>
        <w:t>.</w:t>
      </w:r>
      <w:r w:rsidRPr="004804AA">
        <w:rPr>
          <w:sz w:val="28"/>
          <w:szCs w:val="28"/>
        </w:rPr>
        <w:t xml:space="preserve"> </w:t>
      </w:r>
      <w:r w:rsidR="00655D6A">
        <w:rPr>
          <w:color w:val="000000"/>
          <w:sz w:val="28"/>
          <w:szCs w:val="28"/>
        </w:rPr>
        <w:t>Прогрессирующее с</w:t>
      </w:r>
      <w:r w:rsidR="00655D6A" w:rsidRPr="004804AA">
        <w:rPr>
          <w:color w:val="000000"/>
          <w:sz w:val="28"/>
          <w:szCs w:val="28"/>
        </w:rPr>
        <w:t xml:space="preserve">нижение остроты зрения значительно </w:t>
      </w:r>
      <w:r w:rsidR="00655D6A">
        <w:rPr>
          <w:color w:val="000000"/>
          <w:sz w:val="28"/>
          <w:szCs w:val="28"/>
        </w:rPr>
        <w:t xml:space="preserve">ограничивает </w:t>
      </w:r>
      <w:r w:rsidR="00655D6A" w:rsidRPr="004804AA">
        <w:rPr>
          <w:color w:val="000000"/>
          <w:sz w:val="28"/>
          <w:szCs w:val="28"/>
        </w:rPr>
        <w:t>участие в общественной</w:t>
      </w:r>
      <w:r w:rsidR="00655D6A">
        <w:rPr>
          <w:color w:val="000000"/>
          <w:sz w:val="28"/>
          <w:szCs w:val="28"/>
        </w:rPr>
        <w:t xml:space="preserve">, спортивной </w:t>
      </w:r>
      <w:r w:rsidR="00655D6A" w:rsidRPr="004804AA">
        <w:rPr>
          <w:color w:val="000000"/>
          <w:sz w:val="28"/>
          <w:szCs w:val="28"/>
        </w:rPr>
        <w:t>или религиозной деятельности, мобильность, повседневную деятельность и задачи с интенсивным зрительным восприятием</w:t>
      </w:r>
      <w:r w:rsidR="00EE52E9">
        <w:rPr>
          <w:color w:val="000000"/>
          <w:sz w:val="28"/>
          <w:szCs w:val="28"/>
        </w:rPr>
        <w:t xml:space="preserve"> </w:t>
      </w:r>
      <w:r w:rsidR="00655D6A" w:rsidRPr="004804AA">
        <w:rPr>
          <w:color w:val="000000"/>
          <w:sz w:val="28"/>
          <w:szCs w:val="28"/>
        </w:rPr>
        <w:fldChar w:fldCharType="begin"/>
      </w:r>
      <w:r w:rsidR="00A00EFF">
        <w:rPr>
          <w:color w:val="000000"/>
          <w:sz w:val="28"/>
          <w:szCs w:val="28"/>
        </w:rPr>
        <w:instrText xml:space="preserve"> ADDIN ZOTERO_ITEM CSL_CITATION {"citationID":"ffhwlwoP","properties":{"formattedCitation":"[53\\uc0\\u8211{}56]","plainCitation":"[53–56]","noteIndex":0},"citationItems":[{"id":1533,"uris":["http://zotero.org/users/local/XMo5Fvid/items/4Z3R8TP8"],"itemData":{"id":1533,"type":"article-journal","abstract":"OBJECTIVE: To determine the association between performance on selected tasks of everyday life and impairment in visual acuity and contrast sensitivity.\nMETHODS: Visual acuity and contrast sensitivity were obtained on a population-based sample of 2520 older African American and white subjects. Performance was assessed on mobility, daily activities with a strong visual component, and visually intensive tasks. Disability was defined as performance less than 1 SD below the mean. Receiver operating characteristic curve analyses were used to evaluate the sensitivity and specificity of thresholds in acuity and contrast loss for determining disability.\nRESULTS: Both visual acuity and contrast sensitivity loss were associated with decrements in function. The relationship of function to the vision measures was mostly linear, therefore, receiver operating characteristic curves were not helpful in identifying cutoff points for predicting disabilities. For mobility tasks, most persons were not disabled until they had significant acuity loss (logMAR visual acuity &gt;1.0 or &lt;20/200) or contrast sensitivity loss (0.9 log units contrast sensitivity). For heavily visually intensive tasks, like reading, visual acuity worse than 0.2 logMAR (20/30) or contrast sensitivity worse than 1.4 log units was disabling.\nCONCLUSIONS: Both contrast sensitivity and visual acuity loss contribute independently to deficits in performance on everyday tasks. Defining disability as deficits in performance relative to a population, it is possible to identify visual acuity and contrast loss where most are disabled. However, the cutoff points depend on the task, suggesting that defining disability using a single threshold for visual acuity or contrast sensitivity loss is arbitrary.","container-title":"Archives of Ophthalmology (Chicago, Ill.: 1960)","DOI":"10.1001/archopht.120.6.774","ISSN":"0003-9950","issue":"6","journalAbbreviation":"Arch Ophthalmol","language":"eng","note":"PMID: 12049583","page":"774-780","source":"PubMed","title":"How does visual impairment affect performance on tasks of everyday life? The SEE Project. Salisbury Eye Evaluation","title-short":"How does visual impairment affect performance on tasks of everyday life?","volume":"120","author":[{"family":"West","given":"Sheila K."},{"family":"Rubin","given":"Gary S."},{"family":"Broman","given":"Aimee T."},{"family":"Muñoz","given":"Beatriz"},{"family":"Bandeen-Roche","given":"Karen"},{"family":"Turano","given":"Kathleen"}],"issued":{"date-parts":[["2002",6]]}},"label":"page"},{"id":1536,"uris":["http://zotero.org/users/local/XMo5Fvid/items/XUYQKZMF"],"itemData":{"id":1536,"type":"article-journal","abstract":"PURPOSE: The Salisbury Eye Evaluation (SEE) project investigates the impact of vision on functional status in a population-based sample of elderly persons. The prevalence of self-reports of functional status and the association with visual acuity loss are described.\nMETHODS: A random sample of men and women 65 to 84 years of age from Salisbury, Maryland were recruited for home interviews and clinic examinations. Of the eligible sample, 78% responded to the home questionnaire and 65% responded to the questionnaire and the clinic examination. Binocular visual acuity of each person was measured using ETDRS charts and protocols. Questions were asked concerning activities of daily living, instrumental activities of daily living, physical function, social interaction, and activities of daily vision. Analyses of the association of presenting visual acuity worse than 20/40 with the measures of function were carried out and adjusted for age, race, and sex.\nRESULTS: All measures of functional status showed a decline with age; women and blacks were more likely to report difficulties. The age-adjusted proportions of those with visual impairment were not significantly different between men and women (7.2% versus 6.7%; P = 0.60). Black persons had almost twice the rate (10.4%) of white persons (5.6%; P &lt; 0.001). Age, race, gender, and visual impairment were all significantly related to declines in functional status in multivariate models.\nCONCLUSIONS: Data on functional status in the project population were similar to national data and confirmed higher rates of disability in women and blacks. Binocular visual acuity worse than 20/40 appeared to have an impact on all the self-report measures of functional status. Further analyses on the interaction of vision with other comorbid conditions on function status clearly are indicated.","container-title":"Investigative Ophthalmology &amp; Visual Science","ISSN":"0146-0404","issue":"1","journalAbbreviation":"Invest Ophthalmol Vis Sci","language":"eng","note":"PMID: 9008632","page":"72-82","source":"PubMed","title":"Function and visual impairment in a population-based study of older adults. The SEE project. Salisbury Eye Evaluation","volume":"38","author":[{"family":"West","given":"S. K."},{"family":"Munoz","given":"B."},{"family":"Rubin","given":"G. S."},{"family":"Schein","given":"O. D."},{"family":"Bandeen-Roche","given":"K."},{"family":"Zeger","given":"S."},{"family":"German","given":"S."},{"family":"Fried","given":"L. P."}],"issued":{"date-parts":[["1997",1]]}},"label":"page"},{"id":1538,"uris":["http://zotero.org/users/local/XMo5Fvid/items/PZYXA44J"],"itemData":{"id":1538,"type":"article-journal","abstract":"PURPOSE: To describe the psychometric characteristics of the Impact of Vision Impairment (IVI) Profile and evaluate its validity and reliability over time and between different forms of administration.\nMETHODS: The IVI is a 32-item questionnaire developed to measure the impact of vision impairment on restriction of participation in daily activities in five domains of functioning. Each item is rated on a six-level scale from \"no difficulty\" to \"can't do because of vision.\" The IVI was administered by trained interviewers to 115 people with impaired vision (visual acuity less than 6/12 or visual field deficit) who attended the Royal Victorian Eye and Ear Hospital, a vision rehabilitation agency, or a self-help group for people with impaired vision. Data were also collected on demographic characteristics of participants, cause of vision impairment, and distance and near vision. General health status was assessed with the Short Form-12 (SF-12) of the Physical and Mental Health Summary Scales. A subset of participants completed the IVI twice, either 1 to 2 weeks apart or by different forms of administration (different interviewers or self).\nRESULTS: Internal consistency of total and domain average IVI scores was high (alpha = 0.80-0.96) and sequential elimination of items did not affect consistency. Total and domain average IVI scores correlated moderately with both near and distance vision (r = 0.21-0.31) but did not correlate with physical or general health or comorbidity. Total and domain average IVI scores correlated most closely with global measures of restriction of participation (r = 0.44-0.82). Principal-components analysis confirmed that all IVI items contribute to one underlying theme and tended to confirm two of the five domains: emotional reaction to vision loss and mobility. The first three components explained 43%, 8%, and 6% of the variation in the data. Guttman split-half reliability coefficients between different forms of administration and over time ranged from 0.73 to 0.94 for domain and total IVI scores. Mean absolute difference for domain and total scores between administrations was less than 1 step for all domains and the total score.\nCONCLUSIONS: This study provides support that the IVI has sufficient internal and construct validity to measure the effect of vision impairment on restriction of participation in daily activities. The IVI demonstrates acceptable reliability over a short period and yields consistent results between interviewers. The IVI can also be self-administered with assurance that the results will be comparable to those that would have been obtained by a trained interviewer. Therefore, the psychometric characteristics of the IVI support its use in assessment of the vision rehabilitation needs of people with impaired vision. Its stability over time indicates that it has potential to evaluate outcomes of intervention.","container-title":"Investigative Ophthalmology &amp; Visual Science","ISSN":"0146-0404","issue":"4","journalAbbreviation":"Invest Ophthalmol Vis Sci","language":"eng","note":"PMID: 11923230","page":"927-935","source":"PubMed","title":"Assessment of the impact of vision impairment","volume":"43","author":[{"family":"Weih","given":"LeAnn M."},{"family":"Hassell","given":"Jennifer B."},{"family":"Keeffe","given":"Jill"}],"issued":{"date-parts":[["2002",4]]}},"label":"page"},{"id":1540,"uris":["http://zotero.org/users/local/XMo5Fvid/items/PTQT7WM8"],"itemData":{"id":1540,"type":"article-journal","abstract":"PURPOSE: To investigate the determinants of participation in daily activities in people with impaired vision using the Impact of Vision Impairment (IVI) instrument.\nDESIGN: Cross-sectional study.\nMETHODS: We recruited 319 participants with no vision rehabilitation history, distance visual acuity (VA) &lt;6/12 (better eye), the ability to converse in English, and 18 years or older. Participants completed the 32-item IVI questionnaire and provided demographic, personal, cultural, and environmental details on vision-related functioning. Visual acuity data were either abstracted from the participants' files or assessed by qualified personnel. Participants also completed the SF-12 to evaluate physical (PCS-12) and mental health (MCS-12).\nRESULTS: The areas of greatest restriction of participation were associated with reading, outdoor mobility, participation in leisure activities, and shopping. In stepwise linear regression presenting VA, the PCS-12 and MCS-12 explained the variance in leisure and work (60 participants or 19%), consumer and social interaction (92 participants or 30%), household and personal care (76 participants or 24%), mobility (92 participants or 30%), emotional reaction to visual loss and (106 participants or 33%), and total IVI score (114 participants or 36%). Having age-related macular degeneration contributed marginally to the IVI domains and total score (P &lt;.05-.01), except for the emotional domain. Belonging to a social group explained 3% and 2% of the variance in the consumer and social interaction and emotional domains, respectively (P &lt;.05).\nCONCLUSIONS: Distance VA and physical and mental health explained more than a third of the variance of the total score, suggesting that an intervention aimed at improving quality of life may include strategies to improve not only vision-related rehabilitation but also mental and physical health.","container-title":"American Journal of Ophthalmology","DOI":"10.1016/j.ajo.2003.08.003","ISSN":"0002-9394","issue":"2","journalAbbreviation":"Am J Ophthalmol","language":"eng","note":"PMID: 14962415","page":"265-270","source":"PubMed","title":"The determinants of participation in activities of daily living in people with impaired vision","volume":"137","author":[{"family":"Lamoureux","given":"Ecosse L."},{"family":"Hassell","given":"Jennifer B."},{"family":"Keeffe","given":"Jill E."}],"issued":{"date-parts":[["2004",2]]}},"label":"page"}],"schema":"https://github.com/citation-style-language/schema/raw/master/csl-citation.json"} </w:instrText>
      </w:r>
      <w:r w:rsidR="00655D6A" w:rsidRPr="004804AA">
        <w:rPr>
          <w:color w:val="000000"/>
          <w:sz w:val="28"/>
          <w:szCs w:val="28"/>
        </w:rPr>
        <w:fldChar w:fldCharType="separate"/>
      </w:r>
      <w:r w:rsidR="00A00EFF" w:rsidRPr="00A00EFF">
        <w:rPr>
          <w:sz w:val="28"/>
        </w:rPr>
        <w:t>[5</w:t>
      </w:r>
      <w:r w:rsidR="00DF29AC">
        <w:rPr>
          <w:sz w:val="28"/>
        </w:rPr>
        <w:t>2</w:t>
      </w:r>
      <w:r w:rsidR="00A00EFF" w:rsidRPr="00A00EFF">
        <w:rPr>
          <w:sz w:val="28"/>
        </w:rPr>
        <w:t>–56]</w:t>
      </w:r>
      <w:r w:rsidR="00655D6A" w:rsidRPr="004804AA">
        <w:rPr>
          <w:color w:val="000000"/>
          <w:sz w:val="28"/>
          <w:szCs w:val="28"/>
        </w:rPr>
        <w:fldChar w:fldCharType="end"/>
      </w:r>
      <w:r w:rsidR="00EE52E9">
        <w:rPr>
          <w:color w:val="000000"/>
          <w:sz w:val="28"/>
          <w:szCs w:val="28"/>
        </w:rPr>
        <w:t>.</w:t>
      </w:r>
      <w:r w:rsidR="00655D6A">
        <w:rPr>
          <w:color w:val="000000"/>
          <w:sz w:val="28"/>
          <w:szCs w:val="28"/>
        </w:rPr>
        <w:t xml:space="preserve"> </w:t>
      </w:r>
      <w:r w:rsidR="001B72B9" w:rsidRPr="004804AA">
        <w:rPr>
          <w:rFonts w:eastAsiaTheme="minorHAnsi"/>
          <w:color w:val="000000"/>
          <w:sz w:val="28"/>
          <w:szCs w:val="28"/>
          <w:lang w:eastAsia="en-US"/>
        </w:rPr>
        <w:t xml:space="preserve">Хотя </w:t>
      </w:r>
      <w:r w:rsidR="001B72B9">
        <w:rPr>
          <w:rFonts w:eastAsiaTheme="minorHAnsi"/>
          <w:color w:val="000000"/>
          <w:sz w:val="28"/>
          <w:szCs w:val="28"/>
          <w:lang w:eastAsia="en-US"/>
        </w:rPr>
        <w:t xml:space="preserve">снижение </w:t>
      </w:r>
      <w:r w:rsidR="001B72B9" w:rsidRPr="004804AA">
        <w:rPr>
          <w:rFonts w:eastAsiaTheme="minorHAnsi"/>
          <w:color w:val="000000"/>
          <w:sz w:val="28"/>
          <w:szCs w:val="28"/>
          <w:lang w:eastAsia="en-US"/>
        </w:rPr>
        <w:t>зрения, связанн</w:t>
      </w:r>
      <w:r w:rsidR="001B72B9">
        <w:rPr>
          <w:rFonts w:eastAsiaTheme="minorHAnsi"/>
          <w:color w:val="000000"/>
          <w:sz w:val="28"/>
          <w:szCs w:val="28"/>
          <w:lang w:eastAsia="en-US"/>
        </w:rPr>
        <w:t>ое</w:t>
      </w:r>
      <w:r w:rsidR="001B72B9" w:rsidRPr="004804AA">
        <w:rPr>
          <w:rFonts w:eastAsiaTheme="minorHAnsi"/>
          <w:color w:val="000000"/>
          <w:sz w:val="28"/>
          <w:szCs w:val="28"/>
          <w:lang w:eastAsia="en-US"/>
        </w:rPr>
        <w:t xml:space="preserve"> с аномалиями рефракции, </w:t>
      </w:r>
      <w:r w:rsidR="001B72B9">
        <w:rPr>
          <w:rFonts w:eastAsiaTheme="minorHAnsi"/>
          <w:color w:val="000000"/>
          <w:sz w:val="28"/>
          <w:szCs w:val="28"/>
          <w:lang w:eastAsia="en-US"/>
        </w:rPr>
        <w:t xml:space="preserve">в большинстве случаев </w:t>
      </w:r>
      <w:r w:rsidR="001B72B9" w:rsidRPr="004804AA">
        <w:rPr>
          <w:rFonts w:eastAsiaTheme="minorHAnsi"/>
          <w:color w:val="000000"/>
          <w:sz w:val="28"/>
          <w:szCs w:val="28"/>
          <w:lang w:eastAsia="en-US"/>
        </w:rPr>
        <w:t>можно корректировать с помощью очков или контактных линз, проблема тех или иных аномалий рефракции больше, чем просто оптическая.</w:t>
      </w:r>
      <w:r w:rsidR="001B72B9" w:rsidRPr="00725114">
        <w:rPr>
          <w:rFonts w:eastAsiaTheme="minorHAnsi"/>
          <w:color w:val="000000"/>
          <w:sz w:val="28"/>
          <w:szCs w:val="28"/>
          <w:lang w:eastAsia="en-US"/>
        </w:rPr>
        <w:t xml:space="preserve"> </w:t>
      </w:r>
      <w:r w:rsidR="006A3116">
        <w:rPr>
          <w:sz w:val="28"/>
          <w:szCs w:val="28"/>
        </w:rPr>
        <w:t>Н</w:t>
      </w:r>
      <w:r w:rsidR="001B72B9" w:rsidRPr="004804AA">
        <w:rPr>
          <w:sz w:val="28"/>
          <w:szCs w:val="28"/>
        </w:rPr>
        <w:t>арушения рефракции снижают профессиональную адаптацию подростков и лиц молодого возраста, требует постоянной очковой или контактной коррекции, снижа</w:t>
      </w:r>
      <w:r w:rsidR="001B72B9">
        <w:rPr>
          <w:sz w:val="28"/>
          <w:szCs w:val="28"/>
        </w:rPr>
        <w:t>ю</w:t>
      </w:r>
      <w:r w:rsidR="001B72B9" w:rsidRPr="004804AA">
        <w:rPr>
          <w:sz w:val="28"/>
          <w:szCs w:val="28"/>
        </w:rPr>
        <w:t xml:space="preserve">т качество жизни молодых людей. </w:t>
      </w:r>
      <w:r w:rsidR="001B72B9" w:rsidRPr="004804AA">
        <w:rPr>
          <w:rFonts w:eastAsiaTheme="minorHAnsi"/>
          <w:color w:val="000000"/>
          <w:sz w:val="28"/>
          <w:szCs w:val="28"/>
          <w:lang w:eastAsia="en-US"/>
        </w:rPr>
        <w:t>Разными авторами неоднократно было показано, что низкая острота зрения среди детей и подростков способствует снижению академической успеваемости, снижению концентрации внимания, влияя на успеваемость и приводя к психосоциальному стрессу более низкому среднему баллу по тестам и развитию социальных или эмоциональных проблем</w:t>
      </w:r>
      <w:r w:rsidR="00EE52E9">
        <w:rPr>
          <w:rFonts w:eastAsiaTheme="minorHAnsi"/>
          <w:color w:val="000000"/>
          <w:sz w:val="28"/>
          <w:szCs w:val="28"/>
          <w:lang w:eastAsia="en-US"/>
        </w:rPr>
        <w:t xml:space="preserve"> </w:t>
      </w:r>
      <w:r w:rsidR="001B72B9" w:rsidRPr="004804AA">
        <w:rPr>
          <w:rFonts w:eastAsiaTheme="minorHAnsi"/>
          <w:color w:val="000000"/>
          <w:sz w:val="28"/>
          <w:szCs w:val="28"/>
          <w:lang w:eastAsia="en-US"/>
        </w:rPr>
        <w:fldChar w:fldCharType="begin"/>
      </w:r>
      <w:r w:rsidR="00A00EFF">
        <w:rPr>
          <w:rFonts w:eastAsiaTheme="minorHAnsi"/>
          <w:color w:val="000000"/>
          <w:sz w:val="28"/>
          <w:szCs w:val="28"/>
          <w:lang w:eastAsia="en-US"/>
        </w:rPr>
        <w:instrText xml:space="preserve"> ADDIN ZOTERO_ITEM CSL_CITATION {"citationID":"DaxurF4W","properties":{"formattedCitation":"[57; 58]","plainCitation":"[57; 58]","noteIndex":0},"citationItems":[{"id":654,"uris":["http://zotero.org/users/local/XMo5Fvid/items/6TS3TCN7"],"itemData":{"id":654,"type":"article-journal","abstract":"OBJECTIVE: To compare visual and visual-information processing skills between children with and without mild reading and academic problems and examine the incidence of visual deficits among them.\nMETHOD: Seventy-one seventh graders classified as proficient (n = 46) and nonproficient (n = 25) readers were compared with respect to scores on an accepted vision screening, on tests of visual-perception, visual-motor integration, and academic performance. Further, academic performance and visual-information processing were compared between children who failed and passed the vision screening.\nRESULTS: Visual deficits were found in 68% of the participants, and among significantly more boys than girls. Nonproficient readers had significantly poorer academic performance and vision-screening scores than the proficient readers. Participants who passed the visual screening performed significantly better in visual perception than those who failed.\nCONCLUSION: Visual function significantly distinguishes between children with and without mild academic problems, as well as on visual-perception scores. The high occurrence of visual deficits among participants warrants consideration of vision deficits among schoolchildren with academic performance difficulties.","container-title":"The American Journal of Occupational Therapy: Official Publication of the American Occupational Therapy Association","ISSN":"0272-9490","issue":"4","journalAbbreviation":"Am J Occup Ther","language":"eng","note":"PMID: 16124204","page":"377-389","source":"PubMed","title":"Vision, visual-information processing, and academic performance among seventh-grade schoolchildren: a more significant relationship than we thought?","title-short":"Vision, visual-information processing, and academic performance among seventh-grade schoolchildren","volume":"59","author":[{"family":"Goldstand","given":"Sarina"},{"family":"Koslowe","given":"Kenneth C."},{"family":"Parush","given":"Shula"}],"issued":{"date-parts":[["2005",8]]}},"label":"page"},{"id":656,"uris":["http://zotero.org/users/local/XMo5Fvid/items/YZSDEH9A"],"itemData":{"id":656,"type":"article-journal","abstract":"OBJECTIVES: Up to 20 % of school-age children have a vision problem identifiable by screening, over 80 % of which can be corrected with glasses. While vision problems are associated with poor school performance, few studies describe whether and how corrective lenses affect academic achievement and health. Further, there are virtually no studies exploring how children with correctable visual deficits, their parents, and teachers perceive the connection between vision care and school function.\nMETHODS: We conducted a qualitative evaluation of Vision to Learn (VTL), a school-based program providing free corrective lenses to low-income students in Los Angeles. Nine focus groups with students, parents, and teachers from three schools served by VTL explored the relationships between poor vision, receipt of corrective lenses, and school performance and health.\nRESULTS: Twenty parents, 25 teachers, and 21 students from three elementary schools participated. Participants described how uncorrected visual deficits reduced students' focus, perseverance, and class participation, affecting academic functioning and psychosocial stress; how receiving corrective lenses improved classroom attention, task persistence, and willingness to practice academic skills; and how serving students in school rather than in clinics increased both access to and use of corrective lenses.\nCONCLUSIONS: for Practice Corrective lenses may positively impact families, teachers, and students coping with visual deficits by improving school function and psychosocial wellbeing. Practices that increase ownership and use of glasses, such as serving students in school, may significantly improve both child health and academic performance.","container-title":"Maternal and Child Health Journal","DOI":"10.1007/s10995-015-1882-z","ISSN":"1573-6628","issue":"5","journalAbbreviation":"Matern Child Health J","language":"eng","note":"PMID: 26649878\nPMCID: PMC4826825","page":"974-983","source":"PubMed","title":"Parent, Teacher, and Student Perspectives on How Corrective Lenses Improve Child Wellbeing and School Function","volume":"20","author":[{"family":"Dudovitz","given":"Rebecca N."},{"family":"Izadpanah","given":"Nilufar"},{"family":"Chung","given":"Paul J."},{"family":"Slusser","given":"Wendelin"}],"issued":{"date-parts":[["2016",5]]}},"label":"page"}],"schema":"https://github.com/citation-style-language/schema/raw/master/csl-citation.json"} </w:instrText>
      </w:r>
      <w:r w:rsidR="001B72B9" w:rsidRPr="004804AA">
        <w:rPr>
          <w:rFonts w:eastAsiaTheme="minorHAnsi"/>
          <w:color w:val="000000"/>
          <w:sz w:val="28"/>
          <w:szCs w:val="28"/>
          <w:lang w:eastAsia="en-US"/>
        </w:rPr>
        <w:fldChar w:fldCharType="separate"/>
      </w:r>
      <w:r w:rsidR="00A00EFF" w:rsidRPr="00A00EFF">
        <w:rPr>
          <w:rFonts w:eastAsiaTheme="minorHAnsi"/>
          <w:sz w:val="28"/>
        </w:rPr>
        <w:t>[57; 58]</w:t>
      </w:r>
      <w:r w:rsidR="001B72B9" w:rsidRPr="004804AA">
        <w:rPr>
          <w:rFonts w:eastAsiaTheme="minorHAnsi"/>
          <w:color w:val="000000"/>
          <w:sz w:val="28"/>
          <w:szCs w:val="28"/>
          <w:lang w:eastAsia="en-US"/>
        </w:rPr>
        <w:fldChar w:fldCharType="end"/>
      </w:r>
      <w:r w:rsidR="00EE52E9">
        <w:rPr>
          <w:rFonts w:eastAsiaTheme="minorHAnsi"/>
          <w:color w:val="000000"/>
          <w:sz w:val="28"/>
          <w:szCs w:val="28"/>
          <w:lang w:eastAsia="en-US"/>
        </w:rPr>
        <w:t>.</w:t>
      </w:r>
      <w:r w:rsidR="001B72B9" w:rsidRPr="001B72B9">
        <w:rPr>
          <w:color w:val="000000"/>
          <w:sz w:val="28"/>
          <w:szCs w:val="28"/>
        </w:rPr>
        <w:t xml:space="preserve"> </w:t>
      </w:r>
      <w:r w:rsidR="006A3116" w:rsidRPr="004804AA">
        <w:rPr>
          <w:sz w:val="28"/>
          <w:szCs w:val="28"/>
        </w:rPr>
        <w:t xml:space="preserve">Дети с ранним началом развития близорукости подвержены особому риску осложнений, связанных с </w:t>
      </w:r>
      <w:r w:rsidR="00861D8F">
        <w:rPr>
          <w:sz w:val="28"/>
          <w:szCs w:val="28"/>
        </w:rPr>
        <w:t xml:space="preserve">быстрым </w:t>
      </w:r>
      <w:r w:rsidR="006A3116" w:rsidRPr="004804AA">
        <w:rPr>
          <w:sz w:val="28"/>
          <w:szCs w:val="28"/>
        </w:rPr>
        <w:t>ростом</w:t>
      </w:r>
      <w:r w:rsidR="00861D8F">
        <w:rPr>
          <w:sz w:val="28"/>
          <w:szCs w:val="28"/>
        </w:rPr>
        <w:t xml:space="preserve"> аксиальной длины</w:t>
      </w:r>
      <w:r w:rsidR="006A3116" w:rsidRPr="004804AA">
        <w:rPr>
          <w:sz w:val="28"/>
          <w:szCs w:val="28"/>
        </w:rPr>
        <w:t xml:space="preserve"> глазного яблока, поскольку прогрессирование со временем может привести к миопии высокой степени и офтальмологическим осложнениям, таким как миопическая дегенерация желтого пятна, отслойка сетчатки, глаукома, катаракта, изменения диска зрительного нерва и др</w:t>
      </w:r>
      <w:r w:rsidR="00EE52E9">
        <w:rPr>
          <w:sz w:val="28"/>
          <w:szCs w:val="28"/>
        </w:rPr>
        <w:t xml:space="preserve"> </w:t>
      </w:r>
      <w:r w:rsidR="006A3116" w:rsidRPr="004804AA">
        <w:rPr>
          <w:sz w:val="28"/>
          <w:szCs w:val="28"/>
        </w:rPr>
        <w:fldChar w:fldCharType="begin"/>
      </w:r>
      <w:r w:rsidR="006D2708">
        <w:rPr>
          <w:sz w:val="28"/>
          <w:szCs w:val="28"/>
        </w:rPr>
        <w:instrText xml:space="preserve"> ADDIN ZOTERO_ITEM CSL_CITATION {"citationID":"UWTgqu6e","properties":{"formattedCitation":"[59]","plainCitation":"[59]","noteIndex":0},"citationItems":[{"id":"87BZElRc/9U1hI9vQ","uris":["http://zotero.org/users/local/XMo5Fvid/items/BM3HFXXE"],"itemData":{"id":1451,"type":"article-journal","abstract":"BACKGROUND: Due to high prevalence myopia has gained importance in epidemiological studies. Children with early onset are at particular risk of complications associated with myopia, as progression over time might result in high myopia and myopic macular degeneration. Both genetic and environmental factors play a role in the increasing prevalence of myopia. The aim of this study is to review the current literature on epidemiology and risk factors for myopia in school children (aged 6-19 years) around the world.\nMAIN BODY: PubMed and Medline were searched for the following keywords: prevalence, incidence, myopia, refractive error, risk factors, children and visual impairment. English language articles published between Jan 2013 and Mar 2019 were included in the study. Studies were critically reviewed for study methodology and robustness of data. Eighty studies were included in this literature review. Myopia prevalence remains higher in Asia (60%) compared with Europe (40%) using cycloplegic refraction examinations. Studies reporting on non-cycloplegic measurements show exceptionally high myopia prevalence rates in school children in East Asia (73%), and high rates in North America (42%). Low prevalence under 10% was described in African and South American children. In recent studies, risk factors for myopia in schoolchildren included low outdoor time and near work, dim light exposure, the use of LED lamps for homework, low sleeping hours, reading distance less than 25 cm and living in an urban environment.\nCONCLUSION: Low levels of outdoor activity and near work are well-established risk factors for myopia; this review provides evidence on additional environmental risk factors. New epidemiological studies should be carried out on implementation of public health strategies to tackle and avoid myopia. As the myopia prevalence rates in non-cycloplegic studies are overestimated, we recommend considering only cycloplegic measurements.","container-title":"BMC ophthalmology","DOI":"10.1186/s12886-019-1220-0","ISSN":"1471-2415","issue":"1","journalAbbreviation":"BMC Ophthalmol","language":"eng","note":"PMID: 31937276\nPMCID: PMC6961361","page":"27","source":"PubMed","title":"A review on the epidemiology of myopia in school children worldwide","volume":"20","author":[{"family":"Grzybowski","given":"Andrzej"},{"family":"Kanclerz","given":"Piotr"},{"family":"Tsubota","given":"Kazuo"},{"family":"Lanca","given":"Carla"},{"family":"Saw","given":"Seang-Mei"}],"issued":{"date-parts":[["2020",1,14]]}}}],"schema":"https://github.com/citation-style-language/schema/raw/master/csl-citation.json"} </w:instrText>
      </w:r>
      <w:r w:rsidR="006A3116" w:rsidRPr="004804AA">
        <w:rPr>
          <w:sz w:val="28"/>
          <w:szCs w:val="28"/>
        </w:rPr>
        <w:fldChar w:fldCharType="separate"/>
      </w:r>
      <w:r w:rsidR="00A00EFF" w:rsidRPr="00A00EFF">
        <w:rPr>
          <w:sz w:val="28"/>
        </w:rPr>
        <w:t>[59]</w:t>
      </w:r>
      <w:r w:rsidR="006A3116" w:rsidRPr="004804AA">
        <w:rPr>
          <w:sz w:val="28"/>
          <w:szCs w:val="28"/>
        </w:rPr>
        <w:fldChar w:fldCharType="end"/>
      </w:r>
      <w:r w:rsidR="00EE52E9">
        <w:rPr>
          <w:sz w:val="28"/>
          <w:szCs w:val="28"/>
        </w:rPr>
        <w:t>.</w:t>
      </w:r>
    </w:p>
    <w:p w14:paraId="7C14A4C6" w14:textId="66B5EF6B" w:rsidR="00E95508" w:rsidRPr="004804AA" w:rsidRDefault="00B176AF" w:rsidP="005C37DF">
      <w:pPr>
        <w:pStyle w:val="a4"/>
        <w:ind w:firstLine="709"/>
        <w:jc w:val="both"/>
        <w:rPr>
          <w:rFonts w:ascii="Times New Roman" w:hAnsi="Times New Roman" w:cs="Times New Roman"/>
          <w:color w:val="000000"/>
          <w:sz w:val="28"/>
          <w:szCs w:val="28"/>
        </w:rPr>
      </w:pPr>
      <w:r w:rsidRPr="00B176AF">
        <w:rPr>
          <w:rFonts w:ascii="Times New Roman" w:hAnsi="Times New Roman" w:cs="Times New Roman"/>
          <w:i/>
          <w:iCs/>
          <w:color w:val="000000"/>
          <w:sz w:val="28"/>
          <w:szCs w:val="28"/>
        </w:rPr>
        <w:t>Нарушения рефракции в структуре глобальной слепоты и слабовидения.</w:t>
      </w:r>
      <w:r>
        <w:rPr>
          <w:rFonts w:ascii="Times New Roman" w:hAnsi="Times New Roman" w:cs="Times New Roman"/>
          <w:color w:val="000000"/>
          <w:sz w:val="28"/>
          <w:szCs w:val="28"/>
        </w:rPr>
        <w:t xml:space="preserve"> </w:t>
      </w:r>
      <w:r w:rsidR="00C70AD7" w:rsidRPr="004804AA">
        <w:rPr>
          <w:rFonts w:ascii="Times New Roman" w:hAnsi="Times New Roman" w:cs="Times New Roman"/>
          <w:color w:val="000000"/>
          <w:sz w:val="28"/>
          <w:szCs w:val="28"/>
        </w:rPr>
        <w:t xml:space="preserve">По оценкам Всемирной организации здравоохранения (ВОЗ), </w:t>
      </w:r>
      <w:r w:rsidR="00017D2B">
        <w:rPr>
          <w:rFonts w:ascii="Times New Roman" w:hAnsi="Times New Roman" w:cs="Times New Roman"/>
          <w:color w:val="000000"/>
          <w:sz w:val="28"/>
          <w:szCs w:val="28"/>
        </w:rPr>
        <w:t xml:space="preserve">В </w:t>
      </w:r>
      <w:r w:rsidR="00C70AD7" w:rsidRPr="004804AA">
        <w:rPr>
          <w:rFonts w:ascii="Times New Roman" w:hAnsi="Times New Roman" w:cs="Times New Roman"/>
          <w:color w:val="000000"/>
          <w:sz w:val="28"/>
          <w:szCs w:val="28"/>
        </w:rPr>
        <w:t>2002 году 1% от общего глобального бремени болезней (</w:t>
      </w:r>
      <w:r w:rsidR="00C70AD7" w:rsidRPr="004804AA">
        <w:rPr>
          <w:rFonts w:ascii="Times New Roman" w:hAnsi="Times New Roman" w:cs="Times New Roman"/>
          <w:color w:val="000000"/>
          <w:sz w:val="28"/>
          <w:szCs w:val="28"/>
          <w:lang w:val="en-US"/>
        </w:rPr>
        <w:t>GBD</w:t>
      </w:r>
      <w:r w:rsidR="00C70AD7" w:rsidRPr="004804AA">
        <w:rPr>
          <w:rFonts w:ascii="Times New Roman" w:hAnsi="Times New Roman" w:cs="Times New Roman"/>
          <w:color w:val="000000"/>
          <w:sz w:val="28"/>
          <w:szCs w:val="28"/>
        </w:rPr>
        <w:t>), измеренного в годах жизни с поправкой на инвалидность (DALY), был связан с потерей зрения</w:t>
      </w:r>
      <w:r w:rsidR="00EE52E9">
        <w:rPr>
          <w:rFonts w:ascii="Times New Roman" w:hAnsi="Times New Roman" w:cs="Times New Roman"/>
          <w:color w:val="000000"/>
          <w:sz w:val="28"/>
          <w:szCs w:val="28"/>
        </w:rPr>
        <w:t xml:space="preserve"> </w:t>
      </w:r>
      <w:r w:rsidR="00C70AD7"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{"citationID":"AbBxpf6t","properties":{"formattedCitation":"[60]","plainCitation":"[60]","noteIndex":0},"citationItems":[{"id":1342,"uris":["http://zotero.org/users/local/XMo5Fvid/items/GXBYPRE3"],"itemData":{"id":1342,"type":"document","publisher":"Geneva","title":"World Health Report 2004. Changing History.","author":[{"literal":"World Health Organization"}],"issued":{"date-parts":[["2004"]]}}}],"schema":"https://github.com/citation-style-language/schema/raw/master/csl-citation.json"} </w:instrText>
      </w:r>
      <w:r w:rsidR="00C70AD7"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[60]</w:t>
      </w:r>
      <w:r w:rsidR="00C70AD7" w:rsidRPr="004804AA">
        <w:rPr>
          <w:rFonts w:ascii="Times New Roman" w:hAnsi="Times New Roman" w:cs="Times New Roman"/>
          <w:color w:val="000000"/>
          <w:sz w:val="28"/>
          <w:szCs w:val="28"/>
        </w:rPr>
        <w:fldChar w:fldCharType="end"/>
      </w:r>
      <w:r w:rsidR="00EE52E9">
        <w:rPr>
          <w:rFonts w:ascii="Times New Roman" w:hAnsi="Times New Roman" w:cs="Times New Roman"/>
          <w:color w:val="000000"/>
          <w:sz w:val="28"/>
          <w:szCs w:val="28"/>
        </w:rPr>
        <w:t>.</w:t>
      </w:r>
      <w:r w:rsidR="00C70AD7" w:rsidRPr="004804AA">
        <w:rPr>
          <w:rFonts w:ascii="Times New Roman" w:hAnsi="Times New Roman" w:cs="Times New Roman"/>
          <w:color w:val="000000"/>
          <w:sz w:val="28"/>
          <w:szCs w:val="28"/>
        </w:rPr>
        <w:t xml:space="preserve"> В Докладе о состоянии здравоохранения в мире за 2004 г. 42,7 м</w:t>
      </w:r>
      <w:r w:rsidR="005F77F5">
        <w:rPr>
          <w:rFonts w:ascii="Times New Roman" w:hAnsi="Times New Roman" w:cs="Times New Roman"/>
          <w:color w:val="000000"/>
          <w:sz w:val="28"/>
          <w:szCs w:val="28"/>
        </w:rPr>
        <w:t>лн</w:t>
      </w:r>
      <w:r w:rsidR="00C70AD7" w:rsidRPr="004804AA">
        <w:rPr>
          <w:rFonts w:ascii="Times New Roman" w:hAnsi="Times New Roman" w:cs="Times New Roman"/>
          <w:color w:val="000000"/>
          <w:sz w:val="28"/>
          <w:szCs w:val="28"/>
        </w:rPr>
        <w:t xml:space="preserve"> человек были слепыми и 272,4 м</w:t>
      </w:r>
      <w:r w:rsidR="005F77F5">
        <w:rPr>
          <w:rFonts w:ascii="Times New Roman" w:hAnsi="Times New Roman" w:cs="Times New Roman"/>
          <w:color w:val="000000"/>
          <w:sz w:val="28"/>
          <w:szCs w:val="28"/>
        </w:rPr>
        <w:t>лн</w:t>
      </w:r>
      <w:r w:rsidR="00C70AD7" w:rsidRPr="004804AA">
        <w:rPr>
          <w:rFonts w:ascii="Times New Roman" w:hAnsi="Times New Roman" w:cs="Times New Roman"/>
          <w:color w:val="000000"/>
          <w:sz w:val="28"/>
          <w:szCs w:val="28"/>
        </w:rPr>
        <w:t xml:space="preserve"> </w:t>
      </w:r>
      <w:r w:rsidR="00283E81">
        <w:rPr>
          <w:rFonts w:ascii="Times New Roman" w:hAnsi="Times New Roman" w:cs="Times New Roman"/>
          <w:color w:val="000000"/>
          <w:sz w:val="28"/>
          <w:szCs w:val="28"/>
        </w:rPr>
        <w:t>–</w:t>
      </w:r>
      <w:r w:rsidR="00D16A5B">
        <w:rPr>
          <w:rFonts w:ascii="Times New Roman" w:hAnsi="Times New Roman" w:cs="Times New Roman"/>
          <w:color w:val="000000"/>
          <w:sz w:val="28"/>
          <w:szCs w:val="28"/>
        </w:rPr>
        <w:t xml:space="preserve"> слабовидящими</w:t>
      </w:r>
      <w:r w:rsidR="00283E81">
        <w:rPr>
          <w:rFonts w:ascii="Times New Roman" w:hAnsi="Times New Roman" w:cs="Times New Roman"/>
          <w:color w:val="000000"/>
          <w:sz w:val="28"/>
          <w:szCs w:val="28"/>
        </w:rPr>
        <w:t xml:space="preserve"> </w:t>
      </w:r>
      <w:r w:rsidR="00C70AD7"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{"citationID":"cQCqaA35","properties":{"formattedCitation":"[61]","plainCitation":"[61]","noteIndex":0},"citationItems":[{"id":1488,"uris":["http://zotero.org/users/local/XMo5Fvid/items/Z9HISJNS"],"itemData":{"id":1488,"type":"webpage","container-title":"WHO","note":"publisher: World Health Organization","title":"WHO | The global burden of disease: 2004 update","title-short":"WHO | The global burden of disease","URL":"https://www.who.int/healthinfo/global_burden_disease/2004_report_update/en/","accessed":{"date-parts":[["2021",4,11]]}}}],"schema":"https://github.com/citation-style-language/schema/raw/master/csl-citation.json"} </w:instrText>
      </w:r>
      <w:r w:rsidR="00C70AD7"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[61]</w:t>
      </w:r>
      <w:r w:rsidR="00C70AD7"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F73D5F">
        <w:rPr>
          <w:rFonts w:ascii="Times New Roman" w:hAnsi="Times New Roman" w:cs="Times New Roman"/>
          <w:color w:val="000000"/>
          <w:sz w:val="28"/>
          <w:szCs w:val="28"/>
        </w:rPr>
        <w:t xml:space="preserve"> </w:t>
      </w:r>
      <w:r w:rsidR="00DD1F72">
        <w:rPr>
          <w:rFonts w:ascii="Times New Roman" w:hAnsi="Times New Roman" w:cs="Times New Roman"/>
          <w:color w:val="000000"/>
          <w:sz w:val="28"/>
          <w:szCs w:val="28"/>
        </w:rPr>
        <w:t xml:space="preserve">Важно подчеркнуть, что </w:t>
      </w:r>
      <w:r w:rsidR="00017D2B">
        <w:rPr>
          <w:rFonts w:ascii="Times New Roman" w:hAnsi="Times New Roman" w:cs="Times New Roman"/>
          <w:color w:val="000000"/>
          <w:sz w:val="28"/>
          <w:szCs w:val="28"/>
        </w:rPr>
        <w:t xml:space="preserve">все </w:t>
      </w:r>
      <w:r w:rsidR="00DD1F72">
        <w:rPr>
          <w:rFonts w:ascii="Times New Roman" w:hAnsi="Times New Roman" w:cs="Times New Roman"/>
          <w:color w:val="000000"/>
          <w:sz w:val="28"/>
          <w:szCs w:val="28"/>
        </w:rPr>
        <w:t>э</w:t>
      </w:r>
      <w:r w:rsidR="00F97F9B">
        <w:rPr>
          <w:rFonts w:ascii="Times New Roman" w:hAnsi="Times New Roman" w:cs="Times New Roman"/>
          <w:color w:val="000000"/>
          <w:sz w:val="28"/>
          <w:szCs w:val="28"/>
        </w:rPr>
        <w:t xml:space="preserve">ти </w:t>
      </w:r>
      <w:r w:rsidR="00017D2B">
        <w:rPr>
          <w:rFonts w:ascii="Times New Roman" w:hAnsi="Times New Roman" w:cs="Times New Roman"/>
          <w:color w:val="000000"/>
          <w:sz w:val="28"/>
          <w:szCs w:val="28"/>
        </w:rPr>
        <w:t xml:space="preserve">оценки </w:t>
      </w:r>
      <w:r w:rsidR="00F97F9B">
        <w:rPr>
          <w:rFonts w:ascii="Times New Roman" w:hAnsi="Times New Roman" w:cs="Times New Roman"/>
          <w:color w:val="000000"/>
          <w:sz w:val="28"/>
          <w:szCs w:val="28"/>
        </w:rPr>
        <w:t xml:space="preserve">были основаны на </w:t>
      </w:r>
      <w:r w:rsidR="00C70AD7" w:rsidRPr="004804AA">
        <w:rPr>
          <w:rFonts w:ascii="Times New Roman" w:hAnsi="Times New Roman" w:cs="Times New Roman"/>
          <w:color w:val="000000"/>
          <w:sz w:val="28"/>
          <w:szCs w:val="28"/>
        </w:rPr>
        <w:t>определения</w:t>
      </w:r>
      <w:r w:rsidR="00F97F9B">
        <w:rPr>
          <w:rFonts w:ascii="Times New Roman" w:hAnsi="Times New Roman" w:cs="Times New Roman"/>
          <w:color w:val="000000"/>
          <w:sz w:val="28"/>
          <w:szCs w:val="28"/>
        </w:rPr>
        <w:t>х</w:t>
      </w:r>
      <w:r w:rsidR="00C70AD7" w:rsidRPr="004804AA">
        <w:rPr>
          <w:rFonts w:ascii="Times New Roman" w:hAnsi="Times New Roman" w:cs="Times New Roman"/>
          <w:color w:val="000000"/>
          <w:sz w:val="28"/>
          <w:szCs w:val="28"/>
        </w:rPr>
        <w:t xml:space="preserve"> </w:t>
      </w:r>
      <w:r w:rsidR="001F331C">
        <w:rPr>
          <w:rFonts w:ascii="Times New Roman" w:hAnsi="Times New Roman" w:cs="Times New Roman"/>
          <w:color w:val="000000"/>
          <w:sz w:val="28"/>
          <w:szCs w:val="28"/>
        </w:rPr>
        <w:t>нарушения зрения</w:t>
      </w:r>
      <w:r w:rsidR="00DD1F72">
        <w:rPr>
          <w:rFonts w:ascii="Times New Roman" w:hAnsi="Times New Roman" w:cs="Times New Roman"/>
          <w:color w:val="000000"/>
          <w:sz w:val="28"/>
          <w:szCs w:val="28"/>
        </w:rPr>
        <w:t xml:space="preserve">, </w:t>
      </w:r>
      <w:r w:rsidR="00F97F9B">
        <w:rPr>
          <w:rFonts w:ascii="Times New Roman" w:hAnsi="Times New Roman" w:cs="Times New Roman"/>
          <w:color w:val="000000"/>
          <w:sz w:val="28"/>
          <w:szCs w:val="28"/>
        </w:rPr>
        <w:t>слабовидения</w:t>
      </w:r>
      <w:r w:rsidR="00DD1F72">
        <w:rPr>
          <w:rFonts w:ascii="Times New Roman" w:hAnsi="Times New Roman" w:cs="Times New Roman"/>
          <w:color w:val="000000"/>
          <w:sz w:val="28"/>
          <w:szCs w:val="28"/>
        </w:rPr>
        <w:t xml:space="preserve"> и слепоты</w:t>
      </w:r>
      <w:r w:rsidR="00017D2B">
        <w:rPr>
          <w:rFonts w:ascii="Times New Roman" w:hAnsi="Times New Roman" w:cs="Times New Roman"/>
          <w:color w:val="000000"/>
          <w:sz w:val="28"/>
          <w:szCs w:val="28"/>
        </w:rPr>
        <w:t>,</w:t>
      </w:r>
      <w:r w:rsidR="00DD1F72">
        <w:rPr>
          <w:rFonts w:ascii="Times New Roman" w:hAnsi="Times New Roman" w:cs="Times New Roman"/>
          <w:color w:val="000000"/>
          <w:sz w:val="28"/>
          <w:szCs w:val="28"/>
        </w:rPr>
        <w:t xml:space="preserve"> </w:t>
      </w:r>
      <w:r w:rsidR="00F97F9B">
        <w:rPr>
          <w:rFonts w:ascii="Times New Roman" w:hAnsi="Times New Roman" w:cs="Times New Roman"/>
          <w:color w:val="000000"/>
          <w:sz w:val="28"/>
          <w:szCs w:val="28"/>
        </w:rPr>
        <w:t>внесен</w:t>
      </w:r>
      <w:r w:rsidR="00DD1F72">
        <w:rPr>
          <w:rFonts w:ascii="Times New Roman" w:hAnsi="Times New Roman" w:cs="Times New Roman"/>
          <w:color w:val="000000"/>
          <w:sz w:val="28"/>
          <w:szCs w:val="28"/>
        </w:rPr>
        <w:t>ных</w:t>
      </w:r>
      <w:r w:rsidR="00C70AD7" w:rsidRPr="004804AA">
        <w:rPr>
          <w:rFonts w:ascii="Times New Roman" w:hAnsi="Times New Roman" w:cs="Times New Roman"/>
          <w:color w:val="000000"/>
          <w:sz w:val="28"/>
          <w:szCs w:val="28"/>
        </w:rPr>
        <w:t xml:space="preserve"> </w:t>
      </w:r>
      <w:r w:rsidR="00F97F9B" w:rsidRPr="004804AA">
        <w:rPr>
          <w:rFonts w:ascii="Times New Roman" w:hAnsi="Times New Roman" w:cs="Times New Roman"/>
          <w:color w:val="000000"/>
          <w:sz w:val="28"/>
          <w:szCs w:val="28"/>
        </w:rPr>
        <w:t>исследовательской группой ВОЗ в Международн</w:t>
      </w:r>
      <w:r w:rsidR="00F97F9B">
        <w:rPr>
          <w:rFonts w:ascii="Times New Roman" w:hAnsi="Times New Roman" w:cs="Times New Roman"/>
          <w:color w:val="000000"/>
          <w:sz w:val="28"/>
          <w:szCs w:val="28"/>
        </w:rPr>
        <w:t>ую</w:t>
      </w:r>
      <w:r w:rsidR="00F97F9B" w:rsidRPr="004804AA">
        <w:rPr>
          <w:rFonts w:ascii="Times New Roman" w:hAnsi="Times New Roman" w:cs="Times New Roman"/>
          <w:color w:val="000000"/>
          <w:sz w:val="28"/>
          <w:szCs w:val="28"/>
        </w:rPr>
        <w:t xml:space="preserve"> статистическ</w:t>
      </w:r>
      <w:r w:rsidR="00F97F9B">
        <w:rPr>
          <w:rFonts w:ascii="Times New Roman" w:hAnsi="Times New Roman" w:cs="Times New Roman"/>
          <w:color w:val="000000"/>
          <w:sz w:val="28"/>
          <w:szCs w:val="28"/>
        </w:rPr>
        <w:t>ую</w:t>
      </w:r>
      <w:r w:rsidR="00F97F9B" w:rsidRPr="004804AA">
        <w:rPr>
          <w:rFonts w:ascii="Times New Roman" w:hAnsi="Times New Roman" w:cs="Times New Roman"/>
          <w:color w:val="000000"/>
          <w:sz w:val="28"/>
          <w:szCs w:val="28"/>
        </w:rPr>
        <w:t xml:space="preserve"> классификаци</w:t>
      </w:r>
      <w:r w:rsidR="00F97F9B">
        <w:rPr>
          <w:rFonts w:ascii="Times New Roman" w:hAnsi="Times New Roman" w:cs="Times New Roman"/>
          <w:color w:val="000000"/>
          <w:sz w:val="28"/>
          <w:szCs w:val="28"/>
        </w:rPr>
        <w:t>ю</w:t>
      </w:r>
      <w:r w:rsidR="00F97F9B" w:rsidRPr="004804AA">
        <w:rPr>
          <w:rFonts w:ascii="Times New Roman" w:hAnsi="Times New Roman" w:cs="Times New Roman"/>
          <w:color w:val="000000"/>
          <w:sz w:val="28"/>
          <w:szCs w:val="28"/>
        </w:rPr>
        <w:t xml:space="preserve"> болезней </w:t>
      </w:r>
      <w:r w:rsidR="00F97F9B">
        <w:rPr>
          <w:rFonts w:ascii="Times New Roman" w:hAnsi="Times New Roman" w:cs="Times New Roman"/>
          <w:color w:val="000000"/>
          <w:sz w:val="28"/>
          <w:szCs w:val="28"/>
        </w:rPr>
        <w:t xml:space="preserve">(МКБ) </w:t>
      </w:r>
      <w:r w:rsidR="00C70AD7" w:rsidRPr="004804AA">
        <w:rPr>
          <w:rFonts w:ascii="Times New Roman" w:hAnsi="Times New Roman" w:cs="Times New Roman"/>
          <w:color w:val="000000"/>
          <w:sz w:val="28"/>
          <w:szCs w:val="28"/>
        </w:rPr>
        <w:t>в 1972 году</w:t>
      </w:r>
      <w:r w:rsidR="00283E81">
        <w:rPr>
          <w:rFonts w:ascii="Times New Roman" w:hAnsi="Times New Roman" w:cs="Times New Roman"/>
          <w:color w:val="000000"/>
          <w:sz w:val="28"/>
          <w:szCs w:val="28"/>
        </w:rPr>
        <w:t xml:space="preserve"> </w:t>
      </w:r>
      <w:r w:rsidR="00C70AD7"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{"citationID":"tzt43zwQ","properties":{"formattedCitation":"[62]","plainCitation":"[62]","noteIndex":0},"citationItems":[{"id":1498,"uris":["http://zotero.org/users/local/XMo5Fvid/items/Z6UXIJRG"],"itemData":{"id":1498,"type":"webpage","abstract":"International Classification of Diseases (ICD) Revision","language":"ru","title":"Classification of Diseases (ICD)","URL":"https://www.who.int/standards/classifications/classification-of-diseases","accessed":{"date-parts":[["2021",4,11]]}}}],"schema":"https://github.com/citation-style-language/schema/raw/master/csl-citation.json"} </w:instrText>
      </w:r>
      <w:r w:rsidR="00C70AD7"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[62]</w:t>
      </w:r>
      <w:r w:rsidR="00C70AD7"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C70AD7" w:rsidRPr="004804AA">
        <w:rPr>
          <w:rFonts w:ascii="Times New Roman" w:hAnsi="Times New Roman" w:cs="Times New Roman"/>
          <w:color w:val="000000"/>
          <w:sz w:val="28"/>
          <w:szCs w:val="28"/>
        </w:rPr>
        <w:t xml:space="preserve"> </w:t>
      </w:r>
      <w:r w:rsidR="00DD1F72">
        <w:rPr>
          <w:rFonts w:ascii="Times New Roman" w:hAnsi="Times New Roman" w:cs="Times New Roman"/>
          <w:color w:val="000000"/>
          <w:sz w:val="28"/>
          <w:szCs w:val="28"/>
        </w:rPr>
        <w:t>Существующие</w:t>
      </w:r>
      <w:r w:rsidR="00C46354">
        <w:rPr>
          <w:rFonts w:ascii="Times New Roman" w:hAnsi="Times New Roman" w:cs="Times New Roman"/>
          <w:color w:val="000000"/>
          <w:sz w:val="28"/>
          <w:szCs w:val="28"/>
        </w:rPr>
        <w:t xml:space="preserve"> на тот момент</w:t>
      </w:r>
      <w:r w:rsidR="00DD1F72" w:rsidRPr="004804AA">
        <w:rPr>
          <w:rFonts w:ascii="Times New Roman" w:hAnsi="Times New Roman" w:cs="Times New Roman"/>
          <w:color w:val="000000"/>
          <w:sz w:val="28"/>
          <w:szCs w:val="28"/>
        </w:rPr>
        <w:t xml:space="preserve"> определения были основаны на максимально скорректированной остроте зрения, что исключало неисправленные аномалии рефракции как причину нарушения зрения, и приводило к существенной недооценке общего бремени нарушения зрения</w:t>
      </w:r>
      <w:r w:rsidR="00283E81">
        <w:rPr>
          <w:rFonts w:ascii="Times New Roman" w:hAnsi="Times New Roman" w:cs="Times New Roman"/>
          <w:color w:val="000000"/>
          <w:sz w:val="28"/>
          <w:szCs w:val="28"/>
        </w:rPr>
        <w:t xml:space="preserve"> </w:t>
      </w:r>
      <w:r w:rsidR="00DD1F72"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{"citationID":"ysHG9yEB","properties":{"formattedCitation":"[63]","plainCitation":"[63]","noteIndex":0},"citationItems":[{"id":1520,"uris":["http://zotero.org/users/local/XMo5Fvid/items/76EZWXYQ"],"itemData":{"id":1520,"type":"article-journal","abstract":"BACKGROUND: The existing definitions of visual impairment in the International Statistical Classification of Diseases are based on recommendations made over 30 years ago. New data and knowledge related to visual impairment that have accumulated over this period suggest that these definitions need to be revised.\nDISCUSSION: Three major issues need to be addressed in the revision of these definitions. First, the existing definitions are based on best-corrected visual acuity, which exclude uncorrected refractive error as a cause of visual impairment, leading to substantial underestimation of the total visual impairment burden by about 38%. Second, the cut-off level of visual impairment to define blindness in the International Statistical Classification of Diseases is visual acuity less than 3/60 in the better eye, but with increasing human development the visual acuity requirements are also increasing, suggesting that a level less than 6/60 be used to define blindness. Third, the International Statistical Classification of Diseases uses the term 'low vision' for visual impairment level less than blindness, which causes confusion with the common use of this term for uncorrectable vision requiring aids or rehabilitation, suggesting that alternative terms such as moderate and mild visual impairment would be more appropriate for visual impairment less severe than blindness. We propose a revision of the definitions of visual impairment in the International Statistical Classification of Diseases that addresses these three issues. According to these revised definitions, the number of blind persons in the world defined as presenting visual acuity less than 6/60 in the better eye would be about 57 million as compared with the World Health Organization estimate of 37 million using the existing International Statistical Classification of Diseases definition of best-corrected visual acuity less than 3/60 in the better eye, and the number of persons in the world with moderate visual impairment defined as presenting visual acuity less than 6/18 to 6/60 in the better eye would be about 202 million as compared with the World Health Organization estimate of 124 million persons with low vision defined as best-corrected visual acuity less than 6/18 to 3/60 in the better eye.\nCONCLUSION: Our suggested revision of the visual impairment definitions in the International Statistical Classification of Diseases takes into account advances in the understanding of visual impairment. This revised classification seems more appropriate for estimating and tracking visual impairment in the countries and regions of the world than the existing classification in the International Statistical Classification of Diseases.","container-title":"BMC medicine","DOI":"10.1186/1741-7015-4-7","ISSN":"1741-7015","journalAbbreviation":"BMC Med","language":"eng","note":"PMID: 16539739\nPMCID: PMC1435919","page":"7","source":"PubMed","title":"Revision of visual impairment definitions in the International Statistical Classification of Diseases","volume":"4","author":[{"family":"Dandona","given":"Lalit"},{"family":"Dandona","given":"Rakhi"}],"issued":{"date-parts":[["2006",3,16]]}}}],"schema":"https://github.com/citation-style-language/schema/raw/master/csl-citation.json"} </w:instrText>
      </w:r>
      <w:r w:rsidR="00DD1F72"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[63]</w:t>
      </w:r>
      <w:r w:rsidR="00DD1F72"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DD1F72" w:rsidRPr="004804AA">
        <w:rPr>
          <w:rFonts w:ascii="Times New Roman" w:hAnsi="Times New Roman" w:cs="Times New Roman"/>
          <w:color w:val="000000"/>
          <w:sz w:val="28"/>
          <w:szCs w:val="28"/>
        </w:rPr>
        <w:t xml:space="preserve"> Долгое время масштабы корректируемого нарушения зрения не принимались во внимание, а включение аномалий рефракции в общее бремя нарушений зрения не считали целесообразным, ввиду высокой остроты зрения при коррекции</w:t>
      </w:r>
      <w:r w:rsidR="00283E81">
        <w:rPr>
          <w:rFonts w:ascii="Times New Roman" w:hAnsi="Times New Roman" w:cs="Times New Roman"/>
          <w:color w:val="000000"/>
          <w:sz w:val="28"/>
          <w:szCs w:val="28"/>
        </w:rPr>
        <w:t xml:space="preserve"> </w:t>
      </w:r>
      <w:r w:rsidR="00DD1F72"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{"citationID":"ksjUio26","properties":{"formattedCitation":"[63]","plainCitation":"[63]","noteIndex":0},"citationItems":[{"id":1520,"uris":["http://zotero.org/users/local/XMo5Fvid/items/76EZWXYQ"],"itemData":{"id":1520,"type":"article-journal","abstract":"BACKGROUND: The existing definitions of visual impairment in the International Statistical Classification of Diseases are based on recommendations made over 30 years ago. New data and knowledge related to visual impairment that have accumulated over this period suggest that these definitions need to be revised.\nDISCUSSION: Three major issues need to be addressed in the revision of these definitions. First, the existing definitions are based on best-corrected visual acuity, which exclude uncorrected refractive error as a cause of visual impairment, leading to substantial underestimation of the total visual impairment burden by about 38%. Second, the cut-off level of visual impairment to define blindness in the International Statistical Classification of Diseases is visual acuity less than 3/60 in the better eye, but with increasing human development the visual acuity requirements are also increasing, suggesting that a level less than 6/60 be used to define blindness. Third, the International Statistical Classification of Diseases uses the term 'low vision' for visual impairment level less than blindness, which causes confusion with the common use of this term for uncorrectable vision requiring aids or rehabilitation, suggesting that alternative terms such as moderate and mild visual impairment would be more appropriate for visual impairment less severe than blindness. We propose a revision of the definitions of visual impairment in the International Statistical Classification of Diseases that addresses these three issues. According to these revised definitions, the number of blind persons in the world defined as presenting visual acuity less than 6/60 in the better eye would be about 57 million as compared with the World Health Organization estimate of 37 million using the existing International Statistical Classification of Diseases definition of best-corrected visual acuity less than 3/60 in the better eye, and the number of persons in the world with moderate visual impairment defined as presenting visual acuity less than 6/18 to 6/60 in the better eye would be about 202 million as compared with the World Health Organization estimate of 124 million persons with low vision defined as best-corrected visual acuity less than 6/18 to 3/60 in the better eye.\nCONCLUSION: Our suggested revision of the visual impairment definitions in the International Statistical Classification of Diseases takes into account advances in the understanding of visual impairment. This revised classification seems more appropriate for estimating and tracking visual impairment in the countries and regions of the world than the existing classification in the International Statistical Classification of Diseases.","container-title":"BMC medicine","DOI":"10.1186/1741-7015-4-7","ISSN":"1741-7015","journalAbbreviation":"BMC Med","language":"eng","note":"PMID: 16539739\nPMCID: PMC1435919","page":"7","source":"PubMed","title":"Revision of visual impairment definitions in the International Statistical Classification of Diseases","volume":"4","author":[{"family":"Dandona","given":"Lalit"},{"family":"Dandona","given":"Rakhi"}],"issued":{"date-parts":[["2006",3,16]]}}}],"schema":"https://github.com/citation-style-language/schema/raw/master/csl-citation.json"} </w:instrText>
      </w:r>
      <w:r w:rsidR="00DD1F72"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[63]</w:t>
      </w:r>
      <w:r w:rsidR="00DD1F72"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9F520E">
        <w:rPr>
          <w:rFonts w:ascii="Times New Roman" w:hAnsi="Times New Roman" w:cs="Times New Roman"/>
          <w:color w:val="000000"/>
          <w:sz w:val="28"/>
          <w:szCs w:val="28"/>
        </w:rPr>
        <w:t xml:space="preserve"> </w:t>
      </w:r>
      <w:r w:rsidR="00DD1F72" w:rsidRPr="004804AA">
        <w:rPr>
          <w:rFonts w:ascii="Times New Roman" w:hAnsi="Times New Roman" w:cs="Times New Roman"/>
          <w:color w:val="000000"/>
          <w:sz w:val="28"/>
          <w:szCs w:val="28"/>
        </w:rPr>
        <w:t xml:space="preserve">Таким образом, неучтенной оставалась значительная доля </w:t>
      </w:r>
      <w:r w:rsidR="00017D2B">
        <w:rPr>
          <w:rFonts w:ascii="Times New Roman" w:hAnsi="Times New Roman" w:cs="Times New Roman"/>
          <w:color w:val="000000"/>
          <w:sz w:val="28"/>
          <w:szCs w:val="28"/>
        </w:rPr>
        <w:t xml:space="preserve">мирового </w:t>
      </w:r>
      <w:r w:rsidR="00DD1F72" w:rsidRPr="004804AA">
        <w:rPr>
          <w:rFonts w:ascii="Times New Roman" w:hAnsi="Times New Roman" w:cs="Times New Roman"/>
          <w:color w:val="000000"/>
          <w:sz w:val="28"/>
          <w:szCs w:val="28"/>
        </w:rPr>
        <w:t xml:space="preserve">населения с </w:t>
      </w:r>
      <w:r w:rsidR="00DD1F72" w:rsidRPr="004804AA">
        <w:rPr>
          <w:rFonts w:ascii="Times New Roman" w:hAnsi="Times New Roman" w:cs="Times New Roman"/>
          <w:color w:val="000000"/>
          <w:sz w:val="28"/>
          <w:szCs w:val="28"/>
        </w:rPr>
        <w:lastRenderedPageBreak/>
        <w:t>аномалиями рефракции, что не представляло возможности точной оценки общего числа людей с нарушением зрения во всем мире</w:t>
      </w:r>
      <w:r w:rsidR="00283E81">
        <w:rPr>
          <w:rFonts w:ascii="Times New Roman" w:hAnsi="Times New Roman" w:cs="Times New Roman"/>
          <w:color w:val="000000"/>
          <w:sz w:val="28"/>
          <w:szCs w:val="28"/>
        </w:rPr>
        <w:t xml:space="preserve"> </w:t>
      </w:r>
      <w:r w:rsidR="00DD1F72"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{"citationID":"sOsGUSe9","properties":{"formattedCitation":"[64]","plainCitation":"[64]","noteIndex":0},"citationItems":[{"id":1547,"uris":["http://zotero.org/users/local/XMo5Fvid/items/BZXIDFG4"],"itemData":{"id":1547,"type":"article-journal","abstract":"BACKGROUND: A recent estimate by the World Health Organization (WHO) suggests that 161 million persons worldwide have visual impairment, including 37 million blind (best-corrected visual acuity less than 3/60 in the better eye) and 124 million with visual impairment less severe than blindness (best-corrected acuity less than 6/18 to 3/60 in the better eye). This estimate is quoted widely, but because it is based on definitions using best-corrected visual acuity, uncorrected refractive error as a cause of visual impairment is excluded.\nMETHODS: We reviewed data from population-based surveys of visual impairment worldwide published 1996 onwards that included presenting visual acuity, and estimated the proportion of visual impairment caused by uncorrected refractive error in different sub-regions of the world. We then extrapolated these data to estimate the worldwide burden of visual impairment including that caused by uncorrected refractive error.\nRESULTS: The total number of persons with visual impairment worldwide, including that due to uncorrected refractive error, was estimated as 259 million, 61% higher than the commonly quoted WHO estimate. This includes 42 million persons with blindness defined as presenting visual acuity less than 3/60 in the better eye, and 217 million persons with less severe visual impairment level defined as presenting visual acuity less than 6/18 to 3/60 in the better eye, 14% and 75% higher, respectively, than the WHO estimates based on best-corrected visual acuity. Sensitivity analysis, taking into account the uncertainty of the proportion of visual impairment caused by refractive error, revealed that the number of persons in the world with visual impairment due to uncorrected refractive error could range from 82 to 117 million.\nCONCLUSION: The actual burden of visual impairment worldwide, including that caused by uncorrected refractive error, is substantially higher than the commonly quoted WHO estimate that is based on best-corrected visual acuity. We suggest that the indicative estimate of 259 million persons with visual impairment worldwide, which includes 42 million blind with visual acuity less than 3/60 in the better eye, be used for further planning of the VISION 2020 initiative instead of the often quoted 161 million estimate that includes 37 million blind.","container-title":"BMC medicine","DOI":"10.1186/1741-7015-4-6","ISSN":"1741-7015","journalAbbreviation":"BMC Med","language":"eng","note":"PMID: 16539747\nPMCID: PMC1435918","page":"6","source":"PubMed","title":"What is the global burden of visual impairment?","volume":"4","author":[{"family":"Dandona","given":"Lalit"},{"family":"Dandona","given":"Rakhi"}],"issued":{"date-parts":[["2006",3,16]]}}}],"schema":"https://github.com/citation-style-language/schema/raw/master/csl-citation.json"} </w:instrText>
      </w:r>
      <w:r w:rsidR="00DD1F72"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[64]</w:t>
      </w:r>
      <w:r w:rsidR="00DD1F72"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DD1F72" w:rsidRPr="004804AA">
        <w:rPr>
          <w:rFonts w:ascii="Times New Roman" w:hAnsi="Times New Roman" w:cs="Times New Roman"/>
          <w:color w:val="000000"/>
          <w:sz w:val="28"/>
          <w:szCs w:val="28"/>
        </w:rPr>
        <w:t xml:space="preserve"> </w:t>
      </w:r>
      <w:r w:rsidR="00AC59E0">
        <w:rPr>
          <w:rFonts w:ascii="Times New Roman" w:hAnsi="Times New Roman" w:cs="Times New Roman"/>
          <w:color w:val="000000"/>
          <w:sz w:val="28"/>
          <w:szCs w:val="28"/>
        </w:rPr>
        <w:t xml:space="preserve">И лишь с </w:t>
      </w:r>
      <w:r w:rsidR="008628A6" w:rsidRPr="004804AA">
        <w:rPr>
          <w:rFonts w:ascii="Times New Roman" w:hAnsi="Times New Roman" w:cs="Times New Roman"/>
          <w:color w:val="000000"/>
          <w:sz w:val="28"/>
          <w:szCs w:val="28"/>
        </w:rPr>
        <w:t xml:space="preserve">конца 1990-х годов, получая все новые данные о нарушениях зрения </w:t>
      </w:r>
      <w:r w:rsidR="00AC59E0">
        <w:rPr>
          <w:rFonts w:ascii="Times New Roman" w:hAnsi="Times New Roman" w:cs="Times New Roman"/>
          <w:color w:val="000000"/>
          <w:sz w:val="28"/>
          <w:szCs w:val="28"/>
        </w:rPr>
        <w:t>по причине</w:t>
      </w:r>
      <w:r w:rsidR="00444869">
        <w:rPr>
          <w:rFonts w:ascii="Times New Roman" w:hAnsi="Times New Roman" w:cs="Times New Roman"/>
          <w:color w:val="000000"/>
          <w:sz w:val="28"/>
          <w:szCs w:val="28"/>
        </w:rPr>
        <w:t xml:space="preserve"> </w:t>
      </w:r>
      <w:r w:rsidR="008628A6" w:rsidRPr="004804AA">
        <w:rPr>
          <w:rFonts w:ascii="Times New Roman" w:hAnsi="Times New Roman" w:cs="Times New Roman"/>
          <w:color w:val="000000"/>
          <w:sz w:val="28"/>
          <w:szCs w:val="28"/>
        </w:rPr>
        <w:t xml:space="preserve">аномалий рефракции, исследователи столкнулись с несоответствием текущей ситуации </w:t>
      </w:r>
      <w:r w:rsidR="00017D2B">
        <w:rPr>
          <w:rFonts w:ascii="Times New Roman" w:hAnsi="Times New Roman" w:cs="Times New Roman"/>
          <w:color w:val="000000"/>
          <w:sz w:val="28"/>
          <w:szCs w:val="28"/>
        </w:rPr>
        <w:t>с</w:t>
      </w:r>
      <w:r w:rsidR="008628A6" w:rsidRPr="004804AA">
        <w:rPr>
          <w:rFonts w:ascii="Times New Roman" w:hAnsi="Times New Roman" w:cs="Times New Roman"/>
          <w:color w:val="000000"/>
          <w:sz w:val="28"/>
          <w:szCs w:val="28"/>
        </w:rPr>
        <w:t xml:space="preserve"> общепринятой методикой оценки глобального бремени слабовидения и слепоты</w:t>
      </w:r>
      <w:r w:rsidR="00283E81">
        <w:rPr>
          <w:rFonts w:ascii="Times New Roman" w:hAnsi="Times New Roman" w:cs="Times New Roman"/>
          <w:color w:val="000000"/>
          <w:sz w:val="28"/>
          <w:szCs w:val="28"/>
        </w:rPr>
        <w:t xml:space="preserve"> </w:t>
      </w:r>
      <w:r w:rsidR="008628A6"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{"citationID":"bNUpEX9P","properties":{"formattedCitation":"[65]","plainCitation":"[65]","noteIndex":0},"citationItems":[{"id":1545,"uris":["http://zotero.org/users/local/XMo5Fvid/items/7QXX8R7F"],"itemData":{"id":1545,"type":"article-journal","abstract":"OBJECTIVE: To assess the prevalence and causes of moderate visual impairment in an urban population in southern India.\nDESIGN: Population-based, cross-sectional study.\nPARTICIPANTS: A total of 2522 (85.4% of the eligible) persons of all ages, including 1399 persons 30 years of age or older, from 24 clusters representative of the population of Hyderabad city.\nTESTING: The eligible subjects underwent a detailed ocular evaluation, including logarithm of the minimum angle of resolution (logMAR) visual acuity, refraction, slit-lamp biomicroscopy, applanation tonometry, gonioscopy, cataract grading, and stereoscopic dilated fundus evaluation. Automated threshold visual fields and slit-lamp and fundus photography were done when indicated by standardized criteria.\nMAIN OUTCOME MEASURE: Moderate visual impairment was defined as presenting distance visual acuity less than 20/40 to 20/200 or visual field loss by predefined standardized conservative criteria in the better eye.\nRESULTS: In addition to the 1% prevalence of blindness in this sample reported earlier, moderate visual impairment was present in 303 subjects, an age-gender-adjusted prevalence of 7.2% (95% confidence interval [CI], 4.5%-9.9%; design effect, 2.7). The major cause of moderate visual impairment was refractive error (59.4%, 95% CI, 52.3%-66.5%) followed by cataract (25.3%, 95% CI, 19%-31.6%). Multivariate analysis showed that the prevalence of moderate visual impairment was significantly higher in those 40 years of age or older (odds ratio, 10.9; 95% CI, 8-15) and females (odds ratio, 1.89; 95% CI, 1.41-2.53) and lower in those belonging to the highest socioeconomic status (odds ratio, 0.27; 95% CI, 0.14-0.51). However, because of the pyramidal age distribution of the population, 38.1% of the total moderate visual impairment was present in those younger than 40 years of age. The proportion of moderate visual impairment caused by refractive error was higher in the younger than in the older age groups (P &lt; 0.0001).\nCONCLUSIONS: Projecting the results to the 26.5% urban population of India, there would be 18.4 million (95% CI, 11.5-25.2 million) persons with moderate visual impairment in urban India alone. Refractive error was the major cause of moderate visual impairment in the population studied. The absolute proportion of moderate visual impairment in those younger than 40 years of age was considerable. The eyecare policy of India, apart from dealing with blindness, should address the issue of the relatively easily treatable uncorrected refractive error as the cause of moderate visual impairment in an estimated 10.9 million persons in urban India.","container-title":"Ophthalmology","DOI":"10.1016/S0161-6420(99)90107-0","ISSN":"0161-6420","issue":"3","journalAbbreviation":"Ophthalmology","language":"eng","note":"PMID: 10080205","page":"497-504","source":"PubMed","title":"Burden of moderate visual impairment in an urban population in southern India","volume":"106","author":[{"family":"Dandona","given":"L."},{"family":"Dandona","given":"R."},{"family":"Naduvilath","given":"T. J."},{"family":"McCarty","given":"C. A."},{"family":"Srinivas","given":"M."},{"family":"Mandal","given":"P."},{"family":"Nanda","given":"A."},{"family":"Rao","given":"G. N."}],"issued":{"date-parts":[["1999",3]]}}}],"schema":"https://github.com/citation-style-language/schema/raw/master/csl-citation.json"} </w:instrText>
      </w:r>
      <w:r w:rsidR="008628A6"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[65]</w:t>
      </w:r>
      <w:r w:rsidR="008628A6"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AC59E0">
        <w:rPr>
          <w:rFonts w:ascii="Times New Roman" w:hAnsi="Times New Roman" w:cs="Times New Roman"/>
          <w:color w:val="000000"/>
          <w:sz w:val="28"/>
          <w:szCs w:val="28"/>
        </w:rPr>
        <w:t xml:space="preserve"> </w:t>
      </w:r>
      <w:r w:rsidR="00017D2B">
        <w:rPr>
          <w:rFonts w:ascii="Times New Roman" w:hAnsi="Times New Roman" w:cs="Times New Roman"/>
          <w:color w:val="000000"/>
          <w:sz w:val="28"/>
          <w:szCs w:val="28"/>
        </w:rPr>
        <w:t xml:space="preserve">В связи с этим </w:t>
      </w:r>
      <w:r w:rsidR="005E3845" w:rsidRPr="004804AA">
        <w:rPr>
          <w:rFonts w:ascii="Times New Roman" w:hAnsi="Times New Roman" w:cs="Times New Roman"/>
          <w:color w:val="000000"/>
          <w:sz w:val="28"/>
          <w:szCs w:val="28"/>
        </w:rPr>
        <w:t>в 2004, 2010 и 2013 годах</w:t>
      </w:r>
      <w:r w:rsidR="005E3845">
        <w:rPr>
          <w:rFonts w:ascii="Times New Roman" w:hAnsi="Times New Roman" w:cs="Times New Roman"/>
          <w:color w:val="000000"/>
          <w:sz w:val="28"/>
          <w:szCs w:val="28"/>
        </w:rPr>
        <w:t xml:space="preserve"> </w:t>
      </w:r>
      <w:r w:rsidR="005E3845" w:rsidRPr="004804AA">
        <w:rPr>
          <w:rFonts w:ascii="Times New Roman" w:hAnsi="Times New Roman" w:cs="Times New Roman"/>
          <w:color w:val="000000"/>
          <w:sz w:val="28"/>
          <w:szCs w:val="28"/>
        </w:rPr>
        <w:t xml:space="preserve">были опубликованы </w:t>
      </w:r>
      <w:r w:rsidR="005E3845">
        <w:rPr>
          <w:rFonts w:ascii="Times New Roman" w:hAnsi="Times New Roman" w:cs="Times New Roman"/>
          <w:color w:val="000000"/>
          <w:sz w:val="28"/>
          <w:szCs w:val="28"/>
        </w:rPr>
        <w:t>п</w:t>
      </w:r>
      <w:r w:rsidR="00583833" w:rsidRPr="004804AA">
        <w:rPr>
          <w:rFonts w:ascii="Times New Roman" w:hAnsi="Times New Roman" w:cs="Times New Roman"/>
          <w:color w:val="000000"/>
          <w:sz w:val="28"/>
          <w:szCs w:val="28"/>
        </w:rPr>
        <w:t>ересмотренные оценки количества людей с нарушениями зрения, включа</w:t>
      </w:r>
      <w:r w:rsidR="005E3845">
        <w:rPr>
          <w:rFonts w:ascii="Times New Roman" w:hAnsi="Times New Roman" w:cs="Times New Roman"/>
          <w:color w:val="000000"/>
          <w:sz w:val="28"/>
          <w:szCs w:val="28"/>
        </w:rPr>
        <w:t xml:space="preserve">ющие в себя </w:t>
      </w:r>
      <w:r w:rsidR="00583833" w:rsidRPr="004804AA">
        <w:rPr>
          <w:rFonts w:ascii="Times New Roman" w:hAnsi="Times New Roman" w:cs="Times New Roman"/>
          <w:color w:val="000000"/>
          <w:sz w:val="28"/>
          <w:szCs w:val="28"/>
        </w:rPr>
        <w:t>неисправленную аномалию рефракции</w:t>
      </w:r>
      <w:r w:rsidR="00283E81">
        <w:rPr>
          <w:rFonts w:ascii="Times New Roman" w:hAnsi="Times New Roman" w:cs="Times New Roman"/>
          <w:color w:val="000000"/>
          <w:sz w:val="28"/>
          <w:szCs w:val="28"/>
        </w:rPr>
        <w:t xml:space="preserve"> </w:t>
      </w:r>
      <w:r w:rsidR="00583833"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czB2cHQm","properties":{"formattedCitation":"[66\\uc0\\u8211{}69]","plainCitation":"[66–69]","noteIndex":0},"citationItems":[{"id":1319,"uris":["http://zotero.org/users/local/XMo5Fvid/items/V48PXDT5"],"itemData":{"id":1319,"type":"article-journal","abstract":"Аннотация\nЦель На основе самых последних данных была произведена оценка масштабов нарушения зрения и его причин в 2010 г. в глобальном масштабе и по регионам ВОЗ. Определения нарушения зрения - это текущие определения представления зрения в Международной классификации болезней версии 10.\nМетоды. Был проведен систематический обзор опубликованных и неопубликованных исследований с 2000 г. по настоящее время. Для стран, не имеющих данных о нарушениях зрения, оценки основывались на недавно разработанных методах условного исчисления, которые в качестве косвенного показателя принимали во внимание экономический статус страны.\nРезультаты. Обзоры из 39 стран соответствовали критериям включения в это исследование. Во всем мире количество людей с нарушениями зрения всех возрастов оценивается в 285 миллионов, из которых 39 миллионов являются слепыми, с погрешностями в 10–20%. Люди 50 лет и старше составляют 65% и 82% слепых и слабовидящих соответственно. Основными причинами нарушения зрения являются неисправленные аномалии рефракции (43%), за которыми следует катаракта (33%); первая причина слепоты - катаракта (51%).\nЗаключение Это исследование показывает, что нарушение зрения в 2010 г. является серьезной проблемой для здоровья, которая неравномерно распределена между регионами ВОЗ; предотвратимые причины составляют до 80% от общего глобального бремени.","container-title":"British Journal of Ophthalmology","DOI":"10.1136/bjophthalmol-2011-300539","ISSN":"0007-1161, 1468-2079","issue":"5","language":"en","license":"© 2012, Published by the BMJ Publishing Group Limited. For permission to use (where not already granted under a licence) please go to http://group.bmj.com/group/rights-licensing/permissions.","note":"publisher: BMJ Publishing Group Ltd\nsection: Global issues\nPMID: 22133988","page":"614-618","source":"bjo.bmj.com","title":"Global estimates of visual impairment: 2010","title-short":"Global estimates of visual impairment","volume":"96","author":[{"family":"Pascolini","given":"Donatella"},{"family":"Mariotti","given":"Silvio Paolo"}],"issued":{"date-parts":[["2012",5,1]]}},"label":"page"},{"id":1503,"uris":["http://zotero.org/users/local/XMo5Fvid/items/HG6C9BCR"],"itemData":{"id":1503,"type":"article-journal","abstract":"BACKGROUND: Data on causes of vision impairment and blindness are important for development of public health policies, but comprehensive analysis of change in prevalence over time is lacking.\nMETHODS: We did a systematic analysis of published and unpublished data on the causes of blindness (visual acuity in the better eye less than 3/60) and moderate and severe vision impairment ([MSVI] visual acuity in the better eye less than 6/18 but at least 3/60) from 1980 to 2012. We estimated the proportions of overall vision impairment attributable to cataract, glaucoma, macular degeneration, diabetic retinopathy, trachoma, and uncorrected refractive error in 1990-2010 by age, geographical region, and year.\nFINDINGS: In 2010, 65% (95% uncertainty interval [UI] 61-68) of 32·4 million blind people and 76% (73-79) of 191 million people with MSVI worldwide had a preventable or treatable cause, compared with 68% (95% UI 65-70) of 31·8 million and 80% (78-83) of 172 million in 1990. Leading causes worldwide in 1990 and 2010 for blindness were cataract (39% and 33%, respectively), uncorrected refractive error (20% and 21%), and macular degeneration (5% and 7%), and for MSVI were uncorrected refractive error (51% and 53%), cataract (26% and 18%), and macular degeneration (2% and 3%). Causes of blindness varied substantially by region. Worldwide and in all regions more women than men were blind or had MSVI due to cataract and macular degeneration.\nINTERPRETATION: The differences and temporal changes we found in causes of blindness and MSVI have implications for planning and resource allocation in eye care.\nFUNDING: Bill &amp; Melinda Gates Foundation, Fight for Sight, Fred Hollows Foundation, and Brien Holden Vision Institute.","container-title":"The Lancet. Global Health","DOI":"10.1016/S2214-109X(13)70113-X","ISSN":"2214-109X","issue":"6","journalAbbreviation":"Lancet Glob Health","language":"eng","note":"PMID: 25104599","page":"e339-349","source":"PubMed","title":"Causes of vision loss worldwide, 1990-2010: a systematic analysis","title-short":"Causes of vision loss worldwide, 1990-2010","volume":"1","author":[{"family":"Bourne","given":"Rupert R. A."},{"family":"Stevens","given":"Gretchen A."},{"family":"White","given":"Richard A."},{"family":"Smith","given":"Jennifer L."},{"family":"Flaxman","given":"Seth R."},{"family":"Price","given":"Holly"},{"family":"Jonas","given":"Jost B."},{"family":"Keeffe","given":"Jill"},{"family":"Leasher","given":"Janet"},{"family":"Naidoo","given":"Kovin"},{"family":"Pesudovs","given":"Konrad"},{"family":"Resnikoff","given":"Serge"},{"family":"Taylor","given":"Hugh R."},{"literal":"Vision Loss Expert Group"}],"issued":{"date-parts":[["2013",12]]}},"label":"page"},{"id":1500,"uris":["http://zotero.org/users/local/XMo5Fvid/items/AIKB2JF6"],"itemData":{"id":1500,"type":"article-journal","abstract":"Estimates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P."}],"issued":{"date-parts":[["2008",1]]}},"label":"page"},{"id":1506,"uris":["http://zotero.org/users/local/XMo5Fvid/items/4RWLTJNU"],"itemData":{"id":1506,"type":"article-journal","container-title":"Bulletin of the World Health Organization","DOI":"10.2471/BLT.15.156844","ISSN":"0042-9686","issue":"10","journalAbbreviation":"Bull World Health Organ","note":"PMID: 26600605\nPMCID: PMC4645442","page":"667","source":"PubMed Central","title":"Towards better estimates of uncorrected presbyopia","volume":"93","author":[{"family":"Holden","given":"Brien A"},{"family":"Tahhan","given":"Nina"},{"family":"Jong","given":"Monica"},{"family":"Wilson","given":"David A"},{"family":"Fricke","given":"Timothy R"},{"family":"Bourne","given":"Rupert"},{"family":"Resnikoff","given":"Serge"}],"issued":{"date-parts":[["2015",10,1]]}},"label":"page"}],"schema":"https://github.com/citation-style-language/schema/raw/master/csl-citation.json"} </w:instrText>
      </w:r>
      <w:r w:rsidR="00583833"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szCs w:val="24"/>
        </w:rPr>
        <w:t>[66–69]</w:t>
      </w:r>
      <w:r w:rsidR="00583833"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583833" w:rsidRPr="004804AA">
        <w:rPr>
          <w:rFonts w:ascii="Times New Roman" w:hAnsi="Times New Roman" w:cs="Times New Roman"/>
          <w:color w:val="000000"/>
          <w:sz w:val="28"/>
          <w:szCs w:val="28"/>
        </w:rPr>
        <w:t xml:space="preserve"> Впервые в систематическом обзоре и мета</w:t>
      </w:r>
      <w:r w:rsidR="00370636">
        <w:rPr>
          <w:rFonts w:ascii="Times New Roman" w:hAnsi="Times New Roman" w:cs="Times New Roman"/>
          <w:color w:val="000000"/>
          <w:sz w:val="28"/>
          <w:szCs w:val="28"/>
        </w:rPr>
        <w:t>-</w:t>
      </w:r>
      <w:r w:rsidR="00583833" w:rsidRPr="004804AA">
        <w:rPr>
          <w:rFonts w:ascii="Times New Roman" w:hAnsi="Times New Roman" w:cs="Times New Roman"/>
          <w:color w:val="000000"/>
          <w:sz w:val="28"/>
          <w:szCs w:val="28"/>
        </w:rPr>
        <w:t xml:space="preserve">анализе </w:t>
      </w:r>
      <w:r w:rsidR="00BF5732">
        <w:rPr>
          <w:rFonts w:ascii="Times New Roman" w:hAnsi="Times New Roman" w:cs="Times New Roman"/>
          <w:color w:val="000000"/>
          <w:sz w:val="28"/>
          <w:szCs w:val="28"/>
          <w:lang w:val="en-US"/>
        </w:rPr>
        <w:t>G</w:t>
      </w:r>
      <w:r w:rsidR="00583833" w:rsidRPr="004804AA">
        <w:rPr>
          <w:rFonts w:ascii="Times New Roman" w:hAnsi="Times New Roman" w:cs="Times New Roman"/>
          <w:color w:val="000000"/>
          <w:sz w:val="28"/>
          <w:szCs w:val="28"/>
          <w:lang w:val="en-US"/>
        </w:rPr>
        <w:t>BD</w:t>
      </w:r>
      <w:r w:rsidR="00C93EF2">
        <w:rPr>
          <w:rFonts w:ascii="Times New Roman" w:hAnsi="Times New Roman" w:cs="Times New Roman"/>
          <w:color w:val="000000"/>
          <w:sz w:val="28"/>
          <w:szCs w:val="28"/>
        </w:rPr>
        <w:t>-</w:t>
      </w:r>
      <w:r w:rsidR="00583833" w:rsidRPr="004804AA">
        <w:rPr>
          <w:rFonts w:ascii="Times New Roman" w:hAnsi="Times New Roman" w:cs="Times New Roman"/>
          <w:color w:val="000000"/>
          <w:sz w:val="28"/>
          <w:szCs w:val="28"/>
        </w:rPr>
        <w:t>2010 было проведено различие между «имеющейся» и «максимально скорректированной» остротой зрения, что позволило анализировать и то, и другое в глобальном масштабе</w:t>
      </w:r>
      <w:r w:rsidR="00283E81">
        <w:rPr>
          <w:rFonts w:ascii="Times New Roman" w:hAnsi="Times New Roman" w:cs="Times New Roman"/>
          <w:color w:val="000000"/>
          <w:sz w:val="28"/>
          <w:szCs w:val="28"/>
        </w:rPr>
        <w:t xml:space="preserve"> </w:t>
      </w:r>
      <w:r w:rsidR="00583833"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{"citationID":"q0haIVgJ","properties":{"formattedCitation":"[70]","plainCitation":"[70]","noteIndex":0},"citationItems":[{"id":1332,"uris":["http://zotero.org/users/local/XMo5Fvid/items/GDCNCL4E"],"itemData":{"id":1332,"type":"article-journal","abstract":"To describe a systematic review of population-based prevalence studies of visual impairment (VI) and blindness worldwide over the past 32 years that informs the Global Burden of Diseases, Injuries and Risk Factors Study.A systematic review (Stage 1) of ...","container-title":"Ophthalmic epidemiology","DOI":"10.3109/09286586.2012.741279","ISSN":"0928-6586","issue":"1","language":"en","note":"publisher: NIH Public Access\nPMID: 23350553","page":"33","source":"www.ncbi.nlm.nih.gov","title":"New Systematic Review Methodology for Visual Impairment and Blindness for the 2010 Global Burden of Disease Study","volume":"20","author":[{"family":"Bourne","given":"Rupert"},{"family":"Price","given":"Holly"},{"family":"Taylor","given":"Hugh"},{"family":"Leasher","given":"Janet"},{"family":"Keeffe","given":"Jill"},{"family":"Glanville","given":"Julie"},{"family":"Sieving","given":"Pamela C."},{"family":"Khairallah","given":"Moncef"},{"family":"Wong","given":"Tien Yin"},{"family":"Zheng","given":"Yingfeng"},{"family":"Mathew","given":"Anu"},{"family":"Katiyar","given":"Suchitra"},{"family":"Mascarenhas","given":"Maya"},{"family":"Stevens","given":"Gretchen A."},{"family":"Resnikoff","given":"Serge"},{"family":"Gichuhi","given":"Stephen"},{"family":"Naidoo","given":"Kovin"},{"family":"Wallace","given":"Diane"},{"family":"Kymes","given":"Steven"},{"family":"Peters","given":"Colleen"},{"family":"Pesudovs","given":"Konrad"},{"family":"Braithwaite","given":"Tasanee"},{"family":"Limburg","given":"Hans"},{"family":"Group*","given":"On behalf of the Global Burden of Disease Vision Loss Expert"}],"issued":{"date-parts":[["2013"]]}}}],"schema":"https://github.com/citation-style-language/schema/raw/master/csl-citation.json"} </w:instrText>
      </w:r>
      <w:r w:rsidR="00583833"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[70]</w:t>
      </w:r>
      <w:r w:rsidR="00583833"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583833" w:rsidRPr="004804AA">
        <w:rPr>
          <w:rFonts w:ascii="Times New Roman" w:hAnsi="Times New Roman" w:cs="Times New Roman"/>
          <w:color w:val="000000"/>
          <w:sz w:val="28"/>
          <w:szCs w:val="28"/>
        </w:rPr>
        <w:t xml:space="preserve"> В результате данного пересмотра не</w:t>
      </w:r>
      <w:r w:rsidR="006358AB">
        <w:rPr>
          <w:rFonts w:ascii="Times New Roman" w:hAnsi="Times New Roman" w:cs="Times New Roman"/>
          <w:color w:val="000000"/>
          <w:sz w:val="28"/>
          <w:szCs w:val="28"/>
        </w:rPr>
        <w:t>с</w:t>
      </w:r>
      <w:r w:rsidR="00583833" w:rsidRPr="004804AA">
        <w:rPr>
          <w:rFonts w:ascii="Times New Roman" w:hAnsi="Times New Roman" w:cs="Times New Roman"/>
          <w:color w:val="000000"/>
          <w:sz w:val="28"/>
          <w:szCs w:val="28"/>
        </w:rPr>
        <w:t>корректированн</w:t>
      </w:r>
      <w:r w:rsidR="006358AB">
        <w:rPr>
          <w:rFonts w:ascii="Times New Roman" w:hAnsi="Times New Roman" w:cs="Times New Roman"/>
          <w:color w:val="000000"/>
          <w:sz w:val="28"/>
          <w:szCs w:val="28"/>
        </w:rPr>
        <w:t xml:space="preserve">ые нарушения рефракции </w:t>
      </w:r>
      <w:r w:rsidR="00583833" w:rsidRPr="004804AA">
        <w:rPr>
          <w:rFonts w:ascii="Times New Roman" w:hAnsi="Times New Roman" w:cs="Times New Roman"/>
          <w:color w:val="000000"/>
          <w:sz w:val="28"/>
          <w:szCs w:val="28"/>
        </w:rPr>
        <w:t>(URE) был</w:t>
      </w:r>
      <w:r w:rsidR="006358AB">
        <w:rPr>
          <w:rFonts w:ascii="Times New Roman" w:hAnsi="Times New Roman" w:cs="Times New Roman"/>
          <w:color w:val="000000"/>
          <w:sz w:val="28"/>
          <w:szCs w:val="28"/>
        </w:rPr>
        <w:t>и</w:t>
      </w:r>
      <w:r w:rsidR="00583833" w:rsidRPr="004804AA">
        <w:rPr>
          <w:rFonts w:ascii="Times New Roman" w:hAnsi="Times New Roman" w:cs="Times New Roman"/>
          <w:color w:val="000000"/>
          <w:sz w:val="28"/>
          <w:szCs w:val="28"/>
        </w:rPr>
        <w:t xml:space="preserve"> выделен</w:t>
      </w:r>
      <w:r w:rsidR="006358AB">
        <w:rPr>
          <w:rFonts w:ascii="Times New Roman" w:hAnsi="Times New Roman" w:cs="Times New Roman"/>
          <w:color w:val="000000"/>
          <w:sz w:val="28"/>
          <w:szCs w:val="28"/>
        </w:rPr>
        <w:t>ы</w:t>
      </w:r>
      <w:r w:rsidR="00583833" w:rsidRPr="004804AA">
        <w:rPr>
          <w:rFonts w:ascii="Times New Roman" w:hAnsi="Times New Roman" w:cs="Times New Roman"/>
          <w:color w:val="000000"/>
          <w:sz w:val="28"/>
          <w:szCs w:val="28"/>
        </w:rPr>
        <w:t xml:space="preserve"> </w:t>
      </w:r>
      <w:r w:rsidR="006358AB">
        <w:rPr>
          <w:rFonts w:ascii="Times New Roman" w:hAnsi="Times New Roman" w:cs="Times New Roman"/>
          <w:color w:val="000000"/>
          <w:sz w:val="28"/>
          <w:szCs w:val="28"/>
        </w:rPr>
        <w:t xml:space="preserve">в качестве </w:t>
      </w:r>
      <w:r w:rsidR="00583833" w:rsidRPr="004804AA">
        <w:rPr>
          <w:rFonts w:ascii="Times New Roman" w:hAnsi="Times New Roman" w:cs="Times New Roman"/>
          <w:color w:val="000000"/>
          <w:sz w:val="28"/>
          <w:szCs w:val="28"/>
        </w:rPr>
        <w:t>основн</w:t>
      </w:r>
      <w:r w:rsidR="006358AB">
        <w:rPr>
          <w:rFonts w:ascii="Times New Roman" w:hAnsi="Times New Roman" w:cs="Times New Roman"/>
          <w:color w:val="000000"/>
          <w:sz w:val="28"/>
          <w:szCs w:val="28"/>
        </w:rPr>
        <w:t>ой</w:t>
      </w:r>
      <w:r w:rsidR="00583833" w:rsidRPr="004804AA">
        <w:rPr>
          <w:rFonts w:ascii="Times New Roman" w:hAnsi="Times New Roman" w:cs="Times New Roman"/>
          <w:color w:val="000000"/>
          <w:sz w:val="28"/>
          <w:szCs w:val="28"/>
        </w:rPr>
        <w:t xml:space="preserve"> причин</w:t>
      </w:r>
      <w:r w:rsidR="006358AB">
        <w:rPr>
          <w:rFonts w:ascii="Times New Roman" w:hAnsi="Times New Roman" w:cs="Times New Roman"/>
          <w:color w:val="000000"/>
          <w:sz w:val="28"/>
          <w:szCs w:val="28"/>
        </w:rPr>
        <w:t>ы</w:t>
      </w:r>
      <w:r w:rsidR="00583833" w:rsidRPr="004804AA">
        <w:rPr>
          <w:rFonts w:ascii="Times New Roman" w:hAnsi="Times New Roman" w:cs="Times New Roman"/>
          <w:color w:val="000000"/>
          <w:sz w:val="28"/>
          <w:szCs w:val="28"/>
        </w:rPr>
        <w:t xml:space="preserve"> </w:t>
      </w:r>
      <w:r w:rsidR="006358AB">
        <w:rPr>
          <w:rFonts w:ascii="Times New Roman" w:hAnsi="Times New Roman" w:cs="Times New Roman"/>
          <w:color w:val="000000"/>
          <w:sz w:val="28"/>
          <w:szCs w:val="28"/>
        </w:rPr>
        <w:t>нарушения зрения</w:t>
      </w:r>
      <w:r w:rsidR="00583833" w:rsidRPr="004804AA">
        <w:rPr>
          <w:rFonts w:ascii="Times New Roman" w:hAnsi="Times New Roman" w:cs="Times New Roman"/>
          <w:color w:val="000000"/>
          <w:sz w:val="28"/>
          <w:szCs w:val="28"/>
        </w:rPr>
        <w:t xml:space="preserve"> во всем мире и втор</w:t>
      </w:r>
      <w:r w:rsidR="006358AB">
        <w:rPr>
          <w:rFonts w:ascii="Times New Roman" w:hAnsi="Times New Roman" w:cs="Times New Roman"/>
          <w:color w:val="000000"/>
          <w:sz w:val="28"/>
          <w:szCs w:val="28"/>
        </w:rPr>
        <w:t>ой</w:t>
      </w:r>
      <w:r w:rsidR="00583833" w:rsidRPr="004804AA">
        <w:rPr>
          <w:rFonts w:ascii="Times New Roman" w:hAnsi="Times New Roman" w:cs="Times New Roman"/>
          <w:color w:val="000000"/>
          <w:sz w:val="28"/>
          <w:szCs w:val="28"/>
        </w:rPr>
        <w:t xml:space="preserve"> ведущ</w:t>
      </w:r>
      <w:r w:rsidR="006358AB">
        <w:rPr>
          <w:rFonts w:ascii="Times New Roman" w:hAnsi="Times New Roman" w:cs="Times New Roman"/>
          <w:color w:val="000000"/>
          <w:sz w:val="28"/>
          <w:szCs w:val="28"/>
        </w:rPr>
        <w:t>ей</w:t>
      </w:r>
      <w:r w:rsidR="00583833" w:rsidRPr="004804AA">
        <w:rPr>
          <w:rFonts w:ascii="Times New Roman" w:hAnsi="Times New Roman" w:cs="Times New Roman"/>
          <w:color w:val="000000"/>
          <w:sz w:val="28"/>
          <w:szCs w:val="28"/>
        </w:rPr>
        <w:t xml:space="preserve"> причин</w:t>
      </w:r>
      <w:r w:rsidR="006358AB">
        <w:rPr>
          <w:rFonts w:ascii="Times New Roman" w:hAnsi="Times New Roman" w:cs="Times New Roman"/>
          <w:color w:val="000000"/>
          <w:sz w:val="28"/>
          <w:szCs w:val="28"/>
        </w:rPr>
        <w:t>ой</w:t>
      </w:r>
      <w:r w:rsidR="00583833" w:rsidRPr="004804AA">
        <w:rPr>
          <w:rFonts w:ascii="Times New Roman" w:hAnsi="Times New Roman" w:cs="Times New Roman"/>
          <w:color w:val="000000"/>
          <w:sz w:val="28"/>
          <w:szCs w:val="28"/>
        </w:rPr>
        <w:t xml:space="preserve"> слепоты </w:t>
      </w:r>
      <w:r w:rsidR="006358AB">
        <w:rPr>
          <w:rFonts w:ascii="Times New Roman" w:hAnsi="Times New Roman" w:cs="Times New Roman"/>
          <w:color w:val="000000"/>
          <w:sz w:val="28"/>
          <w:szCs w:val="28"/>
        </w:rPr>
        <w:t xml:space="preserve">в мире </w:t>
      </w:r>
      <w:r w:rsidR="00583833" w:rsidRPr="004804AA">
        <w:rPr>
          <w:rFonts w:ascii="Times New Roman" w:hAnsi="Times New Roman" w:cs="Times New Roman"/>
          <w:color w:val="000000"/>
          <w:sz w:val="28"/>
          <w:szCs w:val="28"/>
        </w:rPr>
        <w:t>после катаракты</w:t>
      </w:r>
      <w:r w:rsidR="00283E81">
        <w:rPr>
          <w:rFonts w:ascii="Times New Roman" w:hAnsi="Times New Roman" w:cs="Times New Roman"/>
          <w:color w:val="000000"/>
          <w:sz w:val="28"/>
          <w:szCs w:val="28"/>
        </w:rPr>
        <w:t xml:space="preserve"> </w:t>
      </w:r>
      <w:r w:rsidR="00583833"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{"citationID":"1CodjzHJ","properties":{"formattedCitation":"[68]","plainCitation":"[68]","noteIndex":0},"citationItems":[{"id":1500,"uris":["http://zotero.org/users/local/XMo5Fvid/items/AIKB2JF6"],"itemData":{"id":1500,"type":"article-journal","abstract":"Estimates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P."}],"issued":{"date-parts":[["2008",1]]}}}],"schema":"https://github.com/citation-style-language/schema/raw/master/csl-citation.json"} </w:instrText>
      </w:r>
      <w:r w:rsidR="00583833"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[68]</w:t>
      </w:r>
      <w:r w:rsidR="00583833"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583833" w:rsidRPr="004804AA">
        <w:rPr>
          <w:rFonts w:ascii="Times New Roman" w:hAnsi="Times New Roman" w:cs="Times New Roman"/>
          <w:color w:val="000000"/>
          <w:sz w:val="28"/>
          <w:szCs w:val="28"/>
        </w:rPr>
        <w:t xml:space="preserve"> </w:t>
      </w:r>
      <w:r w:rsidR="00E96421" w:rsidRPr="004804AA">
        <w:rPr>
          <w:rFonts w:ascii="Times New Roman" w:hAnsi="Times New Roman" w:cs="Times New Roman"/>
          <w:color w:val="000000"/>
          <w:sz w:val="28"/>
          <w:szCs w:val="28"/>
        </w:rPr>
        <w:t>Добавление числа слепых и слабовидящих из-за аномалий рефракции к числу слепых и слабовидящих из-за других болезней глаз практически удвоило цифры глобального бремени слепоты и нарушений зрения и заставило пересмотреть критерии глобальной оценки слабовидения и слепоты</w:t>
      </w:r>
      <w:r w:rsidR="00283E81">
        <w:rPr>
          <w:rFonts w:ascii="Times New Roman" w:hAnsi="Times New Roman" w:cs="Times New Roman"/>
          <w:color w:val="000000"/>
          <w:sz w:val="28"/>
          <w:szCs w:val="28"/>
        </w:rPr>
        <w:t xml:space="preserve"> </w:t>
      </w:r>
      <w:r w:rsidR="00E96421"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{"citationID":"qVIZUXJ2","properties":{"formattedCitation":"[71]","plainCitation":"[71]","noteIndex":0},"citationItems":[{"id":1542,"uris":["http://zotero.org/users/local/XMo5Fvid/items/693MRJGZ"],"itemData":{"id":1542,"type":"article-journal","container-title":"Community Eye Health","ISSN":"0953-6833","issue":"63","journalAbbreviation":"Community Eye Health","note":"PMID: 17971908\nPMCID: PMC2040245","page":"37-39","source":"PubMed Central","title":"Uncorrected refractive error: the major and most easily avoidable cause of vision loss","title-short":"Uncorrected refractive error","volume":"20","issued":{"date-parts":[["2007",9]]}}}],"schema":"https://github.com/citation-style-language/schema/raw/master/csl-citation.json"} </w:instrText>
      </w:r>
      <w:r w:rsidR="00E96421"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[71]</w:t>
      </w:r>
      <w:r w:rsidR="00E96421"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4963A0" w:rsidRPr="004804AA">
        <w:rPr>
          <w:rFonts w:ascii="Times New Roman" w:hAnsi="Times New Roman" w:cs="Times New Roman"/>
          <w:color w:val="000000"/>
          <w:sz w:val="28"/>
          <w:szCs w:val="28"/>
        </w:rPr>
        <w:t xml:space="preserve"> </w:t>
      </w:r>
      <w:r w:rsidR="00D428C9" w:rsidRPr="004804AA">
        <w:rPr>
          <w:rFonts w:ascii="Times New Roman" w:hAnsi="Times New Roman" w:cs="Times New Roman"/>
          <w:color w:val="000000"/>
          <w:sz w:val="28"/>
          <w:szCs w:val="28"/>
        </w:rPr>
        <w:t>Согласно этим пересмотренным определениям, количество слепых людей в мире, составило около 57 м</w:t>
      </w:r>
      <w:r w:rsidR="009E3225">
        <w:rPr>
          <w:rFonts w:ascii="Times New Roman" w:hAnsi="Times New Roman" w:cs="Times New Roman"/>
          <w:color w:val="000000"/>
          <w:sz w:val="28"/>
          <w:szCs w:val="28"/>
        </w:rPr>
        <w:t>лн</w:t>
      </w:r>
      <w:r w:rsidR="00D428C9" w:rsidRPr="004804AA">
        <w:rPr>
          <w:rFonts w:ascii="Times New Roman" w:hAnsi="Times New Roman" w:cs="Times New Roman"/>
          <w:color w:val="000000"/>
          <w:sz w:val="28"/>
          <w:szCs w:val="28"/>
        </w:rPr>
        <w:t xml:space="preserve"> по сравнению с оценкой В</w:t>
      </w:r>
      <w:r w:rsidR="006358AB">
        <w:rPr>
          <w:rFonts w:ascii="Times New Roman" w:hAnsi="Times New Roman" w:cs="Times New Roman"/>
          <w:color w:val="000000"/>
          <w:sz w:val="28"/>
          <w:szCs w:val="28"/>
        </w:rPr>
        <w:t>ОЗ</w:t>
      </w:r>
      <w:r w:rsidR="00D428C9" w:rsidRPr="004804AA">
        <w:rPr>
          <w:rFonts w:ascii="Times New Roman" w:hAnsi="Times New Roman" w:cs="Times New Roman"/>
          <w:color w:val="000000"/>
          <w:sz w:val="28"/>
          <w:szCs w:val="28"/>
        </w:rPr>
        <w:t xml:space="preserve"> в 37 м</w:t>
      </w:r>
      <w:r w:rsidR="009E3225">
        <w:rPr>
          <w:rFonts w:ascii="Times New Roman" w:hAnsi="Times New Roman" w:cs="Times New Roman"/>
          <w:color w:val="000000"/>
          <w:sz w:val="28"/>
          <w:szCs w:val="28"/>
        </w:rPr>
        <w:t>лн</w:t>
      </w:r>
      <w:r w:rsidR="00D428C9" w:rsidRPr="004804AA">
        <w:rPr>
          <w:rFonts w:ascii="Times New Roman" w:hAnsi="Times New Roman" w:cs="Times New Roman"/>
          <w:color w:val="000000"/>
          <w:sz w:val="28"/>
          <w:szCs w:val="28"/>
        </w:rPr>
        <w:t xml:space="preserve"> с использованием существующей М</w:t>
      </w:r>
      <w:r w:rsidR="006358AB">
        <w:rPr>
          <w:rFonts w:ascii="Times New Roman" w:hAnsi="Times New Roman" w:cs="Times New Roman"/>
          <w:color w:val="000000"/>
          <w:sz w:val="28"/>
          <w:szCs w:val="28"/>
        </w:rPr>
        <w:t>КБ</w:t>
      </w:r>
      <w:r w:rsidR="00D428C9" w:rsidRPr="004804AA">
        <w:rPr>
          <w:rFonts w:ascii="Times New Roman" w:hAnsi="Times New Roman" w:cs="Times New Roman"/>
          <w:color w:val="000000"/>
          <w:sz w:val="28"/>
          <w:szCs w:val="28"/>
        </w:rPr>
        <w:t xml:space="preserve">. </w:t>
      </w:r>
      <w:r w:rsidR="00E95508" w:rsidRPr="004804AA">
        <w:rPr>
          <w:rFonts w:ascii="Times New Roman" w:hAnsi="Times New Roman" w:cs="Times New Roman"/>
          <w:color w:val="000000"/>
          <w:sz w:val="28"/>
          <w:szCs w:val="28"/>
        </w:rPr>
        <w:t>По оценкам, в 2004 году 153 м</w:t>
      </w:r>
      <w:r w:rsidR="009E3225">
        <w:rPr>
          <w:rFonts w:ascii="Times New Roman" w:hAnsi="Times New Roman" w:cs="Times New Roman"/>
          <w:color w:val="000000"/>
          <w:sz w:val="28"/>
          <w:szCs w:val="28"/>
        </w:rPr>
        <w:t>лн</w:t>
      </w:r>
      <w:r w:rsidR="00E95508" w:rsidRPr="004804AA">
        <w:rPr>
          <w:rFonts w:ascii="Times New Roman" w:hAnsi="Times New Roman" w:cs="Times New Roman"/>
          <w:color w:val="000000"/>
          <w:sz w:val="28"/>
          <w:szCs w:val="28"/>
        </w:rPr>
        <w:t xml:space="preserve"> человек страдали нарушени</w:t>
      </w:r>
      <w:r w:rsidR="009C1A20">
        <w:rPr>
          <w:rFonts w:ascii="Times New Roman" w:hAnsi="Times New Roman" w:cs="Times New Roman"/>
          <w:color w:val="000000"/>
          <w:sz w:val="28"/>
          <w:szCs w:val="28"/>
        </w:rPr>
        <w:t>ями</w:t>
      </w:r>
      <w:r w:rsidR="00E95508" w:rsidRPr="004804AA">
        <w:rPr>
          <w:rFonts w:ascii="Times New Roman" w:hAnsi="Times New Roman" w:cs="Times New Roman"/>
          <w:color w:val="000000"/>
          <w:sz w:val="28"/>
          <w:szCs w:val="28"/>
        </w:rPr>
        <w:t xml:space="preserve"> зрения, вызванным </w:t>
      </w:r>
      <w:r w:rsidR="009E3225">
        <w:rPr>
          <w:rFonts w:ascii="Times New Roman" w:hAnsi="Times New Roman" w:cs="Times New Roman"/>
          <w:color w:val="000000"/>
          <w:sz w:val="28"/>
          <w:szCs w:val="28"/>
        </w:rPr>
        <w:t>нескорректированными нарушениями рефракции, а</w:t>
      </w:r>
      <w:r w:rsidR="00E95508" w:rsidRPr="004804AA">
        <w:rPr>
          <w:rFonts w:ascii="Times New Roman" w:hAnsi="Times New Roman" w:cs="Times New Roman"/>
          <w:color w:val="000000"/>
          <w:sz w:val="28"/>
          <w:szCs w:val="28"/>
        </w:rPr>
        <w:t xml:space="preserve"> 8 м</w:t>
      </w:r>
      <w:r w:rsidR="009E3225">
        <w:rPr>
          <w:rFonts w:ascii="Times New Roman" w:hAnsi="Times New Roman" w:cs="Times New Roman"/>
          <w:color w:val="000000"/>
          <w:sz w:val="28"/>
          <w:szCs w:val="28"/>
        </w:rPr>
        <w:t>лн</w:t>
      </w:r>
      <w:r w:rsidR="00E95508" w:rsidRPr="004804AA">
        <w:rPr>
          <w:rFonts w:ascii="Times New Roman" w:hAnsi="Times New Roman" w:cs="Times New Roman"/>
          <w:color w:val="000000"/>
          <w:sz w:val="28"/>
          <w:szCs w:val="28"/>
        </w:rPr>
        <w:t xml:space="preserve"> из них были слепыми</w:t>
      </w:r>
      <w:r w:rsidR="00283E81">
        <w:rPr>
          <w:rFonts w:ascii="Times New Roman" w:hAnsi="Times New Roman" w:cs="Times New Roman"/>
          <w:color w:val="000000"/>
          <w:sz w:val="28"/>
          <w:szCs w:val="28"/>
        </w:rPr>
        <w:t xml:space="preserve"> </w:t>
      </w:r>
      <w:r w:rsidR="00E95508"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{"citationID":"KZtr6Ece","properties":{"formattedCitation":"[68]","plainCitation":"[68]","noteIndex":0},"citationItems":[{"id":1500,"uris":["http://zotero.org/users/local/XMo5Fvid/items/AIKB2JF6"],"itemData":{"id":1500,"type":"article-journal","abstract":"Estimates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P."}],"issued":{"date-parts":[["2008",1]]}}}],"schema":"https://github.com/citation-style-language/schema/raw/master/csl-citation.json"} </w:instrText>
      </w:r>
      <w:r w:rsidR="00E95508"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[68]</w:t>
      </w:r>
      <w:r w:rsidR="00E95508"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8E525F">
        <w:rPr>
          <w:rFonts w:ascii="Times New Roman" w:hAnsi="Times New Roman" w:cs="Times New Roman"/>
          <w:color w:val="000000"/>
          <w:sz w:val="28"/>
          <w:szCs w:val="28"/>
        </w:rPr>
        <w:t xml:space="preserve"> </w:t>
      </w:r>
      <w:r w:rsidR="00E95508" w:rsidRPr="004804AA">
        <w:rPr>
          <w:rFonts w:ascii="Times New Roman" w:hAnsi="Times New Roman" w:cs="Times New Roman"/>
          <w:color w:val="000000"/>
          <w:sz w:val="28"/>
          <w:szCs w:val="28"/>
        </w:rPr>
        <w:t>По оценкам Vision Loss Expert Group</w:t>
      </w:r>
      <w:r w:rsidR="00673447">
        <w:rPr>
          <w:rFonts w:ascii="Times New Roman" w:hAnsi="Times New Roman" w:cs="Times New Roman"/>
          <w:color w:val="000000"/>
          <w:sz w:val="28"/>
          <w:szCs w:val="28"/>
        </w:rPr>
        <w:t xml:space="preserve"> (</w:t>
      </w:r>
      <w:r w:rsidR="00673447" w:rsidRPr="004804AA">
        <w:rPr>
          <w:rFonts w:ascii="Times New Roman" w:hAnsi="Times New Roman" w:cs="Times New Roman"/>
          <w:color w:val="000000"/>
          <w:sz w:val="28"/>
          <w:szCs w:val="28"/>
          <w:lang w:val="en-US"/>
        </w:rPr>
        <w:t>VLEG</w:t>
      </w:r>
      <w:r w:rsidR="00673447">
        <w:rPr>
          <w:rFonts w:ascii="Times New Roman" w:hAnsi="Times New Roman" w:cs="Times New Roman"/>
          <w:color w:val="000000"/>
          <w:sz w:val="28"/>
          <w:szCs w:val="28"/>
        </w:rPr>
        <w:t>)</w:t>
      </w:r>
      <w:r w:rsidR="00E95508" w:rsidRPr="004804AA">
        <w:rPr>
          <w:rFonts w:ascii="Times New Roman" w:hAnsi="Times New Roman" w:cs="Times New Roman"/>
          <w:color w:val="000000"/>
          <w:sz w:val="28"/>
          <w:szCs w:val="28"/>
        </w:rPr>
        <w:t xml:space="preserve">, в период с 1990 – 2010 гг, 108 </w:t>
      </w:r>
      <w:r w:rsidR="00DC1883">
        <w:rPr>
          <w:rFonts w:ascii="Times New Roman" w:hAnsi="Times New Roman" w:cs="Times New Roman"/>
          <w:color w:val="000000"/>
          <w:sz w:val="28"/>
          <w:szCs w:val="28"/>
        </w:rPr>
        <w:t>млн</w:t>
      </w:r>
      <w:r w:rsidR="00E95508" w:rsidRPr="004804AA">
        <w:rPr>
          <w:rFonts w:ascii="Times New Roman" w:hAnsi="Times New Roman" w:cs="Times New Roman"/>
          <w:color w:val="000000"/>
          <w:sz w:val="28"/>
          <w:szCs w:val="28"/>
        </w:rPr>
        <w:t xml:space="preserve"> человек во всем мире имели неисправленную аномалию рефракции и нарушение зрения вдаль</w:t>
      </w:r>
      <w:r w:rsidR="00283E81">
        <w:rPr>
          <w:rFonts w:ascii="Times New Roman" w:hAnsi="Times New Roman" w:cs="Times New Roman"/>
          <w:color w:val="000000"/>
          <w:sz w:val="28"/>
          <w:szCs w:val="28"/>
        </w:rPr>
        <w:t xml:space="preserve"> </w:t>
      </w:r>
      <w:r w:rsidR="00E95508"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{"citationID":"zt5zRbp7","properties":{"formattedCitation":"[67]","plainCitation":"[67]","noteIndex":0},"citationItems":[{"id":1503,"uris":["http://zotero.org/users/local/XMo5Fvid/items/HG6C9BCR"],"itemData":{"id":1503,"type":"article-journal","abstract":"BACKGROUND: Data on causes of vision impairment and blindness are important for development of public health policies, but comprehensive analysis of change in prevalence over time is lacking.\nMETHODS: We did a systematic analysis of published and unpublished data on the causes of blindness (visual acuity in the better eye less than 3/60) and moderate and severe vision impairment ([MSVI] visual acuity in the better eye less than 6/18 but at least 3/60) from 1980 to 2012. We estimated the proportions of overall vision impairment attributable to cataract, glaucoma, macular degeneration, diabetic retinopathy, trachoma, and uncorrected refractive error in 1990-2010 by age, geographical region, and year.\nFINDINGS: In 2010, 65% (95% uncertainty interval [UI] 61-68) of 32·4 million blind people and 76% (73-79) of 191 million people with MSVI worldwide had a preventable or treatable cause, compared with 68% (95% UI 65-70) of 31·8 million and 80% (78-83) of 172 million in 1990. Leading causes worldwide in 1990 and 2010 for blindness were cataract (39% and 33%, respectively), uncorrected refractive error (20% and 21%), and macular degeneration (5% and 7%), and for MSVI were uncorrected refractive error (51% and 53%), cataract (26% and 18%), and macular degeneration (2% and 3%). Causes of blindness varied substantially by region. Worldwide and in all regions more women than men were blind or had MSVI due to cataract and macular degeneration.\nINTERPRETATION: The differences and temporal changes we found in causes of blindness and MSVI have implications for planning and resource allocation in eye care.\nFUNDING: Bill &amp; Melinda Gates Foundation, Fight for Sight, Fred Hollows Foundation, and Brien Holden Vision Institute.","container-title":"The Lancet. Global Health","DOI":"10.1016/S2214-109X(13)70113-X","ISSN":"2214-109X","issue":"6","journalAbbreviation":"Lancet Glob Health","language":"eng","note":"PMID: 25104599","page":"e339-349","source":"PubMed","title":"Causes of vision loss worldwide, 1990-2010: a systematic analysis","title-short":"Causes of vision loss worldwide, 1990-2010","volume":"1","author":[{"family":"Bourne","given":"Rupert R. A."},{"family":"Stevens","given":"Gretchen A."},{"family":"White","given":"Richard A."},{"family":"Smith","given":"Jennifer L."},{"family":"Flaxman","given":"Seth R."},{"family":"Price","given":"Holly"},{"family":"Jonas","given":"Jost B."},{"family":"Keeffe","given":"Jill"},{"family":"Leasher","given":"Janet"},{"family":"Naidoo","given":"Kovin"},{"family":"Pesudovs","given":"Konrad"},{"family":"Resnikoff","given":"Serge"},{"family":"Taylor","given":"Hugh R."},{"literal":"Vision Loss Expert Group"}],"issued":{"date-parts":[["2013",12]]}}}],"schema":"https://github.com/citation-style-language/schema/raw/master/csl-citation.json"} </w:instrText>
      </w:r>
      <w:r w:rsidR="00E95508"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[67]</w:t>
      </w:r>
      <w:r w:rsidR="00E95508"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p>
    <w:p w14:paraId="32C0D8AB" w14:textId="1E5E2EE0" w:rsidR="000D1C7A" w:rsidRDefault="002A2BDB" w:rsidP="000D1C7A">
      <w:pPr>
        <w:pStyle w:val="a4"/>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Следующим спорным критерием</w:t>
      </w:r>
      <w:r w:rsidR="00735D49" w:rsidRPr="004804AA">
        <w:rPr>
          <w:rFonts w:ascii="Times New Roman" w:hAnsi="Times New Roman" w:cs="Times New Roman"/>
          <w:color w:val="000000"/>
          <w:sz w:val="28"/>
          <w:szCs w:val="28"/>
        </w:rPr>
        <w:t xml:space="preserve"> явля</w:t>
      </w:r>
      <w:r>
        <w:rPr>
          <w:rFonts w:ascii="Times New Roman" w:hAnsi="Times New Roman" w:cs="Times New Roman"/>
          <w:color w:val="000000"/>
          <w:sz w:val="28"/>
          <w:szCs w:val="28"/>
        </w:rPr>
        <w:t>лся</w:t>
      </w:r>
      <w:r w:rsidR="00C70AD7" w:rsidRPr="004804AA">
        <w:rPr>
          <w:rFonts w:ascii="Times New Roman" w:hAnsi="Times New Roman" w:cs="Times New Roman"/>
          <w:color w:val="000000"/>
          <w:sz w:val="28"/>
          <w:szCs w:val="28"/>
        </w:rPr>
        <w:t xml:space="preserve"> пороговы</w:t>
      </w:r>
      <w:r w:rsidR="00735D49" w:rsidRPr="004804AA">
        <w:rPr>
          <w:rFonts w:ascii="Times New Roman" w:hAnsi="Times New Roman" w:cs="Times New Roman"/>
          <w:color w:val="000000"/>
          <w:sz w:val="28"/>
          <w:szCs w:val="28"/>
        </w:rPr>
        <w:t>й</w:t>
      </w:r>
      <w:r w:rsidR="00C70AD7" w:rsidRPr="004804AA">
        <w:rPr>
          <w:rFonts w:ascii="Times New Roman" w:hAnsi="Times New Roman" w:cs="Times New Roman"/>
          <w:color w:val="000000"/>
          <w:sz w:val="28"/>
          <w:szCs w:val="28"/>
        </w:rPr>
        <w:t xml:space="preserve"> </w:t>
      </w:r>
      <w:r w:rsidR="001C2723" w:rsidRPr="004804AA">
        <w:rPr>
          <w:rFonts w:ascii="Times New Roman" w:hAnsi="Times New Roman" w:cs="Times New Roman"/>
          <w:color w:val="000000"/>
          <w:sz w:val="28"/>
          <w:szCs w:val="28"/>
        </w:rPr>
        <w:t>уровень</w:t>
      </w:r>
      <w:r w:rsidR="00C70AD7" w:rsidRPr="004804AA">
        <w:rPr>
          <w:rFonts w:ascii="Times New Roman" w:hAnsi="Times New Roman" w:cs="Times New Roman"/>
          <w:color w:val="000000"/>
          <w:sz w:val="28"/>
          <w:szCs w:val="28"/>
        </w:rPr>
        <w:t xml:space="preserve"> нарушения зрения для определения </w:t>
      </w:r>
      <w:r w:rsidR="00735D49" w:rsidRPr="004804AA">
        <w:rPr>
          <w:rFonts w:ascii="Times New Roman" w:hAnsi="Times New Roman" w:cs="Times New Roman"/>
          <w:color w:val="000000"/>
          <w:sz w:val="28"/>
          <w:szCs w:val="28"/>
        </w:rPr>
        <w:t xml:space="preserve">слабовидения и </w:t>
      </w:r>
      <w:r w:rsidR="00C70AD7" w:rsidRPr="004804AA">
        <w:rPr>
          <w:rFonts w:ascii="Times New Roman" w:hAnsi="Times New Roman" w:cs="Times New Roman"/>
          <w:color w:val="000000"/>
          <w:sz w:val="28"/>
          <w:szCs w:val="28"/>
        </w:rPr>
        <w:t>слепоты в М</w:t>
      </w:r>
      <w:r>
        <w:rPr>
          <w:rFonts w:ascii="Times New Roman" w:hAnsi="Times New Roman" w:cs="Times New Roman"/>
          <w:color w:val="000000"/>
          <w:sz w:val="28"/>
          <w:szCs w:val="28"/>
        </w:rPr>
        <w:t>КБ,</w:t>
      </w:r>
      <w:r w:rsidR="001C2723" w:rsidRPr="004804AA">
        <w:rPr>
          <w:rFonts w:ascii="Times New Roman" w:hAnsi="Times New Roman" w:cs="Times New Roman"/>
          <w:color w:val="000000"/>
          <w:sz w:val="28"/>
          <w:szCs w:val="28"/>
        </w:rPr>
        <w:t xml:space="preserve"> который определялся как</w:t>
      </w:r>
      <w:r w:rsidR="00C70AD7" w:rsidRPr="004804AA">
        <w:rPr>
          <w:rFonts w:ascii="Times New Roman" w:hAnsi="Times New Roman" w:cs="Times New Roman"/>
          <w:color w:val="000000"/>
          <w:sz w:val="28"/>
          <w:szCs w:val="28"/>
        </w:rPr>
        <w:t xml:space="preserve"> острота зрения менее 3/60 в лучшем глазу</w:t>
      </w:r>
      <w:r w:rsidR="00283E81">
        <w:rPr>
          <w:rFonts w:ascii="Times New Roman" w:hAnsi="Times New Roman" w:cs="Times New Roman"/>
          <w:color w:val="000000"/>
          <w:sz w:val="28"/>
          <w:szCs w:val="28"/>
        </w:rPr>
        <w:t xml:space="preserve"> </w:t>
      </w:r>
      <w:r w:rsidR="001C2723"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{"citationID":"5Ld0lxBW","properties":{"formattedCitation":"[63]","plainCitation":"[63]","noteIndex":0},"citationItems":[{"id":1520,"uris":["http://zotero.org/users/local/XMo5Fvid/items/76EZWXYQ"],"itemData":{"id":1520,"type":"article-journal","abstract":"BACKGROUND: The existing definitions of visual impairment in the International Statistical Classification of Diseases are based on recommendations made over 30 years ago. New data and knowledge related to visual impairment that have accumulated over this period suggest that these definitions need to be revised.\nDISCUSSION: Three major issues need to be addressed in the revision of these definitions. First, the existing definitions are based on best-corrected visual acuity, which exclude uncorrected refractive error as a cause of visual impairment, leading to substantial underestimation of the total visual impairment burden by about 38%. Second, the cut-off level of visual impairment to define blindness in the International Statistical Classification of Diseases is visual acuity less than 3/60 in the better eye, but with increasing human development the visual acuity requirements are also increasing, suggesting that a level less than 6/60 be used to define blindness. Third, the International Statistical Classification of Diseases uses the term 'low vision' for visual impairment level less than blindness, which causes confusion with the common use of this term for uncorrectable vision requiring aids or rehabilitation, suggesting that alternative terms such as moderate and mild visual impairment would be more appropriate for visual impairment less severe than blindness. We propose a revision of the definitions of visual impairment in the International Statistical Classification of Diseases that addresses these three issues. According to these revised definitions, the number of blind persons in the world defined as presenting visual acuity less than 6/60 in the better eye would be about 57 million as compared with the World Health Organization estimate of 37 million using the existing International Statistical Classification of Diseases definition of best-corrected visual acuity less than 3/60 in the better eye, and the number of persons in the world with moderate visual impairment defined as presenting visual acuity less than 6/18 to 6/60 in the better eye would be about 202 million as compared with the World Health Organization estimate of 124 million persons with low vision defined as best-corrected visual acuity less than 6/18 to 3/60 in the better eye.\nCONCLUSION: Our suggested revision of the visual impairment definitions in the International Statistical Classification of Diseases takes into account advances in the understanding of visual impairment. This revised classification seems more appropriate for estimating and tracking visual impairment in the countries and regions of the world than the existing classification in the International Statistical Classification of Diseases.","container-title":"BMC medicine","DOI":"10.1186/1741-7015-4-7","ISSN":"1741-7015","journalAbbreviation":"BMC Med","language":"eng","note":"PMID: 16539739\nPMCID: PMC1435919","page":"7","source":"PubMed","title":"Revision of visual impairment definitions in the International Statistical Classification of Diseases","volume":"4","author":[{"family":"Dandona","given":"Lalit"},{"family":"Dandona","given":"Rakhi"}],"issued":{"date-parts":[["2006",3,16]]}}}],"schema":"https://github.com/citation-style-language/schema/raw/master/csl-citation.json"} </w:instrText>
      </w:r>
      <w:r w:rsidR="001C2723"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[63]</w:t>
      </w:r>
      <w:r w:rsidR="001C2723"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1C2723" w:rsidRPr="004804AA">
        <w:rPr>
          <w:rFonts w:ascii="Times New Roman" w:hAnsi="Times New Roman" w:cs="Times New Roman"/>
          <w:color w:val="000000"/>
          <w:sz w:val="28"/>
          <w:szCs w:val="28"/>
        </w:rPr>
        <w:t xml:space="preserve"> Так </w:t>
      </w:r>
      <w:r w:rsidR="00735D49" w:rsidRPr="004804AA">
        <w:rPr>
          <w:rFonts w:ascii="Times New Roman" w:hAnsi="Times New Roman" w:cs="Times New Roman"/>
          <w:color w:val="000000"/>
          <w:sz w:val="28"/>
          <w:szCs w:val="28"/>
        </w:rPr>
        <w:t>до 2010 года общепринятая оценка глобального бремени слабовидения и слепоты включала в себя лишь умеренные, тяжелые нарушения зрения и слепоту, не принимая во внимание легкие нарушения зрения и не</w:t>
      </w:r>
      <w:r w:rsidR="00673447">
        <w:rPr>
          <w:rFonts w:ascii="Times New Roman" w:hAnsi="Times New Roman" w:cs="Times New Roman"/>
          <w:color w:val="000000"/>
          <w:sz w:val="28"/>
          <w:szCs w:val="28"/>
        </w:rPr>
        <w:t>с</w:t>
      </w:r>
      <w:r w:rsidR="00735D49" w:rsidRPr="004804AA">
        <w:rPr>
          <w:rFonts w:ascii="Times New Roman" w:hAnsi="Times New Roman" w:cs="Times New Roman"/>
          <w:color w:val="000000"/>
          <w:sz w:val="28"/>
          <w:szCs w:val="28"/>
        </w:rPr>
        <w:t>корректированные нарушения, вызванные, по большей части, аномалиями рефракции</w:t>
      </w:r>
      <w:r w:rsidR="00283E81">
        <w:rPr>
          <w:rFonts w:ascii="Times New Roman" w:hAnsi="Times New Roman" w:cs="Times New Roman"/>
          <w:color w:val="000000"/>
          <w:sz w:val="28"/>
          <w:szCs w:val="28"/>
        </w:rPr>
        <w:t xml:space="preserve"> </w:t>
      </w:r>
      <w:r w:rsidR="00735D49"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{"citationID":"fJ21vW9G","properties":{"formattedCitation":"[72; 73]","plainCitation":"[72; 73]","noteIndex":0},"citationItems":[{"id":1322,"uris":["http://zotero.org/users/local/XMo5Fvid/items/TFFY5UEC"],"itemData":{"id":1322,"type":"article-journal","abstract":"Vision loss and age-related eye diseases are major global public health problems. The Global Burden of Diseases, Injuries, and Risk Factors Study (hereafter referred to as the GBD Study) was commissioned by the World Bank in 1991 to provide a comprehensive assessment of the burden of 107 diseases and injuries, and 10 selected risk factors, for the world, specifically including data from 8 major regions. The methods of the original GBD Study (hereafter referred to as the GBD 1990 Study) created a common metric, the disability-adjusted life-year, which extends the concept of potential years of life lost due to premature death to include equivalent years of “healthy” life lost by virtue of being in poor health or disability. The number of disability-adjusted life-years caused by a disease or injury are calculated as the sum of the years of life lost due to premature mortality in the population and the years lost due to disability (YLD) for incident cases of the disease or injury.","container-title":"Archives of Ophthalmology","DOI":"10.1001/archophthalmol.2012.1032","ISSN":"0003-9950","issue":"5","journalAbbreviation":"Archives of Ophthalmology","page":"645-647","source":"Silverchair","title":"Global Burden of Visual Impairment and Blindness","volume":"130","author":[{"family":"Bourne","given":"Rupert"},{"family":"Price","given":"Holly"},{"family":"Stevens","given":"Gretchen"},{"family":"GBD Vision Loss Expert Group","given":"for","dropping-particle":"the"}],"issued":{"date-parts":[["2012",5,1]]}},"label":"page"},{"id":1314,"uris":["http://zotero.org/users/local/XMo5Fvid/items/35ARNFDY"],"itemData":{"id":1314,"type":"webpage","abstract":"Publicaciones de la Organización Mundial de la Salud","language":"en","title":"World report on vision","URL":"https://www.who.int/publications-detail-redirect/world-report-on-vision","accessed":{"date-parts":[["2021",1,14]]}},"label":"page"}],"schema":"https://github.com/citation-style-language/schema/raw/master/csl-citation.json"} </w:instrText>
      </w:r>
      <w:r w:rsidR="00735D49"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w:t>
      </w:r>
      <w:r w:rsidR="002C3094">
        <w:rPr>
          <w:rFonts w:ascii="Times New Roman" w:hAnsi="Times New Roman" w:cs="Times New Roman"/>
          <w:sz w:val="28"/>
        </w:rPr>
        <w:t>1;</w:t>
      </w:r>
      <w:r w:rsidR="00A00EFF" w:rsidRPr="00A00EFF">
        <w:rPr>
          <w:rFonts w:ascii="Times New Roman" w:hAnsi="Times New Roman" w:cs="Times New Roman"/>
          <w:sz w:val="28"/>
        </w:rPr>
        <w:t>72]</w:t>
      </w:r>
      <w:r w:rsidR="00735D49"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735D49" w:rsidRPr="004804AA">
        <w:rPr>
          <w:rFonts w:ascii="Times New Roman" w:hAnsi="Times New Roman" w:cs="Times New Roman"/>
          <w:color w:val="000000"/>
          <w:sz w:val="28"/>
          <w:szCs w:val="28"/>
        </w:rPr>
        <w:t xml:space="preserve"> </w:t>
      </w:r>
      <w:r w:rsidR="001C2723" w:rsidRPr="004804AA">
        <w:rPr>
          <w:rFonts w:ascii="Times New Roman" w:hAnsi="Times New Roman" w:cs="Times New Roman"/>
          <w:color w:val="000000"/>
          <w:sz w:val="28"/>
          <w:szCs w:val="28"/>
        </w:rPr>
        <w:t>В систематическом обзоре нарушений зрения и слепоты, проведенном экспертным советом ВОЗ в 2010 году, изучение распространенности легкого нарушения зрения было зарегистрировано лишь в 36 из 238 исследований (15%)</w:t>
      </w:r>
      <w:r w:rsidR="00283E81">
        <w:rPr>
          <w:rFonts w:ascii="Times New Roman" w:hAnsi="Times New Roman" w:cs="Times New Roman"/>
          <w:color w:val="000000"/>
          <w:sz w:val="28"/>
          <w:szCs w:val="28"/>
        </w:rPr>
        <w:t xml:space="preserve"> </w:t>
      </w:r>
      <w:r w:rsidR="001C2723"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{"citationID":"CKWw7P54","properties":{"formattedCitation":"[70]","plainCitation":"[70]","noteIndex":0},"citationItems":[{"id":1332,"uris":["http://zotero.org/users/local/XMo5Fvid/items/GDCNCL4E"],"itemData":{"id":1332,"type":"article-journal","abstract":"To describe a systematic review of population-based prevalence studies of visual impairment (VI) and blindness worldwide over the past 32 years that informs the Global Burden of Diseases, Injuries and Risk Factors Study.A systematic review (Stage 1) of ...","container-title":"Ophthalmic epidemiology","DOI":"10.3109/09286586.2012.741279","ISSN":"0928-6586","issue":"1","language":"en","note":"publisher: NIH Public Access\nPMID: 23350553","page":"33","source":"www.ncbi.nlm.nih.gov","title":"New Systematic Review Methodology for Visual Impairment and Blindness for the 2010 Global Burden of Disease Study","volume":"20","author":[{"family":"Bourne","given":"Rupert"},{"family":"Price","given":"Holly"},{"family":"Taylor","given":"Hugh"},{"family":"Leasher","given":"Janet"},{"family":"Keeffe","given":"Jill"},{"family":"Glanville","given":"Julie"},{"family":"Sieving","given":"Pamela C."},{"family":"Khairallah","given":"Moncef"},{"family":"Wong","given":"Tien Yin"},{"family":"Zheng","given":"Yingfeng"},{"family":"Mathew","given":"Anu"},{"family":"Katiyar","given":"Suchitra"},{"family":"Mascarenhas","given":"Maya"},{"family":"Stevens","given":"Gretchen A."},{"family":"Resnikoff","given":"Serge"},{"family":"Gichuhi","given":"Stephen"},{"family":"Naidoo","given":"Kovin"},{"family":"Wallace","given":"Diane"},{"family":"Kymes","given":"Steven"},{"family":"Peters","given":"Colleen"},{"family":"Pesudovs","given":"Konrad"},{"family":"Braithwaite","given":"Tasanee"},{"family":"Limburg","given":"Hans"},{"family":"Group*","given":"On behalf of the Global Burden of Disease Vision Loss Expert"}],"issued":{"date-parts":[["2013"]]}}}],"schema":"https://github.com/citation-style-language/schema/raw/master/csl-citation.json"} </w:instrText>
      </w:r>
      <w:r w:rsidR="001C2723"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[70]</w:t>
      </w:r>
      <w:r w:rsidR="001C2723"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1C2723" w:rsidRPr="004804AA">
        <w:rPr>
          <w:rFonts w:ascii="Times New Roman" w:hAnsi="Times New Roman" w:cs="Times New Roman"/>
          <w:color w:val="000000"/>
          <w:sz w:val="28"/>
          <w:szCs w:val="28"/>
        </w:rPr>
        <w:t xml:space="preserve"> </w:t>
      </w:r>
      <w:bookmarkStart w:id="1" w:name="_Hlk68855707"/>
      <w:r w:rsidR="006B2C8F">
        <w:rPr>
          <w:rFonts w:ascii="Times New Roman" w:hAnsi="Times New Roman" w:cs="Times New Roman"/>
          <w:color w:val="000000"/>
          <w:sz w:val="28"/>
          <w:szCs w:val="28"/>
        </w:rPr>
        <w:t>Вместе с тем, р</w:t>
      </w:r>
      <w:r w:rsidR="006B2C8F" w:rsidRPr="004804AA">
        <w:rPr>
          <w:rFonts w:ascii="Times New Roman" w:hAnsi="Times New Roman" w:cs="Times New Roman"/>
          <w:color w:val="000000"/>
          <w:sz w:val="28"/>
          <w:szCs w:val="28"/>
        </w:rPr>
        <w:t xml:space="preserve">езультаты многочисленных </w:t>
      </w:r>
      <w:r w:rsidR="006B2C8F">
        <w:rPr>
          <w:rFonts w:ascii="Times New Roman" w:hAnsi="Times New Roman" w:cs="Times New Roman"/>
          <w:color w:val="000000"/>
          <w:sz w:val="28"/>
          <w:szCs w:val="28"/>
        </w:rPr>
        <w:t xml:space="preserve">исследований </w:t>
      </w:r>
      <w:r w:rsidR="006B2C8F" w:rsidRPr="004804AA">
        <w:rPr>
          <w:rFonts w:ascii="Times New Roman" w:hAnsi="Times New Roman" w:cs="Times New Roman"/>
          <w:color w:val="000000"/>
          <w:sz w:val="28"/>
          <w:szCs w:val="28"/>
        </w:rPr>
        <w:t xml:space="preserve">подчеркивают важность влияния </w:t>
      </w:r>
      <w:r w:rsidR="006B2C8F">
        <w:rPr>
          <w:rFonts w:ascii="Times New Roman" w:hAnsi="Times New Roman" w:cs="Times New Roman"/>
          <w:color w:val="000000"/>
          <w:sz w:val="28"/>
          <w:szCs w:val="28"/>
        </w:rPr>
        <w:t>нескорректированных аномалий рефракции</w:t>
      </w:r>
      <w:r w:rsidR="006B2C8F" w:rsidRPr="004804AA">
        <w:rPr>
          <w:rFonts w:ascii="Times New Roman" w:hAnsi="Times New Roman" w:cs="Times New Roman"/>
          <w:color w:val="000000"/>
          <w:sz w:val="28"/>
          <w:szCs w:val="28"/>
        </w:rPr>
        <w:t xml:space="preserve"> на качество жизни</w:t>
      </w:r>
      <w:r w:rsidR="00283E81">
        <w:rPr>
          <w:rFonts w:ascii="Times New Roman" w:hAnsi="Times New Roman" w:cs="Times New Roman"/>
          <w:color w:val="000000"/>
          <w:sz w:val="28"/>
          <w:szCs w:val="28"/>
        </w:rPr>
        <w:t xml:space="preserve"> </w:t>
      </w:r>
      <w:r w:rsidR="006B2C8F"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{"citationID":"WS7CyQAy","properties":{"formattedCitation":"[74; 75]","plainCitation":"[74; 75]","noteIndex":0},"citationItems":[{"id":1512,"uris":["http://zotero.org/users/local/XMo5Fvid/items/W8BI5U4N"],"itemData":{"id":1512,"type":"article-journal","abstract":"IMPORTANCE: Further research is crucial to better understand the reason for falls in individuals with visual impairment (VI) and to develop appropriate fall prevention strategies.\nOBJECTIVE: To compare balance measures in individuals with normal vision, VI, and uncorrected refractive error (URE).\nDESIGN AND SETTING: Cross-sectional study based on a national survey sample.\nPARTICIPANTS: A total of 4590 adults, 40 years or older, participating in the 2001 through 2004 National Health and Nutrition Examination Survey.\nMAIN OUTCOME MEASURES: Participants completed tests of standing balance with eyes open or eyes closed on a firm or compliant (foam) surface. Eyes-closed testing on a foam surface primarily assessed vestibular balance by minimizing visual and proprioceptive inputs. The main outcome measure was time to balance failure on firm and foam surface testing. Participants also self-reported difficulty with falling during the last year.\nRESULTS: Failure during eyes-open balance testing conditions or eyes-closed balance testing on a firm surface was not more common among participants with VI-associated or URE-associated vision loss (P &gt; .22). In eyes-closed foam surface balance testing, multivariable models demonstrated higher rates of balance loss with VI-associated vision loss (P = .02) and with URE-associated vision loss (P = .04) (hazard ratio, 1.7 per logarithm of the minimum angle of resolution [logMAR] unit change [10 lines] for both). Self-reported falling difficulty was associated with worse VI (odds ratio, 3.7 per logMAR unit change; P = .03) but not with worse URE (odds ratio, 3.4 per logMAR unit change; P = .14).\nCONCLUSIONS AND RELEVANCE: The vestibular contribution to balance (measured with eyes closed on a foam surface) was worse for individuals with VI or URE. Reduced visual inputs may weaken the vestibulo-ocular reflex, an important system that maintains the effectiveness of vestibular balance. Alternately, common degenerative pathways or lower physical activity levels may affect balance, particularly among those with VI.","container-title":"JAMA ophthalmology","DOI":"10.1001/jamaophthalmol.2013.316","ISSN":"2168-6173","issue":"8","journalAbbreviation":"JAMA Ophthalmol","language":"eng","note":"PMID: 23744090","page":"1049-1056","source":"PubMed","title":"Visual impairment, uncorrected refractive error, and objectively measured balance in the United States","volume":"131","author":[{"family":"Willis","given":"Jeffrey R."},{"family":"Vitale","given":"Susan E."},{"family":"Agrawal","given":"Yuri"},{"family":"Ramulu","given":"Pradeep Y."}],"issued":{"date-parts":[["2013",8]]}},"label":"page"},{"id":1530,"uris":["http://zotero.org/users/local/XMo5Fvid/items/DHYW73FM"],"itemData":{"id":1530,"type":"article-journal","abstract":"AIM: To investigate whether unilateral vision loss reduced any aspects of quality of life in comparison with normal vision and to compare its impact with that of bilateral vision loss.\nMETHODS: This study used cluster stratified random sample of 3271 urban participants recruited between 1992 and 1994 for the Melbourne Visual Impairment Project. All predictors and outcomes were from the 5 year follow up examinations conducted in 1997-9.\nRESULTS: There were 2530 participants who attended the follow up survey and had measurement of presenting visual acuity. Both unilateral and bilateral vision loss were significantly associated with increased odds of having problems in visual functions including reading the telephone book, newspaper, watching television, and seeing faces. Non-correctable by refraction unilateral vision loss increased the odds of falling when away from home (OR = 2.86, 95% CI 1.16 to 7.08), getting help with chores (OR = 3.09, 95% CI 1.40 to 6.83), and becoming dependent (getting help with meals and chores) (OR = 7.50, 95% CI 1.97 to 28.6). Non-correctable bilateral visual loss was associated with many activities of daily living except falling.\nCONCLUSIONS: Non-correctable unilateral vision loss was associated with issues of safety and independent living while non-correctable bilateral vision loss was associated with nursing home placement, emotional wellbeing, use of community services, and activities of daily living. Correctable or treatable vision loss should be detected and attended to.","container-title":"The British Journal of Ophthalmology","DOI":"10.1136/bjo.2004.047498","ISSN":"0007-1161","issue":"3","journalAbbreviation":"Br J Ophthalmol","language":"eng","note":"PMID: 15722319\nPMCID: PMC1772562","page":"360-363","source":"PubMed","title":"Impact of unilateral and bilateral vision loss on quality of life","volume":"89","author":[{"family":"Vu","given":"H. T. V."},{"family":"Keeffe","given":"J. E."},{"family":"McCarty","given":"C. A."},{"family":"Taylor","given":"H. R."}],"issued":{"date-parts":[["2005",3]]}},"label":"page"}],"schema":"https://github.com/citation-style-language/schema/raw/master/csl-citation.json"} </w:instrText>
      </w:r>
      <w:r w:rsidR="006B2C8F"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w:t>
      </w:r>
      <w:r w:rsidR="002C3094">
        <w:rPr>
          <w:rFonts w:ascii="Times New Roman" w:hAnsi="Times New Roman" w:cs="Times New Roman"/>
          <w:sz w:val="28"/>
        </w:rPr>
        <w:t xml:space="preserve">73; 74; </w:t>
      </w:r>
      <w:r w:rsidR="00A00EFF" w:rsidRPr="00A00EFF">
        <w:rPr>
          <w:rFonts w:ascii="Times New Roman" w:hAnsi="Times New Roman" w:cs="Times New Roman"/>
          <w:sz w:val="28"/>
        </w:rPr>
        <w:t>75]</w:t>
      </w:r>
      <w:r w:rsidR="006B2C8F"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444869">
        <w:rPr>
          <w:rFonts w:ascii="Times New Roman" w:hAnsi="Times New Roman" w:cs="Times New Roman"/>
          <w:color w:val="000000"/>
          <w:sz w:val="28"/>
          <w:szCs w:val="28"/>
        </w:rPr>
        <w:t xml:space="preserve"> </w:t>
      </w:r>
      <w:r w:rsidR="006B2C8F" w:rsidRPr="004804AA">
        <w:rPr>
          <w:rFonts w:ascii="Times New Roman" w:hAnsi="Times New Roman" w:cs="Times New Roman"/>
          <w:sz w:val="28"/>
          <w:szCs w:val="28"/>
        </w:rPr>
        <w:t>Так, JE Keeffe (2002) указывает что до 80% австралийцев, вынужденно отказавшихся от вождения автомобиля, относились к категории «нарушения зрения легкой степени», что было вызвано аномалией рефракции</w:t>
      </w:r>
      <w:r w:rsidR="00283E81">
        <w:rPr>
          <w:rFonts w:ascii="Times New Roman" w:hAnsi="Times New Roman" w:cs="Times New Roman"/>
          <w:sz w:val="28"/>
          <w:szCs w:val="28"/>
        </w:rPr>
        <w:t xml:space="preserve"> </w:t>
      </w:r>
      <w:r w:rsidR="006B2C8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{"citationID":"E85sXnf0","properties":{"formattedCitation":"[76; 77]","plainCitation":"[76; 77]","noteIndex":0},"citationItems":[{"id":1494,"uris":["http://zotero.org/users/local/XMo5Fvid/items/U9DH5CGC"],"itemData":{"id":1494,"type":"article-journal","abstract":"The purpose of this study was to examine the association between visual and cognitive impairment in older drivers and their avoidance of potentially challenging, driving situation. A group of 257 older drivers participated in assessments of visual sensory function, eye health and cognitive function including the useful field of view test, and completed a structured questionnaire on driving exposure and how frequently they avoided challenging driving situations. Results replicated earlier studies showing that many older drivers limit their exposure to driving situations which are generally believed to be more difficult (e.g. rain, night, heavy traffic, rush hour). Furthermore, older drivers with objectively determined visual and/or attentional impairments reported more avoidance than those free of impairments; those with the most impairment reported avoiding more types of situations than other less impaired or non-impaired drivers. Older drivers with a history of at-fault crashes in the prior five years reported more avoidance than those who had crash-free records. Future research should evaluate the potentially beneficial role of self-regulation in enhancing older driver safety, particularly in those older drivers with visual and attentional processing impairments who have elevated crash risk.","container-title":"Accident; Analysis and Prevention","DOI":"10.1016/s0001-4575(97)00102-4","ISSN":"0001-4575","issue":"3","journalAbbreviation":"Accid Anal Prev","language":"eng","note":"PMID: 9663290","page":"313-322","source":"PubMed","title":"Driving avoidance and functional impairment in older drivers","volume":"30","author":[{"family":"Ball","given":"K."},{"family":"Owsley","given":"C."},{"family":"Stalvey","given":"B."},{"family":"Roenker","given":"D. L."},{"family":"Sloane","given":"M. E."},{"family":"Graves","given":"M."}],"issued":{"date-parts":[["1998",5]]}},"label":"page"},{"id":1335,"uris":["http://zotero.org/users/local/XMo5Fvid/items/ZH7UAIML"],"itemData":{"id":1335,"type":"article-journal","abstract":"Aim: To establish the association between impaired vision and drivers’ decisions to stop driving, voluntarily restrict driving, and motor vehicle accidents., Methods: Driving related questions were included in a population based study that determined the prevalence and incidence of eye disease. Stratified random cluster samples based on census collector districts were selected from the Melbourne Statistical Division. Eligible participants aged 44 years and over were interviewed and underwent a comprehensive ophthalmic examination. The outcomes of interest were the decision to stop driving, limiting driving in specified conditions, and driving accidents. The associations between these outcomes and the legally prescribed visual acuity (&lt;6/12) for a driver’s licence were investigated., Results: The mean age of the 2594/3040 (85%) eligible participants was 62.5 (range 44–101). People with visual acuity less than 6/12 were no more likely to have an accident than those with better vision (χ2 = 0.175, p&gt;0.9). Older drivers with impaired vision, more so than younger adults, restrict their driving in visually demanding situations (p&lt;0.05). Of the current drivers, 2.6% have vision less than that required to obtain a driver’s licence. The risk of having an accident increased with distance driven (OR 2.57, CL 1.63, 4.04 for distance &gt;31 000 km) but not with age., Conclusion: There was no greater likelihood of self reported driving accidents for drivers with impaired vision than those with good vision. While many older drivers with impaired vision limit their driving in adverse conditions and some drivers with impaired vision stop driving, there are a significant number of current drivers with impaired vision.","container-title":"The British Journal of Ophthalmology","ISSN":"0007-1161","issue":"10","journalAbbreviation":"Br J Ophthalmol","note":"PMID: 12234890\nPMCID: PMC1771306","page":"1118-1121","source":"PubMed Central","title":"Vision impairment and older drivers: who’s driving?","title-short":"Vision impairment and older drivers","volume":"86","author":[{"family":"Keeffe","given":"J E"},{"family":"Jin","given":"C F"},{"family":"Weih","given":"L M"},{"family":"McCarty","given":"C A"},{"family":"Taylor","given":"H R"}],"issued":{"date-parts":[["2002",10]]}},"label":"page"}],"schema":"https://github.com/citation-style-language/schema/raw/master/csl-citation.json"} </w:instrText>
      </w:r>
      <w:r w:rsidR="006B2C8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[76; 77]</w:t>
      </w:r>
      <w:r w:rsidR="006B2C8F"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6B2C8F" w:rsidRPr="004804AA">
        <w:rPr>
          <w:rFonts w:ascii="Times New Roman" w:hAnsi="Times New Roman" w:cs="Times New Roman"/>
          <w:sz w:val="28"/>
          <w:szCs w:val="28"/>
        </w:rPr>
        <w:t xml:space="preserve"> </w:t>
      </w:r>
      <w:r w:rsidR="00854FE9" w:rsidRPr="004804AA">
        <w:rPr>
          <w:rFonts w:ascii="Times New Roman" w:hAnsi="Times New Roman" w:cs="Times New Roman"/>
          <w:color w:val="000000"/>
          <w:sz w:val="28"/>
          <w:szCs w:val="28"/>
        </w:rPr>
        <w:t xml:space="preserve">Легкая степень нарушения зрения </w:t>
      </w:r>
      <w:bookmarkEnd w:id="1"/>
      <w:r w:rsidR="00854FE9" w:rsidRPr="004804AA">
        <w:rPr>
          <w:rFonts w:ascii="Times New Roman" w:hAnsi="Times New Roman" w:cs="Times New Roman"/>
          <w:color w:val="000000"/>
          <w:sz w:val="28"/>
          <w:szCs w:val="28"/>
        </w:rPr>
        <w:t xml:space="preserve">несмотря на классификацию, оказывает существенное влияние </w:t>
      </w:r>
      <w:r w:rsidR="008916F4">
        <w:rPr>
          <w:rFonts w:ascii="Times New Roman" w:hAnsi="Times New Roman" w:cs="Times New Roman"/>
          <w:color w:val="000000"/>
          <w:sz w:val="28"/>
          <w:szCs w:val="28"/>
        </w:rPr>
        <w:t xml:space="preserve">и </w:t>
      </w:r>
      <w:r w:rsidR="00854FE9" w:rsidRPr="004804AA">
        <w:rPr>
          <w:rFonts w:ascii="Times New Roman" w:hAnsi="Times New Roman" w:cs="Times New Roman"/>
          <w:color w:val="000000"/>
          <w:sz w:val="28"/>
          <w:szCs w:val="28"/>
        </w:rPr>
        <w:t>на безопасность жизни</w:t>
      </w:r>
      <w:r w:rsidR="00283E81">
        <w:rPr>
          <w:rFonts w:ascii="Times New Roman" w:hAnsi="Times New Roman" w:cs="Times New Roman"/>
          <w:color w:val="000000"/>
          <w:sz w:val="28"/>
          <w:szCs w:val="28"/>
        </w:rPr>
        <w:t xml:space="preserve"> </w:t>
      </w:r>
      <w:r w:rsidR="00854FE9"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{"citationID":"sAprgf2I","properties":{"formattedCitation":"[78]","plainCitation":"[78]","noteIndex":0},"citationItems":[{"id":1251,"uris":["http://zotero.org/users/local/XMo5Fvid/items/8YSTVM5P"],"itemData":{"id":1251,"type":"article-journal","abstract":"BACKGROUND: Global and regional prevalence estimates for blindness and vision impairment are important for the development of public health policies. We aimed to provide global estimates, trends, and projections of global blindness and vision impairment.\nMETHODS: We did a systematic review and meta-analysis of population-based datasets relevant to global vision impairment and blindness that were published between 1980 and 2015. We fitted hierarchical models to estimate the prevalence (by age, country, and sex), in 2015, of mild visual impairment (presenting visual acuity worse than 6/12 to 6/18 inclusive), moderate to severe visual impairment (presenting visual acuity worse than 6/18 to 3/60 inclusive), blindness (presenting visual acuity worse than 3/60), and functional presbyopia (defined as presenting near vision worse than N6 or N8 at 40 cm when best-corrected distance visual acuity was better than 6/12).\nFINDINGS: Globally, of the 7·33 billion people alive in 2015, an estimated 36·0 million (80% uncertainty interval [UI] 12·9-65·4) were blind (crude prevalence 0·48%; 80% UI 0·17-0·87; 56% female), 216·6 million (80% UI 98·5-359·1) people had moderate to severe visual impairment (2·95%, 80% UI 1·34-4·89; 55% female), and 188·5 million (80% UI 64·5-350·2) had mild visual impairment (2·57%, 80% UI 0·88-4·77; 54% female). Functional presbyopia affected an estimated 1094·7 million (80% UI 581·1-1686·5) people aged 35 years and older, with 666·7 million (80% UI 364·9-997·6) being aged 50 years or older. The estimated number of blind people increased by 17·6%, from 30·6 million (80% UI 9·9-57·3) in 1990 to 36·0 million (80% UI 12·9-65·4) in 2015. This change was attributable to three factors, namely an increase because of population growth (38·4%), population ageing after accounting for population growth (34·6%), and reduction in age-specific prevalence (-36·7%). The number of people with moderate and severe visual impairment also increased, from 159·9 million (80% UI 68·3-270·0) in 1990 to 216·6 million (80% UI 98·5-359·1) in 2015.\nINTERPRETATION: There is an ongoing reduction in the age-standardised prevalence of blindness and visual impairment, yet the growth and ageing of the world's population is causing a substantial increase in number of people affected. These observations, plus a very large contribution from uncorrected presbyopia, highlight the need to scale up vision impairment alleviation efforts at all levels.\nFUNDING: Brien Holden Vision Institute.","container-title":"The Lancet. Global Health","DOI":"10.1016/S2214-109X(17)30293-0","ISSN":"2214-109X","issue":"9","journalAbbreviation":"Lancet Glob Health","language":"eng","note":"PMID: 28779882","page":"e888-e897","source":"PubMed","title":"Magnitude, temporal trends, and projections of the global prevalence of blindness and distance and near vision impairment: a systematic review and meta-analysis","title-short":"Magnitude, temporal trends, and projections of the global prevalence of blindness and distance and near vision impairment","volume":"5","author":[{"family":"Bourne","given":"Rupert R. A."},{"family":"Flaxman","given":"Seth R."},{"family":"Braithwaite","given":"Tasanee"},{"family":"Cicinelli","given":"Maria V."},{"family":"Das","given":"Aditi"},{"family":"Jonas","given":"Jost B."},{"family":"Keeffe","given":"Jill"},{"family":"Kempen","given":"John H."},{"family":"Leasher","given":"Janet"},{"family":"Limburg","given":"Hans"},{"family":"Naidoo","given":"Kovin"},{"family":"Pesudovs","given":"Konrad"},{"family":"Resnikoff","given":"Serge"},{"family":"Silvester","given":"Alex"},{"family":"Stevens","given":"Gretchen A."},{"family":"Tahhan","given":"Nina"},{"family":"Wong","given":"Tien Y."},{"family":"Taylor","given":"Hugh R."},{"literal":"Vision Loss Expert Group"}],"issued":{"date-parts":[["2017",9]]}}}],"schema":"https://github.com/citation-style-language/schema/raw/master/csl-citation.json"} </w:instrText>
      </w:r>
      <w:r w:rsidR="00854FE9"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[78]</w:t>
      </w:r>
      <w:r w:rsidR="00854FE9"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854FE9" w:rsidRPr="004804AA">
        <w:rPr>
          <w:rFonts w:ascii="Times New Roman" w:hAnsi="Times New Roman" w:cs="Times New Roman"/>
          <w:color w:val="000000"/>
          <w:sz w:val="28"/>
          <w:szCs w:val="28"/>
        </w:rPr>
        <w:t xml:space="preserve"> </w:t>
      </w:r>
      <w:r w:rsidR="00440A05">
        <w:rPr>
          <w:rFonts w:ascii="Times New Roman" w:hAnsi="Times New Roman" w:cs="Times New Roman"/>
          <w:color w:val="000000"/>
          <w:sz w:val="28"/>
          <w:szCs w:val="28"/>
        </w:rPr>
        <w:t>Пешеходы, имеющие н</w:t>
      </w:r>
      <w:r w:rsidR="00854FE9" w:rsidRPr="004804AA">
        <w:rPr>
          <w:rFonts w:ascii="Times New Roman" w:hAnsi="Times New Roman" w:cs="Times New Roman"/>
          <w:color w:val="000000"/>
          <w:sz w:val="28"/>
          <w:szCs w:val="28"/>
        </w:rPr>
        <w:t xml:space="preserve">ескорректированные </w:t>
      </w:r>
      <w:r w:rsidR="00854FE9" w:rsidRPr="004804AA">
        <w:rPr>
          <w:rFonts w:ascii="Times New Roman" w:hAnsi="Times New Roman" w:cs="Times New Roman"/>
          <w:color w:val="000000"/>
          <w:sz w:val="28"/>
          <w:szCs w:val="28"/>
        </w:rPr>
        <w:lastRenderedPageBreak/>
        <w:t>рефракционные нарушения в</w:t>
      </w:r>
      <w:r w:rsidR="00440A05">
        <w:rPr>
          <w:rFonts w:ascii="Times New Roman" w:hAnsi="Times New Roman" w:cs="Times New Roman"/>
          <w:color w:val="000000"/>
          <w:sz w:val="28"/>
          <w:szCs w:val="28"/>
        </w:rPr>
        <w:t xml:space="preserve"> среднем в</w:t>
      </w:r>
      <w:r w:rsidR="00854FE9" w:rsidRPr="004804AA">
        <w:rPr>
          <w:rFonts w:ascii="Times New Roman" w:hAnsi="Times New Roman" w:cs="Times New Roman"/>
          <w:color w:val="000000"/>
          <w:sz w:val="28"/>
          <w:szCs w:val="28"/>
        </w:rPr>
        <w:t xml:space="preserve"> 6,8 раз чаще подвергались риску травм и ДТП по сравнению с теми, кто носил очки. Кроме того, </w:t>
      </w:r>
      <w:r w:rsidR="00440A05">
        <w:rPr>
          <w:rFonts w:ascii="Times New Roman" w:hAnsi="Times New Roman" w:cs="Times New Roman"/>
          <w:color w:val="000000"/>
          <w:sz w:val="28"/>
          <w:szCs w:val="28"/>
        </w:rPr>
        <w:t xml:space="preserve">по меньше мере </w:t>
      </w:r>
      <w:r w:rsidR="00854FE9" w:rsidRPr="004804AA">
        <w:rPr>
          <w:rFonts w:ascii="Times New Roman" w:hAnsi="Times New Roman" w:cs="Times New Roman"/>
          <w:color w:val="000000"/>
          <w:sz w:val="28"/>
          <w:szCs w:val="28"/>
        </w:rPr>
        <w:t>2,6% людей с ослабленным зрением являются действующими водителями, повышая риски ДТП</w:t>
      </w:r>
      <w:r w:rsidR="00283E81">
        <w:rPr>
          <w:rFonts w:ascii="Times New Roman" w:hAnsi="Times New Roman" w:cs="Times New Roman"/>
          <w:color w:val="000000"/>
          <w:sz w:val="28"/>
          <w:szCs w:val="28"/>
        </w:rPr>
        <w:t xml:space="preserve"> </w:t>
      </w:r>
      <w:r w:rsidR="00EC097F"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{"citationID":"osghMknO","properties":{"formattedCitation":"[78]","plainCitation":"[78]","noteIndex":0},"citationItems":[{"id":1251,"uris":["http://zotero.org/users/local/XMo5Fvid/items/8YSTVM5P"],"itemData":{"id":1251,"type":"article-journal","abstract":"BACKGROUND: Global and regional prevalence estimates for blindness and vision impairment are important for the development of public health policies. We aimed to provide global estimates, trends, and projections of global blindness and vision impairment.\nMETHODS: We did a systematic review and meta-analysis of population-based datasets relevant to global vision impairment and blindness that were published between 1980 and 2015. We fitted hierarchical models to estimate the prevalence (by age, country, and sex), in 2015, of mild visual impairment (presenting visual acuity worse than 6/12 to 6/18 inclusive), moderate to severe visual impairment (presenting visual acuity worse than 6/18 to 3/60 inclusive), blindness (presenting visual acuity worse than 3/60), and functional presbyopia (defined as presenting near vision worse than N6 or N8 at 40 cm when best-corrected distance visual acuity was better than 6/12).\nFINDINGS: Globally, of the 7·33 billion people alive in 2015, an estimated 36·0 million (80% uncertainty interval [UI] 12·9-65·4) were blind (crude prevalence 0·48%; 80% UI 0·17-0·87; 56% female), 216·6 million (80% UI 98·5-359·1) people had moderate to severe visual impairment (2·95%, 80% UI 1·34-4·89; 55% female), and 188·5 million (80% UI 64·5-350·2) had mild visual impairment (2·57%, 80% UI 0·88-4·77; 54% female). Functional presbyopia affected an estimated 1094·7 million (80% UI 581·1-1686·5) people aged 35 years and older, with 666·7 million (80% UI 364·9-997·6) being aged 50 years or older. The estimated number of blind people increased by 17·6%, from 30·6 million (80% UI 9·9-57·3) in 1990 to 36·0 million (80% UI 12·9-65·4) in 2015. This change was attributable to three factors, namely an increase because of population growth (38·4%), population ageing after accounting for population growth (34·6%), and reduction in age-specific prevalence (-36·7%). The number of people with moderate and severe visual impairment also increased, from 159·9 million (80% UI 68·3-270·0) in 1990 to 216·6 million (80% UI 98·5-359·1) in 2015.\nINTERPRETATION: There is an ongoing reduction in the age-standardised prevalence of blindness and visual impairment, yet the growth and ageing of the world's population is causing a substantial increase in number of people affected. These observations, plus a very large contribution from uncorrected presbyopia, highlight the need to scale up vision impairment alleviation efforts at all levels.\nFUNDING: Brien Holden Vision Institute.","container-title":"The Lancet. Global Health","DOI":"10.1016/S2214-109X(17)30293-0","ISSN":"2214-109X","issue":"9","journalAbbreviation":"Lancet Glob Health","language":"eng","note":"PMID: 28779882","page":"e888-e897","source":"PubMed","title":"Magnitude, temporal trends, and projections of the global prevalence of blindness and distance and near vision impairment: a systematic review and meta-analysis","title-short":"Magnitude, temporal trends, and projections of the global prevalence of blindness and distance and near vision impairment","volume":"5","author":[{"family":"Bourne","given":"Rupert R. A."},{"family":"Flaxman","given":"Seth R."},{"family":"Braithwaite","given":"Tasanee"},{"family":"Cicinelli","given":"Maria V."},{"family":"Das","given":"Aditi"},{"family":"Jonas","given":"Jost B."},{"family":"Keeffe","given":"Jill"},{"family":"Kempen","given":"John H."},{"family":"Leasher","given":"Janet"},{"family":"Limburg","given":"Hans"},{"family":"Naidoo","given":"Kovin"},{"family":"Pesudovs","given":"Konrad"},{"family":"Resnikoff","given":"Serge"},{"family":"Silvester","given":"Alex"},{"family":"Stevens","given":"Gretchen A."},{"family":"Tahhan","given":"Nina"},{"family":"Wong","given":"Tien Y."},{"family":"Taylor","given":"Hugh R."},{"literal":"Vision Loss Expert Group"}],"issued":{"date-parts":[["2017",9]]}}}],"schema":"https://github.com/citation-style-language/schema/raw/master/csl-citation.json"} </w:instrText>
      </w:r>
      <w:r w:rsidR="00EC097F"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[78]</w:t>
      </w:r>
      <w:r w:rsidR="00EC097F"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p>
    <w:p w14:paraId="643F0965" w14:textId="713C2920" w:rsidR="000D1C7A" w:rsidRPr="004804AA" w:rsidRDefault="000D1C7A" w:rsidP="000D1C7A">
      <w:pPr>
        <w:pStyle w:val="a4"/>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4804AA">
        <w:rPr>
          <w:rFonts w:ascii="Times New Roman" w:hAnsi="Times New Roman" w:cs="Times New Roman"/>
          <w:color w:val="000000"/>
          <w:sz w:val="28"/>
          <w:szCs w:val="28"/>
        </w:rPr>
        <w:t xml:space="preserve"> увеличением </w:t>
      </w:r>
      <w:r>
        <w:rPr>
          <w:rFonts w:ascii="Times New Roman" w:hAnsi="Times New Roman" w:cs="Times New Roman"/>
          <w:color w:val="000000"/>
          <w:sz w:val="28"/>
          <w:szCs w:val="28"/>
        </w:rPr>
        <w:t xml:space="preserve">глобального </w:t>
      </w:r>
      <w:r w:rsidRPr="004804AA">
        <w:rPr>
          <w:rFonts w:ascii="Times New Roman" w:hAnsi="Times New Roman" w:cs="Times New Roman"/>
          <w:color w:val="000000"/>
          <w:sz w:val="28"/>
          <w:szCs w:val="28"/>
        </w:rPr>
        <w:t xml:space="preserve">технологического развития также растут требования к остроте зрения, что требует вспомогательных средств коррекции или реабилитации для лиц с легкими нарушениями зрения. Оценки прямых затрат на коррекцию рефракции (1 пара очков и обследование рефракции) рассчитанные на основе графиков оплаты услуг </w:t>
      </w:r>
      <w:r w:rsidR="00C93EF2">
        <w:rPr>
          <w:rFonts w:ascii="Times New Roman" w:hAnsi="Times New Roman" w:cs="Times New Roman"/>
          <w:color w:val="000000"/>
          <w:sz w:val="28"/>
          <w:szCs w:val="28"/>
        </w:rPr>
        <w:t>ц</w:t>
      </w:r>
      <w:r w:rsidRPr="004804AA">
        <w:rPr>
          <w:rFonts w:ascii="Times New Roman" w:hAnsi="Times New Roman" w:cs="Times New Roman"/>
          <w:color w:val="000000"/>
          <w:sz w:val="28"/>
          <w:szCs w:val="28"/>
        </w:rPr>
        <w:t xml:space="preserve">ентров </w:t>
      </w:r>
      <w:bookmarkStart w:id="2" w:name="_Hlk100570029"/>
      <w:r w:rsidRPr="004804AA">
        <w:rPr>
          <w:rFonts w:ascii="Times New Roman" w:hAnsi="Times New Roman" w:cs="Times New Roman"/>
          <w:color w:val="000000"/>
          <w:sz w:val="28"/>
          <w:szCs w:val="28"/>
        </w:rPr>
        <w:t xml:space="preserve">Medicare и Medicaid </w:t>
      </w:r>
      <w:bookmarkEnd w:id="2"/>
      <w:r>
        <w:rPr>
          <w:rFonts w:ascii="Times New Roman" w:hAnsi="Times New Roman" w:cs="Times New Roman"/>
          <w:color w:val="000000"/>
          <w:sz w:val="28"/>
          <w:szCs w:val="28"/>
        </w:rPr>
        <w:t>в</w:t>
      </w:r>
      <w:r w:rsidRPr="004804AA">
        <w:rPr>
          <w:rFonts w:ascii="Times New Roman" w:hAnsi="Times New Roman" w:cs="Times New Roman"/>
          <w:color w:val="000000"/>
          <w:sz w:val="28"/>
          <w:szCs w:val="28"/>
        </w:rPr>
        <w:t xml:space="preserve"> 2000 год</w:t>
      </w:r>
      <w:r>
        <w:rPr>
          <w:rFonts w:ascii="Times New Roman" w:hAnsi="Times New Roman" w:cs="Times New Roman"/>
          <w:color w:val="000000"/>
          <w:sz w:val="28"/>
          <w:szCs w:val="28"/>
        </w:rPr>
        <w:t>у</w:t>
      </w:r>
      <w:r w:rsidRPr="004804AA">
        <w:rPr>
          <w:rFonts w:ascii="Times New Roman" w:hAnsi="Times New Roman" w:cs="Times New Roman"/>
          <w:color w:val="000000"/>
          <w:sz w:val="28"/>
          <w:szCs w:val="28"/>
        </w:rPr>
        <w:t xml:space="preserve"> показали, что только в Соединенных Штатах (США) ежегодные затраты на исправление ошибки рефракции оцениваются в размере от 3,9 до 7,2 млрд</w:t>
      </w:r>
      <w:r>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долларов</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{"citationID":"eLnK8Yx4","properties":{"formattedCitation":"[79]","plainCitation":"[79]","noteIndex":0},"citationItems":[{"id":1523,"uris":["http://zotero.org/users/local/XMo5Fvid/items/DUXVDFS5"],"itemData":{"id":1523,"type":"article-journal","abstract":"OBJECTIVE: Correctable vision impairment caused by refractive error is common in the United States population. We estimated the direct costs of providing eyeglasses to all Americans (age&gt; or =12) who need refractive correction to achieve good distance vision.\nDESIGN: Cross-sectional study of a nationally representative sample of United States citizens.\nPARTICIPANTS: Participants in the 1999-2002 National Health and Nutrition Examination Survey (NHANES), age &gt; or = 12 years. The NHANES examines a nationally representative sample of the U.S. noninstitutionalized, civilian population.\nMETHODS: Presenting and corrected visual acuity data were obtained using an autorefractor from 13,211 (93.0%) of the 14,203 participants who visited the NHANES Mobile Examination Center in 1999 through 2002. Need for refractive correction was defined by current use of corrective lenses for distance vision, improvement to good visual acuity following autorefractor correction (using several cutpoints to define good visual acuity), or both.\nMAIN OUTCOME MEASURES: Estimates of direct cost for refractive correction (1 pair of complete eyeglasses and a refraction examination) were computed based on Centers for Medicare &amp; Medicaid Services fee schedules for 2000 and also based on expenditure data from the Medical Expenditure Panel Survey.\nRESULTS: The NHANES results indicate that &gt;110 million Americans could or do achieve normal vision with refractive correction. The annual direct cost of correcting distance vision impairment is at least $3.8 billion. Of this amount, $780 million represents the annual cost of providing distance vision correction for persons &gt; age 65.\nCONCLUSIONS: Correctable vision impairment due to refractive error is common in the United States population. These cost estimates provide useful information for public health endeavors aimed at provision of refractive correction to those who need it.","container-title":"Ophthalmology","DOI":"10.1016/j.ophtha.2006.06.033","ISSN":"1549-4713","issue":"12","journalAbbreviation":"Ophthalmology","language":"eng","note":"PMID: 16996610","page":"2163-2170","source":"PubMed","title":"Costs of refractive correction of distance vision impairment in the United States, 1999-2002","volume":"113","author":[{"family":"Vitale","given":"Susan"},{"family":"Cotch","given":"Mary Frances"},{"family":"Sperduto","given":"Robert"},{"family":"Ellwein","given":"Leon"}],"issued":{"date-parts":[["2006",12]]}}}],"schema":"https://github.com/citation-style-language/schema/raw/master/csl-citation.json"}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[79]</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w:t>
      </w:r>
    </w:p>
    <w:p w14:paraId="7D7CA1B8" w14:textId="64A10392" w:rsidR="00F46C4E" w:rsidRPr="004804AA" w:rsidRDefault="00F46C4E"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В 2013 году была опубликована новая методология систематического обзора нарушений зрения и слепоты для исследования </w:t>
      </w:r>
      <w:r w:rsidRPr="004804AA">
        <w:rPr>
          <w:rFonts w:ascii="Times New Roman" w:hAnsi="Times New Roman" w:cs="Times New Roman"/>
          <w:color w:val="000000"/>
          <w:sz w:val="28"/>
          <w:szCs w:val="28"/>
          <w:lang w:val="en-US"/>
        </w:rPr>
        <w:t>GBD</w:t>
      </w:r>
      <w:r w:rsidRPr="004804AA">
        <w:rPr>
          <w:rFonts w:ascii="Times New Roman" w:hAnsi="Times New Roman" w:cs="Times New Roman"/>
          <w:color w:val="000000"/>
          <w:sz w:val="28"/>
          <w:szCs w:val="28"/>
        </w:rPr>
        <w:t>, включавшая в себя оценку легких нарушений зрения</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{"citationID":"jSlxuvcS","properties":{"formattedCitation":"[70]","plainCitation":"[70]","noteIndex":0},"citationItems":[{"id":1332,"uris":["http://zotero.org/users/local/XMo5Fvid/items/GDCNCL4E"],"itemData":{"id":1332,"type":"article-journal","abstract":"To describe a systematic review of population-based prevalence studies of visual impairment (VI) and blindness worldwide over the past 32 years that informs the Global Burden of Diseases, Injuries and Risk Factors Study.A systematic review (Stage 1) of ...","container-title":"Ophthalmic epidemiology","DOI":"10.3109/09286586.2012.741279","ISSN":"0928-6586","issue":"1","language":"en","note":"publisher: NIH Public Access\nPMID: 23350553","page":"33","source":"www.ncbi.nlm.nih.gov","title":"New Systematic Review Methodology for Visual Impairment and Blindness for the 2010 Global Burden of Disease Study","volume":"20","author":[{"family":"Bourne","given":"Rupert"},{"family":"Price","given":"Holly"},{"family":"Taylor","given":"Hugh"},{"family":"Leasher","given":"Janet"},{"family":"Keeffe","given":"Jill"},{"family":"Glanville","given":"Julie"},{"family":"Sieving","given":"Pamela C."},{"family":"Khairallah","given":"Moncef"},{"family":"Wong","given":"Tien Yin"},{"family":"Zheng","given":"Yingfeng"},{"family":"Mathew","given":"Anu"},{"family":"Katiyar","given":"Suchitra"},{"family":"Mascarenhas","given":"Maya"},{"family":"Stevens","given":"Gretchen A."},{"family":"Resnikoff","given":"Serge"},{"family":"Gichuhi","given":"Stephen"},{"family":"Naidoo","given":"Kovin"},{"family":"Wallace","given":"Diane"},{"family":"Kymes","given":"Steven"},{"family":"Peters","given":"Colleen"},{"family":"Pesudovs","given":"Konrad"},{"family":"Braithwaite","given":"Tasanee"},{"family":"Limburg","given":"Hans"},{"family":"Group*","given":"On behalf of the Global Burden of Disease Vision Loss Expert"}],"issued":{"date-parts":[["2013"]]}}}],"schema":"https://github.com/citation-style-language/schema/raw/master/csl-citation.json"}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[70]</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Оценка распространенности легких нарушений зрения колебалась у разных авторов от 180,5 млн</w:t>
      </w:r>
      <w:r w:rsidR="00C93EF2">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t xml:space="preserve">человек по данным </w:t>
      </w:r>
      <w:r w:rsidRPr="004804AA">
        <w:rPr>
          <w:rFonts w:ascii="Times New Roman" w:hAnsi="Times New Roman" w:cs="Times New Roman"/>
          <w:color w:val="000000"/>
          <w:sz w:val="28"/>
          <w:szCs w:val="28"/>
          <w:lang w:val="en-US"/>
        </w:rPr>
        <w:t>Bourne</w:t>
      </w:r>
      <w:r w:rsidRPr="004804AA">
        <w:rPr>
          <w:rFonts w:ascii="Times New Roman" w:hAnsi="Times New Roman" w:cs="Times New Roman"/>
          <w:color w:val="000000"/>
          <w:sz w:val="28"/>
          <w:szCs w:val="28"/>
        </w:rPr>
        <w:t xml:space="preserve"> (2017)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{"citationID":"oJM5oDsE","properties":{"formattedCitation":"[78]","plainCitation":"[78]","noteIndex":0},"citationItems":[{"id":1251,"uris":["http://zotero.org/users/local/XMo5Fvid/items/8YSTVM5P"],"itemData":{"id":1251,"type":"article-journal","abstract":"BACKGROUND: Global and regional prevalence estimates for blindness and vision impairment are important for the development of public health policies. We aimed to provide global estimates, trends, and projections of global blindness and vision impairment.\nMETHODS: We did a systematic review and meta-analysis of population-based datasets relevant to global vision impairment and blindness that were published between 1980 and 2015. We fitted hierarchical models to estimate the prevalence (by age, country, and sex), in 2015, of mild visual impairment (presenting visual acuity worse than 6/12 to 6/18 inclusive), moderate to severe visual impairment (presenting visual acuity worse than 6/18 to 3/60 inclusive), blindness (presenting visual acuity worse than 3/60), and functional presbyopia (defined as presenting near vision worse than N6 or N8 at 40 cm when best-corrected distance visual acuity was better than 6/12).\nFINDINGS: Globally, of the 7·33 billion people alive in 2015, an estimated 36·0 million (80% uncertainty interval [UI] 12·9-65·4) were blind (crude prevalence 0·48%; 80% UI 0·17-0·87; 56% female), 216·6 million (80% UI 98·5-359·1) people had moderate to severe visual impairment (2·95%, 80% UI 1·34-4·89; 55% female), and 188·5 million (80% UI 64·5-350·2) had mild visual impairment (2·57%, 80% UI 0·88-4·77; 54% female). Functional presbyopia affected an estimated 1094·7 million (80% UI 581·1-1686·5) people aged 35 years and older, with 666·7 million (80% UI 364·9-997·6) being aged 50 years or older. The estimated number of blind people increased by 17·6%, from 30·6 million (80% UI 9·9-57·3) in 1990 to 36·0 million (80% UI 12·9-65·4) in 2015. This change was attributable to three factors, namely an increase because of population growth (38·4%), population ageing after accounting for population growth (34·6%), and reduction in age-specific prevalence (-36·7%). The number of people with moderate and severe visual impairment also increased, from 159·9 million (80% UI 68·3-270·0) in 1990 to 216·6 million (80% UI 98·5-359·1) in 2015.\nINTERPRETATION: There is an ongoing reduction in the age-standardised prevalence of blindness and visual impairment, yet the growth and ageing of the world's population is causing a substantial increase in number of people affected. These observations, plus a very large contribution from uncorrected presbyopia, highlight the need to scale up vision impairment alleviation efforts at all levels.\nFUNDING: Brien Holden Vision Institute.","container-title":"The Lancet. Global Health","DOI":"10.1016/S2214-109X(17)30293-0","ISSN":"2214-109X","issue":"9","journalAbbreviation":"Lancet Glob Health","language":"eng","note":"PMID: 28779882","page":"e888-e897","source":"PubMed","title":"Magnitude, temporal trends, and projections of the global prevalence of blindness and distance and near vision impairment: a systematic review and meta-analysis","title-short":"Magnitude, temporal trends, and projections of the global prevalence of blindness and distance and near vision impairment","volume":"5","author":[{"family":"Bourne","given":"Rupert R. A."},{"family":"Flaxman","given":"Seth R."},{"family":"Braithwaite","given":"Tasanee"},{"family":"Cicinelli","given":"Maria V."},{"family":"Das","given":"Aditi"},{"family":"Jonas","given":"Jost B."},{"family":"Keeffe","given":"Jill"},{"family":"Kempen","given":"John H."},{"family":"Leasher","given":"Janet"},{"family":"Limburg","given":"Hans"},{"family":"Naidoo","given":"Kovin"},{"family":"Pesudovs","given":"Konrad"},{"family":"Resnikoff","given":"Serge"},{"family":"Silvester","given":"Alex"},{"family":"Stevens","given":"Gretchen A."},{"family":"Tahhan","given":"Nina"},{"family":"Wong","given":"Tien Y."},{"family":"Taylor","given":"Hugh R."},{"literal":"Vision Loss Expert Group"}],"issued":{"date-parts":[["2017",9]]}}}],"schema":"https://github.com/citation-style-language/schema/raw/master/csl-citation.json"}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[78]</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до 258 млн</w:t>
      </w:r>
      <w:r w:rsidR="00C93EF2">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t xml:space="preserve">человек в исследованиях </w:t>
      </w:r>
      <w:r w:rsidRPr="004804AA">
        <w:rPr>
          <w:rFonts w:ascii="Times New Roman" w:hAnsi="Times New Roman" w:cs="Times New Roman"/>
          <w:color w:val="000000"/>
          <w:sz w:val="28"/>
          <w:szCs w:val="28"/>
          <w:lang w:val="en-US"/>
        </w:rPr>
        <w:t>VLEG</w:t>
      </w:r>
      <w:r w:rsidRPr="004804AA">
        <w:rPr>
          <w:rFonts w:ascii="Times New Roman" w:hAnsi="Times New Roman" w:cs="Times New Roman"/>
          <w:color w:val="000000"/>
          <w:sz w:val="28"/>
          <w:szCs w:val="28"/>
        </w:rPr>
        <w:t xml:space="preserve"> </w:t>
      </w:r>
      <w:r w:rsidR="005D3159">
        <w:rPr>
          <w:rFonts w:ascii="Times New Roman" w:hAnsi="Times New Roman" w:cs="Times New Roman"/>
          <w:color w:val="000000"/>
          <w:sz w:val="28"/>
          <w:szCs w:val="28"/>
        </w:rPr>
        <w:t>(</w:t>
      </w:r>
      <w:r w:rsidRPr="004804AA">
        <w:rPr>
          <w:rFonts w:ascii="Times New Roman" w:hAnsi="Times New Roman" w:cs="Times New Roman"/>
          <w:color w:val="000000"/>
          <w:sz w:val="28"/>
          <w:szCs w:val="28"/>
        </w:rPr>
        <w:t>2019)</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{"citationID":"7LBAXNHd","properties":{"formattedCitation":"[80]","plainCitation":"[80]","noteIndex":0},"citationItems":[{"id":1324,"uris":["http://zotero.org/users/local/XMo5Fvid/items/JE6NK78A"],"itemData":{"id":1324,"type":"article-journal","abstract":"BACKGROUND: To contribute to the WHO initiative, VISION 2020: The Right to Sight, an assessment of global vision impairment in 2020 and temporal change is needed. We aimed to extensively update estimates of global vision loss burden, presenting estimates for 2020, temporal change over three decades between 1990-2020, and forecasts for 2050.\nMETHODS: We did a systematic review and meta-analysis of population-based surveys of eye disease from January, 1980, to October, 2018. Only studies with samples representative of the population and with clearly defined visual acuity testing protocols were included. We fitted hierarchical models to estimate 2020 prevalence (with 95% uncertainty intervals [UIs]) of mild vision impairment (presenting visual acuity ≥6/18 and &lt;6/12), moderate and severe vision impairment (&lt;6/18 to 3/60), and blindness (&lt;3/60 or less than 10° visual field around central fixation); and vision impairment from uncorrected presbyopia (presenting near vision &lt;N6 or &lt;N8 at 40 cm where best-corrected distance visual acuity is ≥6/12). We forecast estimates of vision loss up to 2050.\nFINDINGS: In 2020, an estimated 43·3 million (95% UI 37·6-48·4) people were blind, of whom 23·9 million (55%; 20·8-26·8) were estimated to be female. We estimated 295 million (267-325) people to have moderate and severe vision impairment, of whom 163 million (55%; 147-179) were female; 258 million (233-285) to have mild vision impairment, of whom 142 million (55%; 128-157) were female; and 510 million (371-667) to have visual impairment from uncorrected presbyopia, of whom 280 million (55%; 205-365) were female. Globally, between 1990 and 2020, among adults aged 50 years or older, age-standardised prevalence of blindness decreased by 28·5% (-29·4 to -27·7) and prevalence of mild vision impairment decreased slightly (-0·3%, -0·8 to -0·2), whereas prevalence of moderate and severe vision impairment increased slightly (2·5%, 1·9 to 3·2; insufficient data were available to calculate this statistic for vision impairment from uncorrected presbyopia). In this period, the number of people who were blind increased by 50·6% (47·8 to 53·4) and the number with moderate and severe vision impairment increased by 91·7% (87·6 to 95·8). By 2050, we predict 61·0 million (52·9 to 69·3) people will be blind, 474 million (428 to 518) will have moderate and severe vision impairment, 360 million (322 to 400) will have mild vision impairment, and 866 million (629 to 1150) will have uncorrected presbyopia.\nINTERPRETATION: Age-adjusted prevalence of blindness has reduced over the past three decades, yet due to population growth, progress is not keeping pace with needs. We face enormous challenges in avoiding vision impairment as the global population grows and ages.\nFUNDING: Brien Holden Vision Institute, Fondation Thea, Fred Hollows Foundation, Bill &amp; Melinda Gates Foundation, Lions Clubs International Foundation, Sightsavers International, and University of Heidelberg.","container-title":"The Lancet. Global Health","DOI":"10.1016/S2214-109X(20)30425-3","ISSN":"2214-109X","journalAbbreviation":"Lancet Glob Health","language":"eng","note":"PMID: 33275950","source":"PubMed","title":"Trends in prevalence of blindness and distance and near vision impairment over 30 years: an analysis for the Global Burden of Disease Study","title-short":"Trends in prevalence of blindness and distance and near vision impairment over 30 years","author":[{"literal":"GBD 2019 Blindness and Vision Impairment Collaborators"},{"literal":"Vision Loss Expert Group of the Global Burden of Disease Study"}],"issued":{"date-parts":[["2020",12,1]]}}}],"schema":"https://github.com/citation-style-language/schema/raw/master/csl-citation.json"}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[80]</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w:t>
      </w:r>
    </w:p>
    <w:p w14:paraId="0EE07B0E" w14:textId="0C0B1DB0" w:rsidR="00BE1DAA" w:rsidRPr="004804AA" w:rsidRDefault="00F15570" w:rsidP="005C37DF">
      <w:pPr>
        <w:pStyle w:val="a4"/>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Наконец, б</w:t>
      </w:r>
      <w:r w:rsidR="00BE1DAA" w:rsidRPr="004804AA">
        <w:rPr>
          <w:rFonts w:ascii="Times New Roman" w:hAnsi="Times New Roman" w:cs="Times New Roman"/>
          <w:color w:val="000000"/>
          <w:sz w:val="28"/>
          <w:szCs w:val="28"/>
        </w:rPr>
        <w:t>ольшая часть опубликованной до 2010 года литературы не сообща</w:t>
      </w:r>
      <w:r w:rsidR="008D22E5">
        <w:rPr>
          <w:rFonts w:ascii="Times New Roman" w:hAnsi="Times New Roman" w:cs="Times New Roman"/>
          <w:color w:val="000000"/>
          <w:sz w:val="28"/>
          <w:szCs w:val="28"/>
        </w:rPr>
        <w:t>ла</w:t>
      </w:r>
      <w:r w:rsidR="00BE1DAA" w:rsidRPr="004804AA">
        <w:rPr>
          <w:rFonts w:ascii="Times New Roman" w:hAnsi="Times New Roman" w:cs="Times New Roman"/>
          <w:color w:val="000000"/>
          <w:sz w:val="28"/>
          <w:szCs w:val="28"/>
        </w:rPr>
        <w:t xml:space="preserve"> об одностороннем нарушении зрения, и предпочита</w:t>
      </w:r>
      <w:r w:rsidR="00BB3D2D">
        <w:rPr>
          <w:rFonts w:ascii="Times New Roman" w:hAnsi="Times New Roman" w:cs="Times New Roman"/>
          <w:color w:val="000000"/>
          <w:sz w:val="28"/>
          <w:szCs w:val="28"/>
        </w:rPr>
        <w:t>ла</w:t>
      </w:r>
      <w:r w:rsidR="00BE1DAA" w:rsidRPr="004804AA">
        <w:rPr>
          <w:rFonts w:ascii="Times New Roman" w:hAnsi="Times New Roman" w:cs="Times New Roman"/>
          <w:color w:val="000000"/>
          <w:sz w:val="28"/>
          <w:szCs w:val="28"/>
        </w:rPr>
        <w:t xml:space="preserve"> сосредоточиться исключительно на двустороннем поражении. </w:t>
      </w:r>
      <w:r w:rsidR="00BE1DAA" w:rsidRPr="004804AA">
        <w:rPr>
          <w:rFonts w:ascii="Times New Roman" w:hAnsi="Times New Roman" w:cs="Times New Roman"/>
          <w:sz w:val="28"/>
          <w:szCs w:val="28"/>
        </w:rPr>
        <w:t xml:space="preserve">В исследовании </w:t>
      </w:r>
      <w:r w:rsidR="00BE1DAA" w:rsidRPr="004804AA">
        <w:rPr>
          <w:rFonts w:ascii="Times New Roman" w:hAnsi="Times New Roman" w:cs="Times New Roman"/>
          <w:sz w:val="28"/>
          <w:szCs w:val="28"/>
          <w:lang w:val="en-US"/>
        </w:rPr>
        <w:t>GBD</w:t>
      </w:r>
      <w:r w:rsidR="00C93EF2">
        <w:rPr>
          <w:rFonts w:ascii="Times New Roman" w:hAnsi="Times New Roman" w:cs="Times New Roman"/>
          <w:sz w:val="28"/>
          <w:szCs w:val="28"/>
        </w:rPr>
        <w:t>-</w:t>
      </w:r>
      <w:r w:rsidR="00BE1DAA" w:rsidRPr="004804AA">
        <w:rPr>
          <w:rFonts w:ascii="Times New Roman" w:hAnsi="Times New Roman" w:cs="Times New Roman"/>
          <w:sz w:val="28"/>
          <w:szCs w:val="28"/>
        </w:rPr>
        <w:t>2010 включены исследования состоящие из участников с нарушениями зрения по любой причине на лучше видящем глазу</w:t>
      </w:r>
      <w:r w:rsidR="00283E81">
        <w:rPr>
          <w:rFonts w:ascii="Times New Roman" w:hAnsi="Times New Roman" w:cs="Times New Roman"/>
          <w:sz w:val="28"/>
          <w:szCs w:val="28"/>
        </w:rPr>
        <w:t xml:space="preserve"> </w:t>
      </w:r>
      <w:r w:rsidR="00BE1DAA"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{"citationID":"ltyfF4Ib","properties":{"formattedCitation":"[70]","plainCitation":"[70]","noteIndex":0},"citationItems":[{"id":1332,"uris":["http://zotero.org/users/local/XMo5Fvid/items/GDCNCL4E"],"itemData":{"id":1332,"type":"article-journal","abstract":"To describe a systematic review of population-based prevalence studies of visual impairment (VI) and blindness worldwide over the past 32 years that informs the Global Burden of Diseases, Injuries and Risk Factors Study.A systematic review (Stage 1) of ...","container-title":"Ophthalmic epidemiology","DOI":"10.3109/09286586.2012.741279","ISSN":"0928-6586","issue":"1","language":"en","note":"publisher: NIH Public Access\nPMID: 23350553","page":"33","source":"www.ncbi.nlm.nih.gov","title":"New Systematic Review Methodology for Visual Impairment and Blindness for the 2010 Global Burden of Disease Study","volume":"20","author":[{"family":"Bourne","given":"Rupert"},{"family":"Price","given":"Holly"},{"family":"Taylor","given":"Hugh"},{"family":"Leasher","given":"Janet"},{"family":"Keeffe","given":"Jill"},{"family":"Glanville","given":"Julie"},{"family":"Sieving","given":"Pamela C."},{"family":"Khairallah","given":"Moncef"},{"family":"Wong","given":"Tien Yin"},{"family":"Zheng","given":"Yingfeng"},{"family":"Mathew","given":"Anu"},{"family":"Katiyar","given":"Suchitra"},{"family":"Mascarenhas","given":"Maya"},{"family":"Stevens","given":"Gretchen A."},{"family":"Resnikoff","given":"Serge"},{"family":"Gichuhi","given":"Stephen"},{"family":"Naidoo","given":"Kovin"},{"family":"Wallace","given":"Diane"},{"family":"Kymes","given":"Steven"},{"family":"Peters","given":"Colleen"},{"family":"Pesudovs","given":"Konrad"},{"family":"Braithwaite","given":"Tasanee"},{"family":"Limburg","given":"Hans"},{"family":"Group*","given":"On behalf of the Global Burden of Disease Vision Loss Expert"}],"issued":{"date-parts":[["2013"]]}}}],"schema":"https://github.com/citation-style-language/schema/raw/master/csl-citation.json"} </w:instrText>
      </w:r>
      <w:r w:rsidR="00BE1DAA"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[70]</w:t>
      </w:r>
      <w:r w:rsidR="00BE1DAA"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BE1DAA" w:rsidRPr="004804AA">
        <w:rPr>
          <w:rFonts w:ascii="Times New Roman" w:hAnsi="Times New Roman" w:cs="Times New Roman"/>
          <w:sz w:val="28"/>
          <w:szCs w:val="28"/>
        </w:rPr>
        <w:t xml:space="preserve"> </w:t>
      </w:r>
      <w:r w:rsidR="00BE1DAA" w:rsidRPr="004804AA">
        <w:rPr>
          <w:rFonts w:ascii="Times New Roman" w:hAnsi="Times New Roman" w:cs="Times New Roman"/>
          <w:color w:val="000000"/>
          <w:sz w:val="28"/>
          <w:szCs w:val="28"/>
        </w:rPr>
        <w:t>Однако ряд авторов утверждает, что одностороннее нарушение зрения значительно влияет на зрительные функции, в первую очередь на стереопсис (восприятие глубины), необходимый для того, чтобы видеть мир в трех измерениях.</w:t>
      </w:r>
      <w:r w:rsidR="00BB3D2D">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t xml:space="preserve">Исследования бинокулярного зрения показывают, что стереоскопическое зрение играет ключевую роль при выполнении </w:t>
      </w:r>
      <w:r w:rsidR="00CA57E4">
        <w:rPr>
          <w:rFonts w:ascii="Times New Roman" w:hAnsi="Times New Roman" w:cs="Times New Roman"/>
          <w:color w:val="000000"/>
          <w:sz w:val="28"/>
          <w:szCs w:val="28"/>
        </w:rPr>
        <w:t>точных</w:t>
      </w:r>
      <w:r w:rsidR="00BE1DAA" w:rsidRPr="004804AA">
        <w:rPr>
          <w:rFonts w:ascii="Times New Roman" w:hAnsi="Times New Roman" w:cs="Times New Roman"/>
          <w:color w:val="000000"/>
          <w:sz w:val="28"/>
          <w:szCs w:val="28"/>
        </w:rPr>
        <w:t xml:space="preserve"> задач и ухудшается с увеличением значений анизометропии</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{"citationID":"C9BAjnS0","properties":{"formattedCitation":"[81]","plainCitation":"[81]","noteIndex":0},"citationItems":[{"id":1475,"uris":["http://zotero.org/users/local/XMo5Fvid/items/5JBHK7E3"],"itemData":{"id":1475,"type":"article-journal","abstract":"BACKGROUND: Pediatric ophthalmologists are increasingly expected to promote, preserve, and restore binocular vision.\nMETHODS: Clinical studies on restoring alignment and stereopsis in the management of amblyopia, esotropia, exotropia, and complex strabismus are reviewed from the perspective of the author's published work and personal experiences.\nRESULTS: Treatment of amblyopia by means of optical rehabilitation, occlusion, or penalization has been reinforced by medical treatment and perceptual training with monocular or binocular video games. Studies indicate that early management of esotropia and alignment within 8Δ is required for regaining stereopsis. In the surgical management of intermittent exotropia, distance stereopsis by Frisby Davis Distance stereotest can predict better stereopsis, with patients having preoperative distance stereopsis of &lt;70 arcsec less likely to improve after surgery. The surgeon's armamentarium for correcting alignment and restoring binocular vision include procedures such as adjustable, partial vertical rectus muscle transposition in cases of exotropic Duane syndrome and lateral rectus palsy, periosteal fixation of the globe or of the lateral rectus muscle, and medial transposition of the split lateral rectus muscle.\nCONCLUSIONS: The goal for present-day strabismologists is not merely to correct strabismus but also to achieve alignment of eyes in time to ensure normal development of stereopsis in children and to restore alignment and stereopsis in adults.","container-title":"Journal of AAPOS: the official publication of the American Association for Pediatric Ophthalmology and Strabismus","DOI":"10.1016/j.jaapos.2017.10.009","ISSN":"1528-3933","issue":"1","journalAbbreviation":"J AAPOS","language":"eng","note":"PMID: 29292047","page":"2.e1-2.e5","source":"PubMed","title":"The pursuit of stereopsis","volume":"22","author":[{"family":"Sharma","given":"Pradeep"}],"issued":{"date-parts":[["2018",2]]}}}],"schema":"https://github.com/citation-style-language/schema/raw/master/csl-citation.json"}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[81]</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BE1DAA" w:rsidRPr="004804AA">
        <w:rPr>
          <w:rFonts w:ascii="Times New Roman" w:hAnsi="Times New Roman" w:cs="Times New Roman"/>
          <w:color w:val="000000"/>
          <w:sz w:val="28"/>
          <w:szCs w:val="28"/>
        </w:rPr>
        <w:t xml:space="preserve"> Это особенно важно в профессиях, требующих тонкой зрительно-моторной координации, таких как микрохирургия, пилотирование и </w:t>
      </w:r>
      <w:r w:rsidR="00283E81" w:rsidRPr="004804AA">
        <w:rPr>
          <w:rFonts w:ascii="Times New Roman" w:hAnsi="Times New Roman" w:cs="Times New Roman"/>
          <w:color w:val="000000"/>
          <w:sz w:val="28"/>
          <w:szCs w:val="28"/>
        </w:rPr>
        <w:t>т.д.</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{"citationID":"G2VAOg8p","properties":{"formattedCitation":"[82]","plainCitation":"[82]","noteIndex":0},"citationItems":[{"id":1477,"uris":["http://zotero.org/users/local/XMo5Fvid/items/92ZTLRLJ"],"itemData":{"id":1477,"type":"article-journal","abstract":"Stereopsis has been one of the most popular fields of vision research for well over a century and is routinely measured in clinical practice, yet its functional significance has been largely neglected. Stereopsis is disrupted by blur, amblyopia and strabismus and is of potential value as a means of indirect screening for visual disorders in childhood. However, evidence for the functional effects of stereoscopic deficits is sparse. Recent investigations indicate that binocularity is an advantage in certain tasks, especially in the comprehension of complex visual presentations and those requiring good hand-eye coordination. The assumption derived from the evolutionary theory that stereopsis represents an adaptation by primates to arboreal life needs to be questioned. While the functional aspects of stereopsis are still not fully understood the direction that future research should take to unravel this important issue is apparent.","container-title":"Eye (London, England)","DOI":"10.1038/eye.1996.51","ISSN":"0950-222X","journalAbbreviation":"Eye (Lond)","language":"eng","note":"PMID: 8776453","page":"233-238","source":"PubMed","title":"Does stereopsis matter in humans?","volume":"10 ( Pt 2)","author":[{"family":"Fielder","given":"A. R."},{"family":"Moseley","given":"M. J."}],"issued":{"date-parts":[["1996"]]}}}],"schema":"https://github.com/citation-style-language/schema/raw/master/csl-citation.json"}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[82]</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BE1DAA" w:rsidRPr="004804AA">
        <w:rPr>
          <w:rFonts w:ascii="Times New Roman" w:hAnsi="Times New Roman" w:cs="Times New Roman"/>
          <w:color w:val="000000"/>
          <w:sz w:val="28"/>
          <w:szCs w:val="28"/>
        </w:rPr>
        <w:t xml:space="preserve"> Однако, с появлением виртуальных классов, трехмерных фильмов и игр стереоскопия стала важной даже для людей, не связанных с этими профессиями</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{"citationID":"gMC64yjQ","properties":{"formattedCitation":"[83]","plainCitation":"[83]","noteIndex":0},"citationItems":[{"id":1480,"uris":["http://zotero.org/users/local/XMo5Fvid/items/TB3582NZ"],"itemData":{"id":1480,"type":"article-journal","abstract":"Purpose: To quantitatively correlate the loss of stereopsis by induced anisometropia with its effect on tasks that require binocular vision and stereopsis, such as ophthalmic surgery in a simulated environment.\nMethods: Thirty-nine ophthalmic residents with best-corrected visual acuity of 20/20 or better OU, with normal binocular vision and stereopsis, were recruited for the study. Anisometropia was induced using spherical and cylindrical trial lenses from +1D to +5D in a trial frame. The residents performed an anterior chamber navigation exercise on the EYESi simulator and the surgical score at baseline and for each level of induced anisometropia was noted. Near stereopsis was assessed by the Randot test and TNO test at baseline and for each level of induced anisometropia.\nResults: Stereoacuity on the Randot test and TNO test were 30 (95% CI, 25.9-34.1) and 44.4 (95% CI, 28.5-60.3) arcseconds, respectively which reduced to 65.5 (95% CI, 48.7-82.3) and 75.9 (95% CI, 15.5-136.3) arcseconds at anisometropia of +1D Sph (P &lt; 0.001) and 380 (95% CI, 309.9-450.1) and 1922.1 (95% CI, 1582.5-2261.7) arcseconds for +5D Sph, respectively for the two tests, (P &lt; 0.001). The corresponding surgical score reduced from 93.8 (95% CI, 91.1-96.7) to 87.5 (95% CI, 79.2-95.8, P &lt; 0.001) for 1 DSph and 55.97 (95% CI, 38.3-73.7, P &lt; 0.001) for 5DSph. There was a strong negative correlation between stereopsis scores and surgical task scores (Spearman's rho -0.86, P value &lt;0.001) Similar changes were seen for anisometropia induced with cylindrical powers.\nConclusion: Induced anisometropia is associated with a significant diminution in surgical task scores in a simulated environment and this is correlated with the deterioration in stereoacuity. Assessment of stereopsis may be included as a regular part of the screening procedure for ophthalmic trainee residents.","container-title":"Indian Journal of Ophthalmology","DOI":"10.4103/ijo.IJO_1540_20","ISSN":"1998-3689","issue":"3","journalAbbreviation":"Indian J Ophthalmol","language":"eng","note":"PMID: 33595474\nPMCID: PMC7942079","page":"568-572","source":"PubMed","title":"Effect of induced anisometropia on stereopsis and surgical tasks in a simulated environment","volume":"69","author":[{"family":"Singh","given":"Pallavi"},{"family":"Bergaal","given":"Sitesh Kumar"},{"family":"Sharma","given":"Pradeep"},{"family":"Agarwal","given":"Tushar"},{"family":"Saxena","given":"Rohit"},{"family":"Phuljhele","given":"Swati"}],"issued":{"date-parts":[["2021",3]]}}}],"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[83]</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BB3D2D">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t>Кроме того, одностороннее снижение зрения в ряде исследований ассоциировано с повышенным травматизмом и падениями. Так, в 1997–1999 годах был запущен Мельбурнский проект по ухудшению зрения - популяционное исследование влияния односторонней потери зрения на различные аспекты жизни, включая безопасность и независимость. Некорректируемая односторонняя потеря зрения увеличивала шансы упасть вдали от дома</w:t>
      </w:r>
      <w:r w:rsidR="00BB3D2D">
        <w:rPr>
          <w:rFonts w:ascii="Times New Roman" w:hAnsi="Times New Roman" w:cs="Times New Roman"/>
          <w:color w:val="000000"/>
          <w:sz w:val="28"/>
          <w:szCs w:val="28"/>
        </w:rPr>
        <w:t xml:space="preserve"> в 2,8 раза</w:t>
      </w:r>
      <w:r w:rsidR="00BE1DAA" w:rsidRPr="004804AA">
        <w:rPr>
          <w:rFonts w:ascii="Times New Roman" w:hAnsi="Times New Roman" w:cs="Times New Roman"/>
          <w:color w:val="000000"/>
          <w:sz w:val="28"/>
          <w:szCs w:val="28"/>
        </w:rPr>
        <w:t xml:space="preserve"> (</w:t>
      </w:r>
      <w:r w:rsidR="00CA57E4">
        <w:rPr>
          <w:rFonts w:ascii="Times New Roman" w:hAnsi="Times New Roman" w:cs="Times New Roman"/>
          <w:color w:val="000000"/>
          <w:sz w:val="28"/>
          <w:szCs w:val="28"/>
        </w:rPr>
        <w:t>ОШ</w:t>
      </w:r>
      <w:r w:rsidR="00BE1DAA" w:rsidRPr="004804AA">
        <w:rPr>
          <w:rFonts w:ascii="Times New Roman" w:hAnsi="Times New Roman" w:cs="Times New Roman"/>
          <w:color w:val="000000"/>
          <w:sz w:val="28"/>
          <w:szCs w:val="28"/>
        </w:rPr>
        <w:t xml:space="preserve"> 2,86, 95% ДИ от 1,16 до 7,08), обращение за бытовой помощью </w:t>
      </w:r>
      <w:r w:rsidR="00BB3D2D">
        <w:rPr>
          <w:rFonts w:ascii="Times New Roman" w:hAnsi="Times New Roman" w:cs="Times New Roman"/>
          <w:color w:val="000000"/>
          <w:sz w:val="28"/>
          <w:szCs w:val="28"/>
        </w:rPr>
        <w:t xml:space="preserve">в 3 раза </w:t>
      </w:r>
      <w:r w:rsidR="00BE1DAA" w:rsidRPr="004804AA">
        <w:rPr>
          <w:rFonts w:ascii="Times New Roman" w:hAnsi="Times New Roman" w:cs="Times New Roman"/>
          <w:color w:val="000000"/>
          <w:sz w:val="28"/>
          <w:szCs w:val="28"/>
        </w:rPr>
        <w:t>(</w:t>
      </w:r>
      <w:r w:rsidR="00CA57E4">
        <w:rPr>
          <w:rFonts w:ascii="Times New Roman" w:hAnsi="Times New Roman" w:cs="Times New Roman"/>
          <w:color w:val="000000"/>
          <w:sz w:val="28"/>
          <w:szCs w:val="28"/>
        </w:rPr>
        <w:t>ОШ</w:t>
      </w:r>
      <w:r w:rsidR="00BE1DAA" w:rsidRPr="004804AA">
        <w:rPr>
          <w:rFonts w:ascii="Times New Roman" w:hAnsi="Times New Roman" w:cs="Times New Roman"/>
          <w:color w:val="000000"/>
          <w:sz w:val="28"/>
          <w:szCs w:val="28"/>
        </w:rPr>
        <w:t xml:space="preserve"> 3,09, 95% ДИ от 1,40 до 6,83) и полной или частичной бытовой зависимостью (получение помощи с едой и работой по дому) </w:t>
      </w:r>
      <w:r w:rsidR="00BB3D2D">
        <w:rPr>
          <w:rFonts w:ascii="Times New Roman" w:hAnsi="Times New Roman" w:cs="Times New Roman"/>
          <w:color w:val="000000"/>
          <w:sz w:val="28"/>
          <w:szCs w:val="28"/>
        </w:rPr>
        <w:t xml:space="preserve">более чем в 7 раз </w:t>
      </w:r>
      <w:r w:rsidR="00BE1DAA" w:rsidRPr="004804AA">
        <w:rPr>
          <w:rFonts w:ascii="Times New Roman" w:hAnsi="Times New Roman" w:cs="Times New Roman"/>
          <w:color w:val="000000"/>
          <w:sz w:val="28"/>
          <w:szCs w:val="28"/>
        </w:rPr>
        <w:t>(ОШ 7,50, 95% ДИ от 1,97 до 28,6)</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{"citationID":"96lJktjj","properties":{"formattedCitation":"[75]","plainCitation":"[75]","noteIndex":0},"citationItems":[{"id":1530,"uris":["http://zotero.org/users/local/XMo5Fvid/items/DHYW73FM"],"itemData":{"id":1530,"type":"article-journal","abstract":"AIM: To investigate whether unilateral vision loss reduced any aspects of quality of life in comparison with normal vision and to compare its impact with that of bilateral vision loss.\nMETHODS: This study used cluster stratified random sample of 3271 urban participants recruited between 1992 and 1994 for the Melbourne Visual Impairment Project. All predictors and outcomes were from the 5 year follow up examinations conducted in 1997-9.\nRESULTS: There were 2530 participants who attended the follow up survey and had measurement of presenting visual acuity. Both unilateral and bilateral vision loss were significantly associated with increased odds of having problems in visual functions including reading the telephone book, newspaper, watching television, and seeing faces. Non-correctable by refraction unilateral vision loss increased the odds of falling when away from home (OR = 2.86, 95% CI 1.16 to 7.08), getting help with chores (OR = 3.09, 95% CI 1.40 to 6.83), and becoming dependent (getting help with meals and chores) (OR = 7.50, 95% CI 1.97 to 28.6). Non-correctable bilateral visual loss was associated with many activities of daily living except falling.\nCONCLUSIONS: Non-correctable unilateral vision loss was associated with issues of safety and independent living while non-correctable bilateral vision loss was associated with nursing home placement, emotional wellbeing, use of community services, and activities of daily living. Correctable or treatable vision loss should be detected and attended to.","container-title":"The British Journal of Ophthalmology","DOI":"10.1136/bjo.2004.047498","ISSN":"0007-1161","issue":"3","journalAbbreviation":"Br J Ophthalmol","language":"eng","note":"PMID: 15722319\nPMCID: PMC1772562","page":"360-363","source":"PubMed","title":"Impact of unilateral and bilateral vision loss on quality of life","volume":"89","author":[{"family":"Vu","given":"H. T. V."},{"family":"Keeffe","given":"J. E."},{"family":"McCarty","given":"C. A."},{"family":"Taylor","given":"H. R."}],"issued":{"date-parts":[["2005",3]]}}}],"schema":"https://github.com/citation-style-language/schema/raw/master/csl-citation.json"}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[75]</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BE1DAA" w:rsidRPr="004804AA">
        <w:rPr>
          <w:rFonts w:ascii="Times New Roman" w:hAnsi="Times New Roman" w:cs="Times New Roman"/>
          <w:color w:val="000000"/>
          <w:sz w:val="28"/>
          <w:szCs w:val="28"/>
        </w:rPr>
        <w:t xml:space="preserve"> Некорректируемая односторонняя потеря зрения увеличивала в два-пять раз вероятность возникновения проблем с чтением телефонной книги, чтением </w:t>
      </w:r>
      <w:r w:rsidR="00BE1DAA" w:rsidRPr="004804AA">
        <w:rPr>
          <w:rFonts w:ascii="Times New Roman" w:hAnsi="Times New Roman" w:cs="Times New Roman"/>
          <w:color w:val="000000"/>
          <w:sz w:val="28"/>
          <w:szCs w:val="28"/>
        </w:rPr>
        <w:lastRenderedPageBreak/>
        <w:t>газет, просмотром телевизора и распознаванием лиц</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{"citationID":"ZiA8VEf7","properties":{"formattedCitation":"[84]","plainCitation":"[84]","noteIndex":0},"citationItems":[{"id":1472,"uris":["http://zotero.org/users/local/XMo5Fvid/items/W8A6EB5J"],"itemData":{"id":1472,"type":"article-journal","abstract":"AIM: To investigate whether unilateral vision loss reduced any aspects of quality of life in comparison with normal vision and to compare its impact with that of bilateral vision loss.\nMETHODS: This study used cluster stratified random sample of 3271 urban participants recruited between 1992 and 1994 for the Melbourne Visual Impairment Project. All predictors and outcomes were from the 5 year follow up examinations conducted in 1997-9.\nRESULTS: There were 2530 participants who attended the follow up survey and had measurement of presenting visual acuity. Both unilateral and bilateral vision loss were significantly associated with increased odds of having problems in visual functions including reading the telephone book, newspaper, watching television, and seeing faces. Non-correctable by refraction unilateral vision loss increased the odds of falling when away from home (OR = 2.86, 95% CI 1.16 to 7.08), getting help with chores (OR = 3.09, 95% CI 1.40 to 6.83), and becoming dependent (getting help with meals and chores) (OR = 7.50, 95% CI 1.97 to 28.6). Non-correctable bilateral visual loss was associated with many activities of daily living except falling.\nCONCLUSIONS: Non-correctable unilateral vision loss was associated with issues of safety and independent living while non-correctable bilateral vision loss was associated with nursing home placement, emotional wellbeing, use of community services, and activities of daily living. Correctable or treatable vision loss should be detected and attended to.","container-title":"The British Journal of Ophthalmology","DOI":"10.1136/bjo.2004.047498","ISSN":"0007-1161","issue":"3","journalAbbreviation":"Br J Ophthalmol","language":"eng","note":"PMID: 15722319\nPMCID: PMC1772562","page":"360-363","source":"PubMed","title":"Impact of unilateral and bilateral vision loss on quality of life","volume":"89","author":[{"family":"Vu","given":"H. T. V."},{"family":"Keeffe","given":"J. E."},{"family":"McCarty","given":"C. A."},{"family":"Taylor","given":"H. R."}],"issued":{"date-parts":[["2005",3]]}}}],"schema":"https://github.com/citation-style-language/schema/raw/master/csl-citation.json"}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[84]</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BE1DAA" w:rsidRPr="004804AA">
        <w:rPr>
          <w:rFonts w:ascii="Times New Roman" w:hAnsi="Times New Roman" w:cs="Times New Roman"/>
          <w:color w:val="000000"/>
          <w:sz w:val="28"/>
          <w:szCs w:val="28"/>
        </w:rPr>
        <w:t xml:space="preserve"> Несмотря на полученные данные, во многих регионах деятельность монокулярных пациентов никак не лимитируется. К примеру, одностороннее снижение или отсутствие зрения не обнаруживается текущими процедурами тестирования для водительской лицензии в Квинсленде (Австралия)</w:t>
      </w:r>
      <w:r w:rsidR="00283E81">
        <w:rPr>
          <w:rFonts w:ascii="Times New Roman" w:hAnsi="Times New Roman" w:cs="Times New Roman"/>
          <w:color w:val="000000"/>
          <w:sz w:val="28"/>
          <w:szCs w:val="28"/>
        </w:rPr>
        <w:t xml:space="preserve"> </w:t>
      </w:r>
      <w:r w:rsidR="00BE1DAA"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{"citationID":"B05BI96T","properties":{"formattedCitation":"[85]","plainCitation":"[85]","noteIndex":0},"citationItems":[{"id":1492,"uris":["http://zotero.org/users/local/XMo5Fvid/items/PPY6HUXY"],"itemData":{"id":1492,"type":"article-journal","abstract":"OBJECTIVE: To conduct a survey of the visual acuity of a group of Brisbane Drivers.\nSETTING: The outpatient department of the Princess Alexandra Hospital, Brisbane.\nPARTICIPANTS: Five hundred and three subjects drawn from patients, visitors and staff attending the outpatient department on 10 working days from December 5 to December 16, 1988.\nMAIN OUTCOME MEASURES: Subjects' age, driver's licence details and driving history were gathered by questionnaire. Visual acuity was assessed with the aid of a Snellen chart.\nRESULTS: Nearly 6% of the survey group had visual acuity worse than 6/12; 15% had never had their eyes tested other than for licensing purposes; 21% stated that their last ophthalmic or optometric examination was more than five years previously; and 8% failed to meet the Queensland visual acuity requirements for their class of licence.\nCONCLUSIONS: The monocular driver is not detected by current licence testing procedures in Queensland. Many licence holders do not meet the present visual acuity criteria of the Queensland Department of Transport.","container-title":"The Medical Journal of Australia","DOI":"10.5694/j.1326-5377.1991.tb142138.x","ISSN":"0025-729X","issue":"2","journalAbbreviation":"Med J Aust","language":"eng","note":"PMID: 1857285","page":"107-111","source":"PubMed","title":"A survey of the visual acuity of Brisbane drivers","volume":"155","author":[{"family":"McConnell","given":"R. A."},{"family":"Spall","given":"A. D."},{"family":"Hirst","given":"L. W."},{"family":"Williams","given":"G."}],"issued":{"date-parts":[["1991",7,15]]}}}],"schema":"https://github.com/citation-style-language/schema/raw/master/csl-citation.json"} </w:instrText>
      </w:r>
      <w:r w:rsidR="00BE1DAA"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[85]</w:t>
      </w:r>
      <w:r w:rsidR="00BE1DAA"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1279B3">
        <w:rPr>
          <w:rFonts w:ascii="Times New Roman" w:hAnsi="Times New Roman" w:cs="Times New Roman"/>
          <w:color w:val="000000"/>
          <w:sz w:val="28"/>
          <w:szCs w:val="28"/>
        </w:rPr>
        <w:t xml:space="preserve"> </w:t>
      </w:r>
    </w:p>
    <w:p w14:paraId="635C2D9A" w14:textId="4AA56FC9" w:rsidR="000B4F45" w:rsidRPr="004804AA" w:rsidRDefault="006B7D91" w:rsidP="006B7D91">
      <w:pPr>
        <w:pStyle w:val="a4"/>
        <w:ind w:firstLine="709"/>
        <w:jc w:val="both"/>
        <w:rPr>
          <w:rFonts w:ascii="Times New Roman" w:hAnsi="Times New Roman" w:cs="Times New Roman"/>
          <w:color w:val="000000"/>
          <w:sz w:val="28"/>
          <w:szCs w:val="28"/>
        </w:rPr>
      </w:pPr>
      <w:r w:rsidRPr="006B7D91">
        <w:rPr>
          <w:rFonts w:ascii="Times New Roman" w:hAnsi="Times New Roman" w:cs="Times New Roman"/>
          <w:i/>
          <w:iCs/>
          <w:color w:val="000000"/>
          <w:sz w:val="28"/>
          <w:szCs w:val="28"/>
        </w:rPr>
        <w:t>Распространенность нарушений рефракции.</w:t>
      </w:r>
      <w:r>
        <w:rPr>
          <w:rFonts w:ascii="Times New Roman" w:hAnsi="Times New Roman" w:cs="Times New Roman"/>
          <w:color w:val="000000"/>
          <w:sz w:val="28"/>
          <w:szCs w:val="28"/>
        </w:rPr>
        <w:t xml:space="preserve"> </w:t>
      </w:r>
      <w:r w:rsidR="00657E79" w:rsidRPr="004804AA">
        <w:rPr>
          <w:rFonts w:ascii="Times New Roman" w:hAnsi="Times New Roman" w:cs="Times New Roman"/>
          <w:color w:val="000000"/>
          <w:sz w:val="28"/>
          <w:szCs w:val="28"/>
        </w:rPr>
        <w:t xml:space="preserve">Международные и локальные исследования документируют широкий разброс в распространенности аномалий рефракции в зависимости от возраста, пола, этноса, географического региона исследования и т. д. </w:t>
      </w:r>
      <w:r w:rsidR="000B4F45" w:rsidRPr="004804AA">
        <w:rPr>
          <w:rFonts w:ascii="Times New Roman" w:hAnsi="Times New Roman" w:cs="Times New Roman"/>
          <w:color w:val="000000"/>
          <w:sz w:val="28"/>
          <w:szCs w:val="28"/>
        </w:rPr>
        <w:t>Проведенное в США Национальное исследование здоровья и питания (NHANES) (1999 - 2002) выявило уровень распространенности нескорректированных нарушений рефракции в 5,3% среди взрослого населения и подростков старше 12 лет</w:t>
      </w:r>
      <w:r w:rsidR="00861240">
        <w:rPr>
          <w:rFonts w:ascii="Times New Roman" w:hAnsi="Times New Roman" w:cs="Times New Roman"/>
          <w:color w:val="000000"/>
          <w:sz w:val="28"/>
          <w:szCs w:val="28"/>
        </w:rPr>
        <w:t>.</w:t>
      </w:r>
      <w:r w:rsidR="000B4F45"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{"citationID":"o2UCFjjS","properties":{"formattedCitation":"[86]","plainCitation":"[86]","noteIndex":0},"citationItems":[{"id":1343,"uris":["http://zotero.org/users/local/XMo5Fvid/items/8W3ZFIF8"],"itemData":{"id":1343,"type":"article-journal","abstract":"CONTEXT: The prevalence of visual impairment in the US public has not been surveyed nationally in several decades.\nOBJECTIVE: To estimate the number of US individuals aged 12 years or older who have impaired distance vision due to uncorrected refractive error.\nDESIGN, SETTING, AND PARTICIPANTS: The National Health and Nutrition Examination Survey (NHANES), using a multistage probability sampling design, included a vision evaluation in a mobile examination center. Visual acuity data were obtained from 13,265 of 14,203 participants (93.4%) who visited the mobile examination center in 1999-2002. Visual impairment was defined as presenting distance visual acuity of 20/50 or worse in the better-seeing eye. Visual impairment due to uncorrected refractive error was defined as (presenting) visual impairment that improved, aided by automated refraction results, to 20/40 or better in the better-seeing eye.\nMAIN OUTCOME MEASURES: Presenting distance visual acuity (measured with usual corrective lenses, if any) and distance visual acuity after automated refraction.\nRESULTS: Overall, 1190 study participants had visual impairment (weighted prevalence, 6.4%; 95% confidence interval [CI], 6.0%-6.8%), and of these, 83.3% could achieve good visual acuity with correction (95% CI, 80.9%-85.8%). Extrapolating these findings to the general US population, approximately 14 million individuals aged 12 years or older have visual impairment (defined as distance visual acuity of 20/50 or worse), and of these, more than 11 million individuals could have their vision improved to 20/40 or better with refractive correction.\nCONCLUSIONS: Visual impairment due to uncorrected refractive error is a common condition in the United States. Providing appropriate refractive correction to those individuals whose vision can be improved is an important public health endeavor with implications for safety and quality of life.","container-title":"JAMA","DOI":"10.1001/jama.295.18.2158","ISSN":"1538-3598","issue":"18","journalAbbreviation":"JAMA","language":"eng","note":"PMID: 16684986","page":"2158-2163","source":"PubMed","title":"Prevalence of visual impairment in the United States","volume":"295","author":[{"family":"Vitale","given":"Susan"},{"family":"Cotch","given":"Mary Frances"},{"family":"Sperduto","given":"Robert D."}],"issued":{"date-parts":[["2006",5,10]]}}}],"schema":"https://github.com/citation-style-language/schema/raw/master/csl-citation.json"} </w:instrText>
      </w:r>
      <w:r w:rsidR="000B4F45"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[86]</w:t>
      </w:r>
      <w:r w:rsidR="000B4F45" w:rsidRPr="004804AA">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w:t>
      </w:r>
      <w:r w:rsidR="000B4F45" w:rsidRPr="004804AA">
        <w:rPr>
          <w:rFonts w:ascii="Times New Roman" w:hAnsi="Times New Roman" w:cs="Times New Roman"/>
          <w:color w:val="000000"/>
          <w:sz w:val="28"/>
          <w:szCs w:val="28"/>
        </w:rPr>
        <w:t>Однако, по данным исследовательской группы по распространенности глазных болезней в США (2004) расчетная частота гиперметропии составляла 9,9%; миопии менее ≥-1,0D составляла 25,4%, а миопии ≤-5D - 4,5%. Таким образом, согласно этому исследованию лица с миопией составляли 29,9% (из них 17,4% - с миопией высокой степени)</w:t>
      </w:r>
      <w:r w:rsidR="00283E81">
        <w:rPr>
          <w:rFonts w:ascii="Times New Roman" w:hAnsi="Times New Roman" w:cs="Times New Roman"/>
          <w:color w:val="000000"/>
          <w:sz w:val="28"/>
          <w:szCs w:val="28"/>
        </w:rPr>
        <w:t xml:space="preserve"> </w:t>
      </w:r>
      <w:r w:rsidR="000B4F45"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{"citationID":"KUCE26X1","properties":{"formattedCitation":"[87]","plainCitation":"[87]","noteIndex":0},"citationItems":[{"id":1346,"uris":["http://zotero.org/users/local/XMo5Fvid/items/RRZYY5TJ"],"itemData":{"id":1346,"type":"article-journal","abstract":"OBJECTIVE: To estimate the prevalence of refractive errors in persons 40 years and older.\nMETHODS: Counts of persons with phakic eyes with and without spherical equivalent refractive error in the worse eye of +3 diopters (D) or greater, -1 D or less, and -5 D or less were obtained from population-based eye surveys in strata of gender, race/ethnicity, and 5-year age intervals. Pooled age-, gender-, and race/ethnicity-specific rates for each refractive error were applied to the corresponding stratum-specific US, Western European, and Australian populations (years 2000 and projected 2020).\nRESULTS: Six studies provided data from 29 281 persons. In the US, Western European, and Australian year 2000 populations 40 years or older, the estimated crude prevalence for hyperopia of +3 D or greater was 9.9%, 11.6%, and 5.8%, respectively (11.8 million, 21.6 million, and 0.47 million persons). For myopia of -1 D or less, the estimated crude prevalence was 25.4%, 26.6%, and 16.4% (30.4 million, 49.6 million, and 1.3 million persons), respectively, of whom 4.5%, 4.6%, and 2.8% (5.3 million, 8.5 million, and 0.23 million persons), respectively, had myopia of -5 D or less. Projected prevalence rates in 2020 were similar.\nCONCLUSIONS: Refractive errors affect approximately one third of persons 40 years or older in the United States and Western Europe, and one fifth of Australians in this age group.","container-title":"Archives of Ophthalmology (Chicago, Ill.: 1960)","DOI":"10.1001/archopht.122.4.495","ISSN":"0003-9950","issue":"4","journalAbbreviation":"Arch Ophthalmol","language":"eng","note":"PMID: 15078666","page":"495-505","source":"PubMed","title":"The prevalence of refractive errors among adults in the United States, Western Europe, and Australia","volume":"122","author":[{"family":"Kempen","given":"John H."},{"family":"Mitchell","given":"Paul"},{"family":"Lee","given":"Kristine E."},{"family":"Tielsch","given":"James M."},{"family":"Broman","given":"Aimee T."},{"family":"Taylor","given":"Hugh R."},{"family":"Ikram","given":"M. Kamran"},{"family":"Congdon","given":"Nathan G."},{"family":"O'Colmain","given":"Benita J."},{"literal":"Eye Diseases Prevalence Research Group"}],"issued":{"date-parts":[["2004",4]]}}}],"schema":"https://github.com/citation-style-language/schema/raw/master/csl-citation.json"} </w:instrText>
      </w:r>
      <w:r w:rsidR="000B4F45"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[87]</w:t>
      </w:r>
      <w:r w:rsidR="000B4F45"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p>
    <w:p w14:paraId="624E486E" w14:textId="75D21B46" w:rsidR="000B4F45" w:rsidRPr="004804AA" w:rsidRDefault="000B4F45"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Систематический обзор исследовательской группы по распространенности глазных болезней в США, Европе и Австралии выявил увеличение распространенности гиперметропии с возрастом, которая была в 4,2–7,4 раза выше в старшей возрастной группе (≥80 лет) по сравнению с самой молодой</w:t>
      </w:r>
      <w:r w:rsidR="00FF6338">
        <w:rPr>
          <w:rFonts w:ascii="Times New Roman" w:hAnsi="Times New Roman" w:cs="Times New Roman"/>
          <w:color w:val="000000"/>
          <w:sz w:val="28"/>
          <w:szCs w:val="28"/>
        </w:rPr>
        <w:t xml:space="preserve"> исследуемой группой</w:t>
      </w:r>
      <w:r w:rsidRPr="004804AA">
        <w:rPr>
          <w:rFonts w:ascii="Times New Roman" w:hAnsi="Times New Roman" w:cs="Times New Roman"/>
          <w:color w:val="000000"/>
          <w:sz w:val="28"/>
          <w:szCs w:val="28"/>
        </w:rPr>
        <w:t xml:space="preserve"> (40–49 лет) во всех этнических группах</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{"citationID":"TGJzTSWh","properties":{"formattedCitation":"[87]","plainCitation":"[87]","noteIndex":0},"citationItems":[{"id":1346,"uris":["http://zotero.org/users/local/XMo5Fvid/items/RRZYY5TJ"],"itemData":{"id":1346,"type":"article-journal","abstract":"OBJECTIVE: To estimate the prevalence of refractive errors in persons 40 years and older.\nMETHODS: Counts of persons with phakic eyes with and without spherical equivalent refractive error in the worse eye of +3 diopters (D) or greater, -1 D or less, and -5 D or less were obtained from population-based eye surveys in strata of gender, race/ethnicity, and 5-year age intervals. Pooled age-, gender-, and race/ethnicity-specific rates for each refractive error were applied to the corresponding stratum-specific US, Western European, and Australian populations (years 2000 and projected 2020).\nRESULTS: Six studies provided data from 29 281 persons. In the US, Western European, and Australian year 2000 populations 40 years or older, the estimated crude prevalence for hyperopia of +3 D or greater was 9.9%, 11.6%, and 5.8%, respectively (11.8 million, 21.6 million, and 0.47 million persons). For myopia of -1 D or less, the estimated crude prevalence was 25.4%, 26.6%, and 16.4% (30.4 million, 49.6 million, and 1.3 million persons), respectively, of whom 4.5%, 4.6%, and 2.8% (5.3 million, 8.5 million, and 0.23 million persons), respectively, had myopia of -5 D or less. Projected prevalence rates in 2020 were similar.\nCONCLUSIONS: Refractive errors affect approximately one third of persons 40 years or older in the United States and Western Europe, and one fifth of Australians in this age group.","container-title":"Archives of Ophthalmology (Chicago, Ill.: 1960)","DOI":"10.1001/archopht.122.4.495","ISSN":"0003-9950","issue":"4","journalAbbreviation":"Arch Ophthalmol","language":"eng","note":"PMID: 15078666","page":"495-505","source":"PubMed","title":"The prevalence of refractive errors among adults in the United States, Western Europe, and Australia","volume":"122","author":[{"family":"Kempen","given":"John H."},{"family":"Mitchell","given":"Paul"},{"family":"Lee","given":"Kristine E."},{"family":"Tielsch","given":"James M."},{"family":"Broman","given":"Aimee T."},{"family":"Taylor","given":"Hugh R."},{"family":"Ikram","given":"M. Kamran"},{"family":"Congdon","given":"Nathan G."},{"family":"O'Colmain","given":"Benita J."},{"literal":"Eye Diseases Prevalence Research Group"}],"issued":{"date-parts":[["2004",4]]}}}],"schema":"https://github.com/citation-style-language/schema/raw/master/csl-citation.json"}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[87]</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w:t>
      </w:r>
    </w:p>
    <w:p w14:paraId="75BC5407" w14:textId="40193631" w:rsidR="000B4F45" w:rsidRPr="00FF6338" w:rsidRDefault="000B4F45" w:rsidP="00FF6338">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По данным Консорциума European Eye Epidemiology</w:t>
      </w:r>
      <w:r w:rsidR="00FF6338">
        <w:rPr>
          <w:rFonts w:ascii="Times New Roman" w:hAnsi="Times New Roman" w:cs="Times New Roman"/>
          <w:color w:val="000000"/>
          <w:sz w:val="28"/>
          <w:szCs w:val="28"/>
        </w:rPr>
        <w:t xml:space="preserve"> (</w:t>
      </w:r>
      <w:r w:rsidR="00FF6338">
        <w:rPr>
          <w:rFonts w:ascii="Times New Roman" w:hAnsi="Times New Roman" w:cs="Times New Roman"/>
          <w:color w:val="000000"/>
          <w:sz w:val="28"/>
          <w:szCs w:val="28"/>
          <w:lang w:val="en-US"/>
        </w:rPr>
        <w:t>E</w:t>
      </w:r>
      <w:r w:rsidR="00FF6338" w:rsidRPr="00FF6338">
        <w:rPr>
          <w:rFonts w:ascii="Times New Roman" w:hAnsi="Times New Roman" w:cs="Times New Roman"/>
          <w:color w:val="000000"/>
          <w:sz w:val="28"/>
          <w:szCs w:val="28"/>
        </w:rPr>
        <w:t>3</w:t>
      </w:r>
      <w:r w:rsidR="00FF6338">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от аномали</w:t>
      </w:r>
      <w:r w:rsidR="00FF6338">
        <w:rPr>
          <w:rFonts w:ascii="Times New Roman" w:hAnsi="Times New Roman" w:cs="Times New Roman"/>
          <w:color w:val="000000"/>
          <w:sz w:val="28"/>
          <w:szCs w:val="28"/>
        </w:rPr>
        <w:t>й</w:t>
      </w:r>
      <w:r w:rsidRPr="004804AA">
        <w:rPr>
          <w:rFonts w:ascii="Times New Roman" w:hAnsi="Times New Roman" w:cs="Times New Roman"/>
          <w:color w:val="000000"/>
          <w:sz w:val="28"/>
          <w:szCs w:val="28"/>
        </w:rPr>
        <w:t xml:space="preserve"> рефракции страдает чуть более половины взрослых европейцев: распространенность миопии составляет 30,6</w:t>
      </w:r>
      <w:r w:rsidR="00FF6338">
        <w:rPr>
          <w:rFonts w:ascii="Times New Roman" w:hAnsi="Times New Roman" w:cs="Times New Roman"/>
          <w:color w:val="000000"/>
          <w:sz w:val="28"/>
          <w:szCs w:val="28"/>
        </w:rPr>
        <w:t>%</w:t>
      </w:r>
      <w:r w:rsidRPr="004804AA">
        <w:rPr>
          <w:rFonts w:ascii="Times New Roman" w:hAnsi="Times New Roman" w:cs="Times New Roman"/>
          <w:color w:val="000000"/>
          <w:sz w:val="28"/>
          <w:szCs w:val="28"/>
        </w:rPr>
        <w:t>, миопия высокой степени 2,7%, дальнозоркость 25,2% и астигматизм 23,9%. Суммарно, в Европе насчитывается 227,2 м</w:t>
      </w:r>
      <w:r w:rsidR="00C866FF">
        <w:rPr>
          <w:rFonts w:ascii="Times New Roman" w:hAnsi="Times New Roman" w:cs="Times New Roman"/>
          <w:color w:val="000000"/>
          <w:sz w:val="28"/>
          <w:szCs w:val="28"/>
        </w:rPr>
        <w:t>лн</w:t>
      </w:r>
      <w:r w:rsidRPr="004804AA">
        <w:rPr>
          <w:rFonts w:ascii="Times New Roman" w:hAnsi="Times New Roman" w:cs="Times New Roman"/>
          <w:color w:val="000000"/>
          <w:sz w:val="28"/>
          <w:szCs w:val="28"/>
        </w:rPr>
        <w:t xml:space="preserve"> человек с миопией, возрастные оценки показали высокую распространенность миопии у более молодых участников 47,2% в возрасте 25–29 лет</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{"citationID":"f9f6GFbL","properties":{"formattedCitation":"[88]","plainCitation":"[88]","noteIndex":0},"citationItems":[{"id":1268,"uris":["http://zotero.org/users/local/XMo5Fvid/items/6BAMSEFI"],"itemData":{"id":1268,"type":"article-journal","abstract":"To estimate the prevalence of refractive error in adults across Europe. Refractive data (mean spherical equivalent) collected between 1990 and 2013 from fifteen population-based cohort and cross-sectional studies of the European Eye Epidemiology (E(3)) Consortium were combined in a random effects meta-analysis stratified by 5-year age intervals and gender. Participants were excluded if they were identified as having had cataract surgery, retinal detachment, refractive surgery or other factors that might influence refraction. Estimates of refractive error prevalence were obtained including the following classifications: myopia ≤-0.75 diopters (D), high myopia ≤-6D, hyperopia ≥1D and astigmatism ≥1D. Meta-analysis of refractive error was performed for 61,946 individuals from fifteen studies with median age ranging from 44 to 81 and minimal ethnic variation (98 % European ancestry). The age-standardised prevalences (using the 2010 European Standard Population, limited to those ≥25 and &lt;90 years old) were: myopia 30.6 % [95 % confidence interval (CI) 30.4-30.9], high myopia 2.7 % (95 % CI 2.69-2.73), hyperopia 25.2 % (95 % CI 25.0-25.4) and astigmatism 23.9 % (95 % CI 23.7-24.1). Age-specific estimates revealed a high prevalence of myopia in younger participants [47.2 % (CI 41.8-52.5) in 25-29 years-olds]. Refractive error affects just over a half of European adults. The greatest burden of refractive error is due to myopia, with high prevalence rates in young adults. Using the 2010 European population estimates, we estimate there are 227.2 million people with myopia across Europe.","container-title":"European Journal of Epidemiology","DOI":"10.1007/s10654-015-0010-0","ISSN":"1573-7284","issue":"4","journalAbbreviation":"Eur J Epidemiol","language":"eng","note":"PMID: 25784363\nPMCID: PMC4385146","page":"305-315","source":"PubMed","title":"Prevalence of refractive error in Europe: the European Eye Epidemiology (E(3)) Consortium","title-short":"Prevalence of refractive error in Europe","volume":"30","author":[{"family":"Williams","given":"Katie M."},{"family":"Verhoeven","given":"Virginie J. M."},{"family":"Cumberland","given":"Phillippa"},{"family":"Bertelsen","given":"Geir"},{"family":"Wolfram","given":"Christian"},{"family":"Buitendijk","given":"Gabriëlle H. S."},{"family":"Hofman","given":"Albert"},{"family":"Duijn","given":"Cornelia M.","non-dropping-particle":"van"},{"family":"Vingerling","given":"Johannes R."},{"family":"Kuijpers","given":"Robert W. A. M."},{"family":"Höhn","given":"René"},{"family":"Mirshahi","given":"Alireza"},{"family":"Khawaja","given":"Anthony P."},{"family":"Luben","given":"Robert N."},{"family":"Erke","given":"Maja Gran"},{"family":"Hanno","given":"Therese","non-dropping-particle":"von"},{"family":"Mahroo","given":"Omar"},{"family":"Hogg","given":"Ruth"},{"family":"Gieger","given":"Christian"},{"family":"Cougnard-Grégoire","given":"Audrey"},{"family":"Anastasopoulos","given":"Eleftherios"},{"family":"Bron","given":"Alain"},{"family":"Dartigues","given":"Jean-François"},{"family":"Korobelnik","given":"Jean-François"},{"family":"Creuzot-Garcher","given":"Catherine"},{"family":"Topouzis","given":"Fotis"},{"family":"Delcourt","given":"Cécile"},{"family":"Rahi","given":"Jugnoo"},{"family":"Meitinger","given":"Thomas"},{"family":"Fletcher","given":"Astrid"},{"family":"Foster","given":"Paul J."},{"family":"Pfeiffer","given":"Norbert"},{"family":"Klaver","given":"Caroline C. W."},{"family":"Hammond","given":"Christopher J."}],"issued":{"date-parts":[["2015",4]]}}}],"schema":"https://github.com/citation-style-language/schema/raw/master/csl-citation.json"}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[88]</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FF6338">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t>Суммировав данные, в 2019 году В</w:t>
      </w:r>
      <w:r w:rsidR="00FF6338">
        <w:rPr>
          <w:rFonts w:ascii="Times New Roman" w:hAnsi="Times New Roman" w:cs="Times New Roman"/>
          <w:color w:val="000000"/>
          <w:sz w:val="28"/>
          <w:szCs w:val="28"/>
        </w:rPr>
        <w:t>ОЗ</w:t>
      </w:r>
      <w:r w:rsidRPr="004804AA">
        <w:rPr>
          <w:rFonts w:ascii="Times New Roman" w:hAnsi="Times New Roman" w:cs="Times New Roman"/>
          <w:color w:val="000000"/>
          <w:sz w:val="28"/>
          <w:szCs w:val="28"/>
        </w:rPr>
        <w:t xml:space="preserve"> заявила о, по меньшей мере, 2,2 м</w:t>
      </w:r>
      <w:r w:rsidR="00C866FF">
        <w:rPr>
          <w:rFonts w:ascii="Times New Roman" w:hAnsi="Times New Roman" w:cs="Times New Roman"/>
          <w:color w:val="000000"/>
          <w:sz w:val="28"/>
          <w:szCs w:val="28"/>
        </w:rPr>
        <w:t>лрд</w:t>
      </w:r>
      <w:r w:rsidRPr="004804AA">
        <w:rPr>
          <w:rFonts w:ascii="Times New Roman" w:hAnsi="Times New Roman" w:cs="Times New Roman"/>
          <w:color w:val="000000"/>
          <w:sz w:val="28"/>
          <w:szCs w:val="28"/>
        </w:rPr>
        <w:t xml:space="preserve"> человек в мире с нарушениями зрения и слепотой, почти половина из которых вызваны аномалиями рефракции и являются предотвратимыми</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{"citationID":"DLK0c0bz","properties":{"formattedCitation":"[73; 89]","plainCitation":"[73; 89]","noteIndex":0},"citationItems":[{"id":1314,"uris":["http://zotero.org/users/local/XMo5Fvid/items/35ARNFDY"],"itemData":{"id":1314,"type":"webpage","abstract":"Publicaciones de la Organización Mundial de la Salud","language":"en","title":"World report on vision","URL":"https://www.who.int/publications-detail-redirect/world-report-on-vision","accessed":{"date-parts":[["2021",1,14]]}},"label":"page"},{"id":1327,"uris":["http://zotero.org/users/local/XMo5Fvid/items/7HT7FFGA"],"itemData":{"id":1327,"type":"webpage","container-title":"WHO","note":"publisher: World Health Organization\nDOI: 10/en/index.html","title":"WHO | Global magnitude of visual impairment caused by uncorrected refractive errors in 2004","URL":"https://www.who.int/bulletin/volumes/86/1/07-041210/en/","accessed":{"date-parts":[["2021",1,14]]}},"label":"page"}],"schema":"https://github.com/citation-style-language/schema/raw/master/csl-citation.json"}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[73; 89]</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Pr="004804AA">
        <w:rPr>
          <w:rFonts w:ascii="Times New Roman" w:hAnsi="Times New Roman" w:cs="Times New Roman"/>
          <w:color w:val="000000"/>
          <w:sz w:val="28"/>
          <w:szCs w:val="28"/>
        </w:rPr>
        <w:t xml:space="preserve"> </w:t>
      </w:r>
      <w:r w:rsidRPr="004804AA">
        <w:rPr>
          <w:rFonts w:ascii="Times New Roman" w:hAnsi="Times New Roman" w:cs="Times New Roman"/>
          <w:sz w:val="28"/>
          <w:szCs w:val="28"/>
        </w:rPr>
        <w:t xml:space="preserve">По оценкам </w:t>
      </w:r>
      <w:r w:rsidRPr="004804AA">
        <w:rPr>
          <w:rFonts w:ascii="Times New Roman" w:hAnsi="Times New Roman" w:cs="Times New Roman"/>
          <w:sz w:val="28"/>
          <w:szCs w:val="28"/>
          <w:lang w:val="en-US"/>
        </w:rPr>
        <w:t>Holden</w:t>
      </w:r>
      <w:r w:rsidRPr="004804AA">
        <w:rPr>
          <w:rFonts w:ascii="Times New Roman" w:hAnsi="Times New Roman" w:cs="Times New Roman"/>
          <w:sz w:val="28"/>
          <w:szCs w:val="28"/>
        </w:rPr>
        <w:t xml:space="preserve"> более 2,6 м</w:t>
      </w:r>
      <w:r w:rsidR="00C866FF">
        <w:rPr>
          <w:rFonts w:ascii="Times New Roman" w:hAnsi="Times New Roman" w:cs="Times New Roman"/>
          <w:sz w:val="28"/>
          <w:szCs w:val="28"/>
        </w:rPr>
        <w:t>лрд</w:t>
      </w:r>
      <w:r w:rsidRPr="004804AA">
        <w:rPr>
          <w:rFonts w:ascii="Times New Roman" w:hAnsi="Times New Roman" w:cs="Times New Roman"/>
          <w:sz w:val="28"/>
          <w:szCs w:val="28"/>
        </w:rPr>
        <w:t xml:space="preserve"> человек во всем мире страдают близорукостью, около 10% из них имеют близорукость высокой степени</w:t>
      </w:r>
      <w:r w:rsidR="00283E81">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{"citationID":"w0cTucGn","properties":{"formattedCitation":"[90]","plainCitation":"[90]","noteIndex":0},"citationItems":[{"id":900,"uris":["http://zotero.org/users/local/XMo5Fvid/items/D97XE6GE"],"itemData":{"id":900,"type":"paper-conference","event-place":"Sydney, Australia","event-title":"Global Scientific Meeting on Myopia","note":"p. 5","publisher":"University of New South Wales Sydney, Australia","publisher-place":"Sydney, Australia","title":"The Impact of Myopia and High Myopia: Report of the Joint World Health Organization-Brien Holden Vision Institute Global Scientific Meeting on Myopia","author":[{"literal":"Holden B.A."}],"issued":{"date-parts":[["2015",3,16]]}}}],"schema":"https://github.com/citation-style-language/schema/raw/master/csl-citation.json"}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[90]</w:t>
      </w:r>
      <w:r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Без контрольных вмешательств распространенность миопии значительно возрастет во всем мире, затронув почти 5 м</w:t>
      </w:r>
      <w:r w:rsidR="00C866FF">
        <w:rPr>
          <w:rFonts w:ascii="Times New Roman" w:hAnsi="Times New Roman" w:cs="Times New Roman"/>
          <w:sz w:val="28"/>
          <w:szCs w:val="28"/>
        </w:rPr>
        <w:t>лрд</w:t>
      </w:r>
      <w:r w:rsidRPr="004804AA">
        <w:rPr>
          <w:rFonts w:ascii="Times New Roman" w:hAnsi="Times New Roman" w:cs="Times New Roman"/>
          <w:sz w:val="28"/>
          <w:szCs w:val="28"/>
        </w:rPr>
        <w:t xml:space="preserve"> человек к 2050 году, что составит половину прогнозируемой численности населения мира на тот момент, а высокая близорукость затронет около 1 м</w:t>
      </w:r>
      <w:r w:rsidR="00C866FF">
        <w:rPr>
          <w:rFonts w:ascii="Times New Roman" w:hAnsi="Times New Roman" w:cs="Times New Roman"/>
          <w:sz w:val="28"/>
          <w:szCs w:val="28"/>
        </w:rPr>
        <w:t>лрд</w:t>
      </w:r>
      <w:r w:rsidRPr="004804AA">
        <w:rPr>
          <w:rFonts w:ascii="Times New Roman" w:hAnsi="Times New Roman" w:cs="Times New Roman"/>
          <w:sz w:val="28"/>
          <w:szCs w:val="28"/>
        </w:rPr>
        <w:t xml:space="preserve"> человек соответственно</w:t>
      </w:r>
      <w:r w:rsidR="00283E81">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{"citationID":"zEEtRyUe","properties":{"formattedCitation":"[10]","plainCitation":"[10]","noteIndex":0},"citationItems":[{"id":783,"uris":["http://zotero.org/users/local/XMo5Fvid/items/YSHER9Q4"],"itemData":{"id":783,"type":"webpage","abstract":"PubMed comprises more than 30 million citations for biomedical literature from MEDLINE, life science journals, and online books. Citations may include links to full-text content from PubMed Central and publisher web sites., Ophthalmology. 2016 May;123(5):1036-42. doi: 10.1016/j.ophtha.2016.01.006. Epub 2016 Feb 11. Meta-Analysis; Review; Systematic Review","language":"en","title":"Global Prevalence of Myopia and High Myopia and Temporal Trends from 2000 through 2050.","URL":"https://www.ncbi.nlm.nih.gov/pubmed/26875007","author":[{"family":"Holden BA , et","given":""}],"accessed":{"date-parts":[["2019",9,5]]}}}],"schema":"https://github.com/citation-style-language/schema/raw/master/csl-citation.json"}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w:t>
      </w:r>
      <w:r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p>
    <w:p w14:paraId="6882D537" w14:textId="4D3F1A9B" w:rsidR="000B4F45" w:rsidRPr="004804AA" w:rsidRDefault="00C866FF" w:rsidP="005C37DF">
      <w:pPr>
        <w:pStyle w:val="a4"/>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Глобальная р</w:t>
      </w:r>
      <w:r w:rsidR="000B4F45" w:rsidRPr="004804AA">
        <w:rPr>
          <w:rFonts w:ascii="Times New Roman" w:hAnsi="Times New Roman" w:cs="Times New Roman"/>
          <w:color w:val="000000"/>
          <w:sz w:val="28"/>
          <w:szCs w:val="28"/>
        </w:rPr>
        <w:t xml:space="preserve">аспространенность нарушений </w:t>
      </w:r>
      <w:r>
        <w:rPr>
          <w:rFonts w:ascii="Times New Roman" w:hAnsi="Times New Roman" w:cs="Times New Roman"/>
          <w:color w:val="000000"/>
          <w:sz w:val="28"/>
          <w:szCs w:val="28"/>
        </w:rPr>
        <w:t>рефракции</w:t>
      </w:r>
      <w:r w:rsidR="000B4F45" w:rsidRPr="004804AA">
        <w:rPr>
          <w:rFonts w:ascii="Times New Roman" w:hAnsi="Times New Roman" w:cs="Times New Roman"/>
          <w:color w:val="000000"/>
          <w:sz w:val="28"/>
          <w:szCs w:val="28"/>
        </w:rPr>
        <w:t xml:space="preserve"> неравномерн</w:t>
      </w:r>
      <w:r>
        <w:rPr>
          <w:rFonts w:ascii="Times New Roman" w:hAnsi="Times New Roman" w:cs="Times New Roman"/>
          <w:color w:val="000000"/>
          <w:sz w:val="28"/>
          <w:szCs w:val="28"/>
        </w:rPr>
        <w:t>а</w:t>
      </w:r>
      <w:r w:rsidR="000B4F45" w:rsidRPr="004804AA">
        <w:rPr>
          <w:rFonts w:ascii="Times New Roman" w:hAnsi="Times New Roman" w:cs="Times New Roman"/>
          <w:color w:val="000000"/>
          <w:sz w:val="28"/>
          <w:szCs w:val="28"/>
        </w:rPr>
        <w:t>: она часто намного выше в странах с низким и средним уровнем дохода</w:t>
      </w:r>
      <w:r w:rsidR="00283E81">
        <w:rPr>
          <w:rFonts w:ascii="Times New Roman" w:hAnsi="Times New Roman" w:cs="Times New Roman"/>
          <w:color w:val="000000"/>
          <w:sz w:val="28"/>
          <w:szCs w:val="28"/>
        </w:rPr>
        <w:t xml:space="preserve"> </w:t>
      </w:r>
      <w:r w:rsidR="000B4F45"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{"citationID":"aLDnQqWP","properties":{"formattedCitation":"[52]","plainCitation":"[52]","noteIndex":0},"citationItems":[{"id":1470,"uris":["http://zotero.org/users/local/XMo5Fvid/items/742Q64ML"],"itemData":{"id":1470,"type":"webpage","abstract":"Publicaciones de la Organización Mundial de la Salud","language":"ru","title":"World report on vision","URL":"https://www.who.int/publications-detail-redirect/9789241516570","accessed":{"date-parts":[["2021",4,9]]}}}],"schema":"https://github.com/citation-style-language/schema/raw/master/csl-citation.json"} </w:instrText>
      </w:r>
      <w:r w:rsidR="000B4F45"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[52]</w:t>
      </w:r>
      <w:r w:rsidR="000B4F45"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0B4F45" w:rsidRPr="004804AA">
        <w:rPr>
          <w:rFonts w:ascii="Times New Roman" w:hAnsi="Times New Roman" w:cs="Times New Roman"/>
          <w:color w:val="000000"/>
          <w:sz w:val="28"/>
          <w:szCs w:val="28"/>
        </w:rPr>
        <w:t xml:space="preserve"> </w:t>
      </w:r>
      <w:r w:rsidR="000B4F45" w:rsidRPr="004804AA">
        <w:rPr>
          <w:rFonts w:ascii="Times New Roman" w:hAnsi="Times New Roman" w:cs="Times New Roman"/>
          <w:sz w:val="28"/>
          <w:szCs w:val="28"/>
        </w:rPr>
        <w:t xml:space="preserve">Расовые и этнические различия в распространенности миопии также хорошо задокументированы. Сообщается, что распространенность миопии составляет от 2% до 5% у австралийских аборигенов и жителей Соломоновых островов </w:t>
      </w:r>
      <w:r w:rsidR="000B4F4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{"citationID":"fzk93PMo","properties":{"formattedCitation":"[91]","plainCitation":"[91]","noteIndex":0},"citationItems":[{"id":1363,"uris":["http://zotero.org/users/local/XMo5Fvid/items/AG3XNKPJ"],"itemData":{"id":1363,"type":"article-journal","container-title":"American Journal of Ophthalmology","DOI":"10.1016/0002-9394(68)92080-1","ISSN":"0002-9394","issue":"2","journalAbbreviation":"Am J Ophthalmol","language":"eng","note":"PMID: 5663368","page":"304-319","source":"PubMed","title":"Ophthalmic survey in the Solomon Islands","volume":"66","author":[{"family":"Verlee","given":"D. L."}],"issued":{"date-parts":[["1968",8]]}}}],"schema":"https://github.com/citation-style-language/schema/raw/master/csl-citation.json"} </w:instrText>
      </w:r>
      <w:r w:rsidR="000B4F4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[91]</w:t>
      </w:r>
      <w:r w:rsidR="000B4F45" w:rsidRPr="004804AA">
        <w:rPr>
          <w:rFonts w:ascii="Times New Roman" w:hAnsi="Times New Roman" w:cs="Times New Roman"/>
          <w:sz w:val="28"/>
          <w:szCs w:val="28"/>
        </w:rPr>
        <w:fldChar w:fldCharType="end"/>
      </w:r>
      <w:r w:rsidR="000B4F45" w:rsidRPr="004804AA">
        <w:rPr>
          <w:rFonts w:ascii="Times New Roman" w:hAnsi="Times New Roman" w:cs="Times New Roman"/>
          <w:sz w:val="28"/>
          <w:szCs w:val="28"/>
        </w:rPr>
        <w:t xml:space="preserve"> и достигает 96% у азиатских студентов</w:t>
      </w:r>
      <w:r w:rsidR="00283E81">
        <w:rPr>
          <w:rFonts w:ascii="Times New Roman" w:hAnsi="Times New Roman" w:cs="Times New Roman"/>
          <w:sz w:val="28"/>
          <w:szCs w:val="28"/>
        </w:rPr>
        <w:t xml:space="preserve"> </w:t>
      </w:r>
      <w:r w:rsidR="000B4F4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{"citationID":"N1Iwgig0","properties":{"formattedCitation":"[92]","plainCitation":"[92]","noteIndex":0},"citationItems":[{"id":1260,"uris":["http://zotero.org/users/local/XMo5Fvid/items/GCL6FPGK"],"itemData":{"id":1260,"type":"article-journal","abstract":"PURPOSE: To examine prevalence of refractive errors and its associated factors, such as body stature and educational level, among 19-year-old males in Seoul, Korea.\nMETHODS: A population-based cross-sectional study was performed in male subjects (n = 23,616; age = 19 years) who were normally resident in Seoul for male compulsory conscripts during the study period (2010). Refractive examination was performed with cycloplegia. Height, weight, and educational level were examined. Myopia was defined as a spherical equivalent less than -0.5 diopters (D) and high myopia less than -6.0 D. The association of myopia with body stature and educational level was analyzed using logistic regression analysis.\nRESULTS: The prevalence of myopia in 19-year-old males in Seoul was 96.5%. The prevalence of high myopia was 21.61%. Body stature was not significantly associated with myopia. Four- to 6-year university students (odds ratio [OR] 1.69; P &lt; 0.001) and 2 to 3-year college students (OR 1.68; P &lt; 0.001) showed significantly higher risk for myopia than those with lower academic achievement (&lt; high school graduation).\nCONCLUSIONS: The 19-year-old male population in Seoul, Korea, demonstrated a very high myopic prevalence. Myopic refractive error was associated with academic achievement, not with body stature.","container-title":"Investigative Ophthalmology &amp; Visual Science","DOI":"10.1167/iovs.12-10106","ISSN":"1552-5783","issue":"9","journalAbbreviation":"Invest Ophthalmol Vis Sci","language":"eng","note":"PMID: 22836765","page":"5579-5583","source":"PubMed","title":"Prevalence of myopia and its association with body stature and educational level in 19-year-old male conscripts in seoul, South Korea","volume":"53","author":[{"family":"Jung","given":"Su-Kyung"},{"family":"Lee","given":"Jin Hae"},{"family":"Kakizaki","given":"Hirohiko"},{"family":"Jee","given":"Donghyun"}],"issued":{"date-parts":[["2012",8,15]]}}}],"schema":"https://github.com/citation-style-language/schema/raw/master/csl-citation.json"} </w:instrText>
      </w:r>
      <w:r w:rsidR="000B4F4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[92]</w:t>
      </w:r>
      <w:r w:rsidR="000B4F45"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0B4F45" w:rsidRPr="004804AA">
        <w:rPr>
          <w:rFonts w:ascii="Times New Roman" w:hAnsi="Times New Roman" w:cs="Times New Roman"/>
          <w:sz w:val="28"/>
          <w:szCs w:val="28"/>
        </w:rPr>
        <w:t xml:space="preserve"> В сравнительном </w:t>
      </w:r>
      <w:r w:rsidR="000B4F45" w:rsidRPr="004804AA">
        <w:rPr>
          <w:rFonts w:ascii="Times New Roman" w:hAnsi="Times New Roman" w:cs="Times New Roman"/>
          <w:sz w:val="28"/>
          <w:szCs w:val="28"/>
        </w:rPr>
        <w:lastRenderedPageBreak/>
        <w:t>исследовании, проведенном среди американских городских жителей, было обнаружено, что распространенность миопии у афроамериканцев значительно ниже, чем у белых</w:t>
      </w:r>
      <w:r w:rsidR="00283E81">
        <w:rPr>
          <w:rFonts w:ascii="Times New Roman" w:hAnsi="Times New Roman" w:cs="Times New Roman"/>
          <w:sz w:val="28"/>
          <w:szCs w:val="28"/>
        </w:rPr>
        <w:t xml:space="preserve"> </w:t>
      </w:r>
      <w:r w:rsidR="000B4F4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{"citationID":"tPKhsppH","properties":{"formattedCitation":"[93; 94]","plainCitation":"[93; 94]","noteIndex":0},"citationItems":[{"id":1365,"uris":["http://zotero.org/users/local/XMo5Fvid/items/NVY9DBFB"],"itemData":{"id":1365,"type":"article-journal","abstract":"PURPOSE: To estimate the prevalence of refractive errors among adult black and white Americans and to identify risk factors associated with these refractive errors.\nMETHODS: Refractive error was measured in a population-based sample of black and white adults age 40 or older residing in east Baltimore from 1985 through 1988. Aphakic eyes were excluded from analysis.\nRESULTS: The prevalence of myopia varied from 10.5% among black men 80 years and older to 42.1% among white women 40 to 49 years of age. Hyperopia ranged from 11.8% among black men 40 to 49 years to 68.1% among white men 80 years of age and older. Astigmatism ranged from 15.8% to 45.2%, and anisometropia ranged from 2.8% to 8.1%, depending on age, race, and gender. Black persons had less myopia, hyperopia, astigmatism, and anisometropia than did white persons. Myopia (&lt; -0.5 diopter [D] spherical equivalent) declined with age, whereas hyperopia (&gt; +0.5 D), astigmatism (&gt; 0.5 D of cylinder), and anisometropia (&gt; 1.0 D between eyes) increased with age. Myopia increased with increasing years of education, although this association was stronger for white persons than for black persons and among younger subjects. Hyperopia declined with increasing years of education, and this association was stronger among younger than older subjects. Education was not associated with astigmatism or anisometropia.\nCONCLUSIONS: Black persons had lower rates of refractive error than did white persons, except for hyperopia prevalence, which was comparable in black and white women. Refractive errors are common among adult inner city Americans, but rates vary substantially by age, race, gender, and education levels.","container-title":"Investigative Ophthalmology &amp; Visual Science","ISSN":"0146-0404","issue":"2","journalAbbreviation":"Invest Ophthalmol Vis Sci","language":"eng","note":"PMID: 9040465","page":"334-340","source":"PubMed","title":"Prevalence and risk factors for refractive errors in an adult inner city population","volume":"38","author":[{"family":"Katz","given":"J."},{"family":"Tielsch","given":"J. M."},{"family":"Sommer","given":"A."}],"issued":{"date-parts":[["1997",2]]}},"label":"page"},{"id":1219,"uris":["http://zotero.org/users/local/XMo5Fvid/items/HHUWK8VU"],"itemData":{"id":1219,"type":"article-journal","abstract":"Data from the 1971 to 1972 National Health and Nutrition Examination Survey were used to estimate myopia prevalence rates for persons in the United States between the ages of 12 and 54 years. When persons were classified by the refractive status of their right eye, 25% were myopic. Significantly lower prevalence rates were found for male subjects than for female subjects and for blacks than for whites. Myopia prevalence rose with family income and educational level. The importance of income and educational level may result from their association with near work, a factor that has been implicated in the pathogenesis of myopia.","container-title":"Archives of Ophthalmology (Chicago, Ill.: 1960)","DOI":"10.1001/archopht.1983.01040010405011","ISSN":"0003-9950","issue":"3","journalAbbreviation":"Arch Ophthalmol","language":"eng","note":"PMID: 6830491","page":"405-407","source":"PubMed","title":"Prevalence of myopia in the United States","volume":"101","author":[{"family":"Sperduto","given":"R. D."},{"family":"Seigel","given":"D."},{"family":"Roberts","given":"J."},{"family":"Rowland","given":"M."}],"issued":{"date-parts":[["1983",3]]}},"label":"page"}],"schema":"https://github.com/citation-style-language/schema/raw/master/csl-citation.json"} </w:instrText>
      </w:r>
      <w:r w:rsidR="000B4F4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[93; 94]</w:t>
      </w:r>
      <w:r w:rsidR="000B4F45"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0B4F45" w:rsidRPr="004804AA">
        <w:rPr>
          <w:rFonts w:ascii="Times New Roman" w:hAnsi="Times New Roman" w:cs="Times New Roman"/>
          <w:sz w:val="28"/>
          <w:szCs w:val="28"/>
        </w:rPr>
        <w:t xml:space="preserve"> </w:t>
      </w:r>
      <w:r w:rsidR="000B4F45" w:rsidRPr="004804AA">
        <w:rPr>
          <w:rFonts w:ascii="Times New Roman" w:hAnsi="Times New Roman" w:cs="Times New Roman"/>
          <w:color w:val="000000"/>
          <w:sz w:val="28"/>
          <w:szCs w:val="28"/>
        </w:rPr>
        <w:t xml:space="preserve">Во всех исследованиях обнаружено, что распространенность нарушения зрения была выше у лиц чернокожего, латиноамериканского или другого этнического происхождения, а также среди бедных, менее образованных или </w:t>
      </w:r>
      <w:r w:rsidR="00076FF0" w:rsidRPr="004804AA">
        <w:rPr>
          <w:rFonts w:ascii="Times New Roman" w:hAnsi="Times New Roman" w:cs="Times New Roman"/>
          <w:color w:val="000000"/>
          <w:sz w:val="28"/>
          <w:szCs w:val="28"/>
        </w:rPr>
        <w:t>не имеющих</w:t>
      </w:r>
      <w:r w:rsidR="000B4F45" w:rsidRPr="004804AA">
        <w:rPr>
          <w:rFonts w:ascii="Times New Roman" w:hAnsi="Times New Roman" w:cs="Times New Roman"/>
          <w:color w:val="000000"/>
          <w:sz w:val="28"/>
          <w:szCs w:val="28"/>
        </w:rPr>
        <w:t xml:space="preserve"> частной медицинской страховки</w:t>
      </w:r>
      <w:r w:rsidR="00076FF0">
        <w:rPr>
          <w:rFonts w:ascii="Times New Roman" w:hAnsi="Times New Roman" w:cs="Times New Roman"/>
          <w:color w:val="000000"/>
          <w:sz w:val="28"/>
          <w:szCs w:val="28"/>
        </w:rPr>
        <w:t xml:space="preserve"> лиц</w:t>
      </w:r>
      <w:r w:rsidR="00762DA9" w:rsidRPr="004804AA">
        <w:rPr>
          <w:rFonts w:ascii="Times New Roman" w:hAnsi="Times New Roman" w:cs="Times New Roman"/>
          <w:color w:val="000000"/>
          <w:sz w:val="28"/>
          <w:szCs w:val="28"/>
        </w:rPr>
        <w:t>, что поднимает вопрос об экономическом бремени растущей распространенности нарушений рефракции</w:t>
      </w:r>
      <w:r w:rsidR="00283E81">
        <w:rPr>
          <w:rFonts w:ascii="Times New Roman" w:hAnsi="Times New Roman" w:cs="Times New Roman"/>
          <w:color w:val="000000"/>
          <w:sz w:val="28"/>
          <w:szCs w:val="28"/>
        </w:rPr>
        <w:t xml:space="preserve"> </w:t>
      </w:r>
      <w:r w:rsidR="000B4F45"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{"citationID":"XT9NnNxF","properties":{"formattedCitation":"[86]","plainCitation":"[86]","noteIndex":0},"citationItems":[{"id":1343,"uris":["http://zotero.org/users/local/XMo5Fvid/items/8W3ZFIF8"],"itemData":{"id":1343,"type":"article-journal","abstract":"CONTEXT: The prevalence of visual impairment in the US public has not been surveyed nationally in several decades.\nOBJECTIVE: To estimate the number of US individuals aged 12 years or older who have impaired distance vision due to uncorrected refractive error.\nDESIGN, SETTING, AND PARTICIPANTS: The National Health and Nutrition Examination Survey (NHANES), using a multistage probability sampling design, included a vision evaluation in a mobile examination center. Visual acuity data were obtained from 13,265 of 14,203 participants (93.4%) who visited the mobile examination center in 1999-2002. Visual impairment was defined as presenting distance visual acuity of 20/50 or worse in the better-seeing eye. Visual impairment due to uncorrected refractive error was defined as (presenting) visual impairment that improved, aided by automated refraction results, to 20/40 or better in the better-seeing eye.\nMAIN OUTCOME MEASURES: Presenting distance visual acuity (measured with usual corrective lenses, if any) and distance visual acuity after automated refraction.\nRESULTS: Overall, 1190 study participants had visual impairment (weighted prevalence, 6.4%; 95% confidence interval [CI], 6.0%-6.8%), and of these, 83.3% could achieve good visual acuity with correction (95% CI, 80.9%-85.8%). Extrapolating these findings to the general US population, approximately 14 million individuals aged 12 years or older have visual impairment (defined as distance visual acuity of 20/50 or worse), and of these, more than 11 million individuals could have their vision improved to 20/40 or better with refractive correction.\nCONCLUSIONS: Visual impairment due to uncorrected refractive error is a common condition in the United States. Providing appropriate refractive correction to those individuals whose vision can be improved is an important public health endeavor with implications for safety and quality of life.","container-title":"JAMA","DOI":"10.1001/jama.295.18.2158","ISSN":"1538-3598","issue":"18","journalAbbreviation":"JAMA","language":"eng","note":"PMID: 16684986","page":"2158-2163","source":"PubMed","title":"Prevalence of visual impairment in the United States","volume":"295","author":[{"family":"Vitale","given":"Susan"},{"family":"Cotch","given":"Mary Frances"},{"family":"Sperduto","given":"Robert D."}],"issued":{"date-parts":[["2006",5,10]]}}}],"schema":"https://github.com/citation-style-language/schema/raw/master/csl-citation.json"} </w:instrText>
      </w:r>
      <w:r w:rsidR="000B4F45"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[86]</w:t>
      </w:r>
      <w:r w:rsidR="000B4F45"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0B4F45" w:rsidRPr="004804AA">
        <w:rPr>
          <w:rFonts w:ascii="Times New Roman" w:hAnsi="Times New Roman" w:cs="Times New Roman"/>
          <w:color w:val="000000"/>
          <w:sz w:val="28"/>
          <w:szCs w:val="28"/>
        </w:rPr>
        <w:t xml:space="preserve"> </w:t>
      </w:r>
    </w:p>
    <w:p w14:paraId="26DA83B3" w14:textId="5C426A82" w:rsidR="000B4F45" w:rsidRPr="004804AA" w:rsidRDefault="000B4F45"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В 2015 году группа авторов представила результаты расчетов «стоимости слепоты» - годовую потерю производительности из-за слепоты и умеренного или тяжелого нарушения зрения</w:t>
      </w:r>
      <w:r w:rsidR="00076FF0">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t>– для 9 стран мира. Стоимость слепоты колеблется от 0,1 млн долларов на душу населения в Гондурасе до 7,8 млрд долларов на душу населения в США, а стоимость умеренного и тяжелого нарушения зрения - от 0,1 млрд долларов на душу населения в Гондурасе до 16,5 млрд долларов на душу населения в США</w:t>
      </w:r>
      <w:r w:rsidR="00283E81">
        <w:rPr>
          <w:rFonts w:ascii="Times New Roman" w:hAnsi="Times New Roman" w:cs="Times New Roman"/>
          <w:color w:val="000000"/>
          <w:sz w:val="28"/>
          <w:szCs w:val="28"/>
        </w:rPr>
        <w:t xml:space="preserve"> </w:t>
      </w:r>
      <w:r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{"citationID":"ZZ5Kh8vy","properties":{"formattedCitation":"[95]","plainCitation":"[95]","noteIndex":0},"citationItems":[{"id":1486,"uris":["http://zotero.org/users/local/XMo5Fvid/items/T57F3STV"],"itemData":{"id":1486,"type":"article-journal","abstract":"PURPOSE: To estimate the annual loss of productivity from blindness and moderate to severe visual impairment (MSVI) using simple models (analogous to how a rapid assessment model relates to a comprehensive model) based on minimum wage (MW) and gross national income (GNI) per capita (US$, 2011).\nMETHODS: Cost of blindness (COB) was calculated for the age group ≥50 years in nine sample countries by assuming the loss of current MW and loss of GNI per capita. It was assumed that all individuals work until 65 years old and that half of visual impairment prevalent in the ≥50 years age group is prevalent in the 50-64 years age group. For cost of MSVI (COMSVI), individual wage and GNI loss of 30% was assumed. Results were compared with the values of the uncorrected refractive error (URE) model of productivity loss.\nRESULTS: COB (MW method) ranged from $0.1 billion in Honduras to $2.5 billion in the United States, and COMSVI ranged from $0.1 billion in Honduras to $5.3 billion in the US. COB (GNI method) ranged from $0.1 million in Honduras to $7.8 billion in the US, and COMSVI ranged from $0.1 billion in Honduras to $16.5 billion in the US. Most GNI method values were near equivalent to those of the URE model.\nCONCLUSION: Although most people with blindness and MSVI live in developing countries, the highest productivity losses are in high income countries. The global economy could improve if eye care were made more accessible and more affordable to all.","container-title":"Ophthalmic Epidemiology","DOI":"10.3109/09286586.2015.1066394","ISSN":"1744-5086","issue":"5","journalAbbreviation":"Ophthalmic Epidemiol","language":"eng","note":"PMID: 26395661","page":"349-355","source":"PubMed","title":"A Simple Method for Estimating the Economic Cost of Productivity Loss Due to Blindness and Moderate to Severe Visual Impairment","volume":"22","author":[{"family":"Eckert","given":"Kristen A."},{"family":"Carter","given":"Marissa J."},{"family":"Lansingh","given":"Van C."},{"family":"Wilson","given":"David A."},{"family":"Furtado","given":"João M."},{"family":"Frick","given":"Kevin D."},{"family":"Resnikoff","given":"Serge"}],"issued":{"date-parts":[["2015"]]}}}],"schema":"https://github.com/citation-style-language/schema/raw/master/csl-citation.json"} </w:instrText>
      </w:r>
      <w:r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[95]</w:t>
      </w:r>
      <w:r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1F2136">
        <w:rPr>
          <w:rFonts w:ascii="Times New Roman" w:hAnsi="Times New Roman" w:cs="Times New Roman"/>
          <w:color w:val="000000"/>
          <w:sz w:val="28"/>
          <w:szCs w:val="28"/>
        </w:rPr>
        <w:t xml:space="preserve"> </w:t>
      </w:r>
    </w:p>
    <w:p w14:paraId="27FB3E2C" w14:textId="621652AD" w:rsidR="000B4F45" w:rsidRPr="004804AA" w:rsidRDefault="000B4F45" w:rsidP="005C37DF">
      <w:pPr>
        <w:spacing w:after="0" w:line="240" w:lineRule="auto"/>
        <w:ind w:firstLine="709"/>
        <w:jc w:val="both"/>
        <w:rPr>
          <w:rFonts w:ascii="Times New Roman" w:eastAsiaTheme="minorHAnsi" w:hAnsi="Times New Roman" w:cs="Times New Roman"/>
          <w:color w:val="000000"/>
          <w:sz w:val="28"/>
          <w:szCs w:val="28"/>
          <w:lang w:eastAsia="en-US"/>
        </w:rPr>
      </w:pPr>
      <w:r w:rsidRPr="004804AA">
        <w:rPr>
          <w:rFonts w:ascii="Times New Roman" w:eastAsiaTheme="minorHAnsi" w:hAnsi="Times New Roman" w:cs="Times New Roman"/>
          <w:color w:val="000000"/>
          <w:sz w:val="28"/>
          <w:szCs w:val="28"/>
          <w:lang w:eastAsia="en-US"/>
        </w:rPr>
        <w:t>ВОЗ в Докладе о проблемах зрения (2019) оценила глобальные затраты на решение проблемы недостаточного охвата в отношении нескорректированных аномалий рефракции и катаракты</w:t>
      </w:r>
      <w:r w:rsidR="00C3799D" w:rsidRPr="004804AA">
        <w:rPr>
          <w:rFonts w:ascii="Times New Roman" w:eastAsiaTheme="minorHAnsi" w:hAnsi="Times New Roman" w:cs="Times New Roman"/>
          <w:color w:val="000000"/>
          <w:sz w:val="28"/>
          <w:szCs w:val="28"/>
          <w:lang w:eastAsia="en-US"/>
        </w:rPr>
        <w:t xml:space="preserve"> </w:t>
      </w:r>
      <w:r w:rsidRPr="004804AA">
        <w:rPr>
          <w:rFonts w:ascii="Times New Roman" w:eastAsiaTheme="minorHAnsi" w:hAnsi="Times New Roman" w:cs="Times New Roman"/>
          <w:color w:val="000000"/>
          <w:sz w:val="28"/>
          <w:szCs w:val="28"/>
          <w:lang w:eastAsia="en-US"/>
        </w:rPr>
        <w:t>в 24,8 м</w:t>
      </w:r>
      <w:r w:rsidR="0016288F">
        <w:rPr>
          <w:rFonts w:ascii="Times New Roman" w:eastAsiaTheme="minorHAnsi" w:hAnsi="Times New Roman" w:cs="Times New Roman"/>
          <w:color w:val="000000"/>
          <w:sz w:val="28"/>
          <w:szCs w:val="28"/>
          <w:lang w:eastAsia="en-US"/>
        </w:rPr>
        <w:t>лрд</w:t>
      </w:r>
      <w:r w:rsidRPr="004804AA">
        <w:rPr>
          <w:rFonts w:ascii="Times New Roman" w:eastAsiaTheme="minorHAnsi" w:hAnsi="Times New Roman" w:cs="Times New Roman"/>
          <w:color w:val="000000"/>
          <w:sz w:val="28"/>
          <w:szCs w:val="28"/>
          <w:lang w:eastAsia="en-US"/>
        </w:rPr>
        <w:t xml:space="preserve"> долларов США</w:t>
      </w:r>
      <w:r w:rsidR="00283E81">
        <w:rPr>
          <w:rFonts w:ascii="Times New Roman" w:eastAsiaTheme="minorHAnsi" w:hAnsi="Times New Roman" w:cs="Times New Roman"/>
          <w:color w:val="000000"/>
          <w:sz w:val="28"/>
          <w:szCs w:val="28"/>
          <w:lang w:eastAsia="en-US"/>
        </w:rPr>
        <w:t xml:space="preserve"> </w:t>
      </w:r>
      <w:r w:rsidRPr="004804AA">
        <w:rPr>
          <w:rFonts w:ascii="Times New Roman" w:eastAsiaTheme="minorHAnsi" w:hAnsi="Times New Roman" w:cs="Times New Roman"/>
          <w:color w:val="000000"/>
          <w:sz w:val="28"/>
          <w:szCs w:val="28"/>
          <w:lang w:eastAsia="en-US"/>
        </w:rPr>
        <w:fldChar w:fldCharType="begin"/>
      </w:r>
      <w:r w:rsidR="00A00EFF">
        <w:rPr>
          <w:rFonts w:ascii="Times New Roman" w:eastAsiaTheme="minorHAnsi" w:hAnsi="Times New Roman" w:cs="Times New Roman"/>
          <w:color w:val="000000"/>
          <w:sz w:val="28"/>
          <w:szCs w:val="28"/>
          <w:lang w:eastAsia="en-US"/>
        </w:rPr>
        <w:instrText xml:space="preserve"> ADDIN ZOTERO_ITEM CSL_CITATION {"citationID":"FbWcYQkz","properties":{"formattedCitation":"[52]","plainCitation":"[52]","noteIndex":0},"citationItems":[{"id":1470,"uris":["http://zotero.org/users/local/XMo5Fvid/items/742Q64ML"],"itemData":{"id":1470,"type":"webpage","abstract":"Publicaciones de la Organización Mundial de la Salud","language":"ru","title":"World report on vision","URL":"https://www.who.int/publications-detail-redirect/9789241516570","accessed":{"date-parts":[["2021",4,9]]}}}],"schema":"https://github.com/citation-style-language/schema/raw/master/csl-citation.json"} </w:instrText>
      </w:r>
      <w:r w:rsidRPr="004804AA">
        <w:rPr>
          <w:rFonts w:ascii="Times New Roman" w:eastAsiaTheme="minorHAnsi" w:hAnsi="Times New Roman" w:cs="Times New Roman"/>
          <w:color w:val="000000"/>
          <w:sz w:val="28"/>
          <w:szCs w:val="28"/>
          <w:lang w:eastAsia="en-US"/>
        </w:rPr>
        <w:fldChar w:fldCharType="separate"/>
      </w:r>
      <w:r w:rsidR="00A00EFF" w:rsidRPr="00A00EFF">
        <w:rPr>
          <w:rFonts w:ascii="Times New Roman" w:hAnsi="Times New Roman" w:cs="Times New Roman"/>
          <w:sz w:val="28"/>
        </w:rPr>
        <w:t>[52]</w:t>
      </w:r>
      <w:r w:rsidRPr="004804AA">
        <w:rPr>
          <w:rFonts w:ascii="Times New Roman" w:eastAsiaTheme="minorHAnsi" w:hAnsi="Times New Roman" w:cs="Times New Roman"/>
          <w:color w:val="000000"/>
          <w:sz w:val="28"/>
          <w:szCs w:val="28"/>
          <w:lang w:eastAsia="en-US"/>
        </w:rPr>
        <w:fldChar w:fldCharType="end"/>
      </w:r>
      <w:r w:rsidR="00283E81">
        <w:rPr>
          <w:rFonts w:ascii="Times New Roman" w:eastAsiaTheme="minorHAnsi" w:hAnsi="Times New Roman" w:cs="Times New Roman"/>
          <w:color w:val="000000"/>
          <w:sz w:val="28"/>
          <w:szCs w:val="28"/>
          <w:lang w:eastAsia="en-US"/>
        </w:rPr>
        <w:t>.</w:t>
      </w:r>
    </w:p>
    <w:p w14:paraId="6308F4D3" w14:textId="5E604F18" w:rsidR="00DD16D9" w:rsidRPr="004804AA" w:rsidRDefault="00AE0E7D"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sz w:val="28"/>
          <w:szCs w:val="28"/>
        </w:rPr>
        <w:t xml:space="preserve">Таким образом, </w:t>
      </w:r>
      <w:r w:rsidR="00DD16D9" w:rsidRPr="004804AA">
        <w:rPr>
          <w:rFonts w:ascii="Times New Roman" w:hAnsi="Times New Roman" w:cs="Times New Roman"/>
          <w:color w:val="000000"/>
          <w:sz w:val="28"/>
          <w:szCs w:val="28"/>
        </w:rPr>
        <w:t xml:space="preserve">аномалии рефракции </w:t>
      </w:r>
      <w:r w:rsidR="00421DBC">
        <w:rPr>
          <w:rFonts w:ascii="Times New Roman" w:hAnsi="Times New Roman" w:cs="Times New Roman"/>
          <w:color w:val="000000"/>
          <w:sz w:val="28"/>
          <w:szCs w:val="28"/>
        </w:rPr>
        <w:t>являются</w:t>
      </w:r>
      <w:r w:rsidR="00DD16D9" w:rsidRPr="004804AA">
        <w:rPr>
          <w:rFonts w:ascii="Times New Roman" w:hAnsi="Times New Roman" w:cs="Times New Roman"/>
          <w:color w:val="000000"/>
          <w:sz w:val="28"/>
          <w:szCs w:val="28"/>
        </w:rPr>
        <w:t xml:space="preserve"> основной причиной снижения зрения (48,9%) и второй после катаракты ведущей причиной слепоты в мире (18,2%), но и занимают все большую долю в структуре глобального слабовидения</w:t>
      </w:r>
      <w:r w:rsidR="00283E81">
        <w:rPr>
          <w:rFonts w:ascii="Times New Roman" w:hAnsi="Times New Roman" w:cs="Times New Roman"/>
          <w:color w:val="000000"/>
          <w:sz w:val="28"/>
          <w:szCs w:val="28"/>
        </w:rPr>
        <w:t xml:space="preserve"> </w:t>
      </w:r>
      <w:r w:rsidR="00DD16D9"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{"citationID":"rRxwslIJ","properties":{"formattedCitation":"[66; 72; 80; 89; 96]","plainCitation":"[66; 72; 80; 89; 96]","noteIndex":0},"citationItems":[{"id":1322,"uris":["http://zotero.org/users/local/XMo5Fvid/items/TFFY5UEC"],"itemData":{"id":1322,"type":"article-journal","abstract":"Vision loss and age-related eye diseases are major global public health problems. The Global Burden of Diseases, Injuries, and Risk Factors Study (hereafter referred to as the GBD Study) was commissioned by the World Bank in 1991 to provide a comprehensive assessment of the burden of 107 diseases and injuries, and 10 selected risk factors, for the world, specifically including data from 8 major regions. The methods of the original GBD Study (hereafter referred to as the GBD 1990 Study) created a common metric, the disability-adjusted life-year, which extends the concept of potential years of life lost due to premature death to include equivalent years of “healthy” life lost by virtue of being in poor health or disability. The number of disability-adjusted life-years caused by a disease or injury are calculated as the sum of the years of life lost due to premature mortality in the population and the years lost due to disability (YLD) for incident cases of the disease or injury.","container-title":"Archives of Ophthalmology","DOI":"10.1001/archophthalmol.2012.1032","ISSN":"0003-9950","issue":"5","journalAbbreviation":"Archives of Ophthalmology","page":"645-647","source":"Silverchair","title":"Global Burden of Visual Impairment and Blindness","volume":"130","author":[{"family":"Bourne","given":"Rupert"},{"family":"Price","given":"Holly"},{"family":"Stevens","given":"Gretchen"},{"family":"GBD Vision Loss Expert Group","given":"for","dropping-particle":"the"}],"issued":{"date-parts":[["2012",5,1]]}},"label":"page"},{"id":1324,"uris":["http://zotero.org/users/local/XMo5Fvid/items/JE6NK78A"],"itemData":{"id":1324,"type":"article-journal","abstract":"BACKGROUND: To contribute to the WHO initiative, VISION 2020: The Right to Sight, an assessment of global vision impairment in 2020 and temporal change is needed. We aimed to extensively update estimates of global vision loss burden, presenting estimates for 2020, temporal change over three decades between 1990-2020, and forecasts for 2050.\nMETHODS: We did a systematic review and meta-analysis of population-based surveys of eye disease from January, 1980, to October, 2018. Only studies with samples representative of the population and with clearly defined visual acuity testing protocols were included. We fitted hierarchical models to estimate 2020 prevalence (with 95% uncertainty intervals [UIs]) of mild vision impairment (presenting visual acuity ≥6/18 and &lt;6/12), moderate and severe vision impairment (&lt;6/18 to 3/60), and blindness (&lt;3/60 or less than 10° visual field around central fixation); and vision impairment from uncorrected presbyopia (presenting near vision &lt;N6 or &lt;N8 at 40 cm where best-corrected distance visual acuity is ≥6/12). We forecast estimates of vision loss up to 2050.\nFINDINGS: In 2020, an estimated 43·3 million (95% UI 37·6-48·4) people were blind, of whom 23·9 million (55%; 20·8-26·8) were estimated to be female. We estimated 295 million (267-325) people to have moderate and severe vision impairment, of whom 163 million (55%; 147-179) were female; 258 million (233-285) to have mild vision impairment, of whom 142 million (55%; 128-157) were female; and 510 million (371-667) to have visual impairment from uncorrected presbyopia, of whom 280 million (55%; 205-365) were female. Globally, between 1990 and 2020, among adults aged 50 years or older, age-standardised prevalence of blindness decreased by 28·5% (-29·4 to -27·7) and prevalence of mild vision impairment decreased slightly (-0·3%, -0·8 to -0·2), whereas prevalence of moderate and severe vision impairment increased slightly (2·5%, 1·9 to 3·2; insufficient data were available to calculate this statistic for vision impairment from uncorrected presbyopia). In this period, the number of people who were blind increased by 50·6% (47·8 to 53·4) and the number with moderate and severe vision impairment increased by 91·7% (87·6 to 95·8). By 2050, we predict 61·0 million (52·9 to 69·3) people will be blind, 474 million (428 to 518) will have moderate and severe vision impairment, 360 million (322 to 400) will have mild vision impairment, and 866 million (629 to 1150) will have uncorrected presbyopia.\nINTERPRETATION: Age-adjusted prevalence of blindness has reduced over the past three decades, yet due to population growth, progress is not keeping pace with needs. We face enormous challenges in avoiding vision impairment as the global population grows and ages.\nFUNDING: Brien Holden Vision Institute, Fondation Thea, Fred Hollows Foundation, Bill &amp; Melinda Gates Foundation, Lions Clubs International Foundation, Sightsavers International, and University of Heidelberg.","container-title":"The Lancet. Global Health","DOI":"10.1016/S2214-109X(20)30425-3","ISSN":"2214-109X","journalAbbreviation":"Lancet Glob Health","language":"eng","note":"PMID: 33275950","source":"PubMed","title":"Trends in prevalence of blindness and distance and near vision impairment over 30 years: an analysis for the Global Burden of Disease Study","title-short":"Trends in prevalence of blindness and distance and near vision impairment over 30 years","author":[{"literal":"GBD 2019 Blindness and Vision Impairment Collaborators"},{"literal":"Vision Loss Expert Group of the Global Burden of Disease Study"}],"issued":{"date-parts":[["2020",12,1]]}},"label":"page"},{"id":1319,"uris":["http://zotero.org/users/local/XMo5Fvid/items/V48PXDT5"],"itemData":{"id":1319,"type":"article-journal","abstract":"Аннотация\nЦель На основе самых последних данных была произведена оценка масштабов нарушения зрения и его причин в 2010 г. в глобальном масштабе и по регионам ВОЗ. Определения нарушения зрения - это текущие определения представления зрения в Международной классификации болезней версии 10.\nМетоды. Был проведен систематический обзор опубликованных и неопубликованных исследований с 2000 г. по настоящее время. Для стран, не имеющих данных о нарушениях зрения, оценки основывались на недавно разработанных методах условного исчисления, которые в качестве косвенного показателя принимали во внимание экономический статус страны.\nРезультаты. Обзоры из 39 стран соответствовали критериям включения в это исследование. Во всем мире количество людей с нарушениями зрения всех возрастов оценивается в 285 миллионов, из которых 39 миллионов являются слепыми, с погрешностями в 10–20%. Люди 50 лет и старше составляют 65% и 82% слепых и слабовидящих соответственно. Основными причинами нарушения зрения являются неисправленные аномалии рефракции (43%), за которыми следует катаракта (33%); первая причина слепоты - катаракта (51%).\nЗаключение Это исследование показывает, что нарушение зрения в 2010 г. является серьезной проблемой для здоровья, которая неравномерно распределена между регионами ВОЗ; предотвратимые причины составляют до 80% от общего глобального бремени.","container-title":"British Journal of Ophthalmology","DOI":"10.1136/bjophthalmol-2011-300539","ISSN":"0007-1161, 1468-2079","issue":"5","language":"en","license":"© 2012, Published by the BMJ Publishing Group Limited. For permission to use (where not already granted under a licence) please go to http://group.bmj.com/group/rights-licensing/permissions.","note":"publisher: BMJ Publishing Group Ltd\nsection: Global issues\nPMID: 22133988","page":"614-618","source":"bjo.bmj.com","title":"Global estimates of visual impairment: 2010","title-short":"Global estimates of visual impairment","volume":"96","author":[{"family":"Pascolini","given":"Donatella"},{"family":"Mariotti","given":"Silvio Paolo"}],"issued":{"date-parts":[["2012",5,1]]}},"label":"page"},{"id":1316,"uris":["http://zotero.org/users/local/XMo5Fvid/items/MLUFYQ7R"],"itemData":{"id":1316,"type":"article-journal","abstract":"BACKGROUND: Contemporary data for causes of vision impairment and blindness form an important basis of recommendations in public health policies. Refreshment of the Global Vision Database with recently published data sources permitted modelling of cause of vision loss data from 1990 to 2015, further disaggregation by cause, and forecasts to 2020.\nMETHODS: In this systematic review and meta-analysis, we analysed published and unpublished population-based data for the causes of vision impairment and blindness from 1980 to 2014. We identified population-based studies published before July 8, 2014, by searching online databases with no language restrictions (MEDLINE from Jan 1, 1946, and Embase from Jan 1, 1974, and the WHO Library Database). We fitted a series of regression models to estimate the proportion of moderate or severe vision impairment (defined as presenting visual acuity of &lt;6/18 but ≥3/60 in the better eye) and blindness (presenting visual acuity of &lt;3/60 in the better eye) by cause, age, region, and year.\nFINDINGS: We identified 288 studies of 3 983 541 participants contributing data from 98 countries. Among the global population with moderate or severe vision impairment in 2015 (216·6 million [80% uncertainty interval 98·5 million to 359·1 million]), the leading causes were uncorrected refractive error (116·3 million [49·4 million to 202·1 million]), cataract (52·6 million [18·2 million to 109·6 million]), age-related macular degeneration (8·4 million [0·9 million to 29·5 million]), glaucoma (4·0 million [0·6 million to 13·3 million]), and diabetic retinopathy (2·6 million [0·2 million to 9·9 million]). Among the global population who were blind in 2015 (36·0 million [12·9 million to 65·4 million]), the leading causes were cataract (12·6 million [3·4 million to 28·7 million]), uncorrected refractive error (7·4 million [2·4 million to 14·8 million]), and glaucoma (2·9 million [0·4 million to 9·9 million]). By 2020, among the global population with moderate or severe vision impairment (237·1 million [101·5 million to 399·0 million]), the number of people affected by uncorrected refractive error is anticipated to rise to 127·7 million (51·0 million to 225·3 million), by cataract to 57·1 million (17·9 million to 124·1 million), by age-related macular degeneration to 8·8 million (0·8 million to 32·1 million), by glaucoma to 4·5 million (0·5 million to 15·4 million), and by diabetic retinopathy to 3·2 million (0·2 million to 12·9 million). By 2020, among the global population who are blind (38·5 million [13·2 million to 70·9 million]), the number of patients blind because of cataract is anticipated to rise to 13·4 million (3·3 million to 31·6 million), because of uncorrected refractive error to 8·0 million (2·5 million to 16·3 million), and because of glaucoma to 3·2 million (0·4 million to 11·0 million). Cataract and uncorrected refractive error combined contributed to 55% of blindness and 77% of vision impairment in adults aged 50 years and older in 2015. World regions varied markedly in the causes of blindness and vision impairment in this age group, with a low prevalence of cataract (&lt;22% for blindness and 14·1-15·9% for vision impairment) and a high prevalence of age-related macular degeneration (&gt;14% of blindness) as causes in the high-income subregions. Blindness and vision impairment at all ages in 2015 due to diabetic retinopathy (odds ratio 2·52 [1·48-3·73]) and cataract (1·21 [1·17-1·25]) were more common among women than among men, whereas blindness and vision impairment due to glaucoma (0·71 [0·57-0·86]) and corneal opacity (0·54 [0·43-0·66]) were more common among men than among women, with no sex difference related to age-related macular degeneration (0·91 [0·70-1·14]).\nINTERPRETATION: The number of people affected by the common causes of vision loss has increased substantially as the population increases and ages. Preventable vision loss due to cataract (reversible with surgery) and refractive error (reversible with spectacle correction) continue to cause most cases of blindness and moderate or severe vision impairment in adults aged 50 years and older. A large scale-up of eye care provision to cope with the increasing numbers is needed to address avoidable vision loss.\nFUNDING: Brien Holden Vision Institute.","container-title":"The Lancet. Global Health","DOI":"10.1016/S2214-109X(17)30393-5","ISSN":"2214-109X","issue":"12","journalAbbreviation":"Lancet Glob Health","language":"eng","note":"PMID: 29032195","page":"e1221-e1234","source":"PubMed","title":"Global causes of blindness and distance vision impairment 1990-2020: a systematic review and meta-analysis","title-short":"Global causes of blindness and distance vision impairment 1990-2020","volume":"5","author":[{"family":"Flaxman","given":"Seth R."},{"family":"Bourne","given":"Rupert R. A."},{"family":"Resnikoff","given":"Serge"},{"family":"Ackland","given":"Peter"},{"family":"Braithwaite","given":"Tasanee"},{"family":"Cicinelli","given":"Maria V."},{"family":"Das","given":"Aditi"},{"family":"Jonas","given":"Jost B."},{"family":"Keeffe","given":"Jill"},{"family":"Kempen","given":"John H."},{"family":"Leasher","given":"Janet"},{"family":"Limburg","given":"Hans"},{"family":"Naidoo","given":"Kovin"},{"family":"Pesudovs","given":"Konrad"},{"family":"Silvester","given":"Alex"},{"family":"Stevens","given":"Gretchen A."},{"family":"Tahhan","given":"Nina"},{"family":"Wong","given":"Tien Y."},{"family":"Taylor","given":"Hugh R."},{"literal":"Vision Loss Expert Group of the Global Burden of Disease Study"}],"issued":{"date-parts":[["2017",12]]}},"label":"page"},{"id":1327,"uris":["http://zotero.org/users/local/XMo5Fvid/items/7HT7FFGA"],"itemData":{"id":1327,"type":"webpage","container-title":"WHO","note":"publisher: World Health Organization\nDOI: 10/en/index.html","title":"WHO | Global magnitude of visual impairment caused by uncorrected refractive errors in 2004","URL":"https://www.who.int/bulletin/volumes/86/1/07-041210/en/","accessed":{"date-parts":[["2021",1,14]]}},"label":"page"}],"schema":"https://github.com/citation-style-language/schema/raw/master/csl-citation.json"} </w:instrText>
      </w:r>
      <w:r w:rsidR="00DD16D9"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[66; 72; 80; 89; 96]</w:t>
      </w:r>
      <w:r w:rsidR="00DD16D9"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p>
    <w:p w14:paraId="090D78E7" w14:textId="64E3EDAA" w:rsidR="00B0048A" w:rsidRPr="004804AA" w:rsidRDefault="00B0048A" w:rsidP="005C37DF">
      <w:pPr>
        <w:pStyle w:val="a4"/>
        <w:ind w:firstLine="709"/>
        <w:jc w:val="both"/>
        <w:rPr>
          <w:rFonts w:ascii="Times New Roman" w:hAnsi="Times New Roman" w:cs="Times New Roman"/>
          <w:color w:val="000000"/>
          <w:sz w:val="28"/>
          <w:szCs w:val="28"/>
        </w:rPr>
      </w:pPr>
    </w:p>
    <w:p w14:paraId="5A7AF91E" w14:textId="4765C94A" w:rsidR="00272456" w:rsidRPr="00353081" w:rsidRDefault="00E15219" w:rsidP="005C37DF">
      <w:pPr>
        <w:pStyle w:val="a4"/>
        <w:ind w:firstLine="709"/>
        <w:jc w:val="both"/>
        <w:rPr>
          <w:rFonts w:ascii="Times New Roman" w:hAnsi="Times New Roman" w:cs="Times New Roman"/>
          <w:b/>
          <w:bCs/>
          <w:color w:val="000000"/>
          <w:sz w:val="28"/>
          <w:szCs w:val="28"/>
        </w:rPr>
      </w:pPr>
      <w:r w:rsidRPr="00353081">
        <w:rPr>
          <w:rFonts w:ascii="Times New Roman" w:hAnsi="Times New Roman" w:cs="Times New Roman"/>
          <w:b/>
          <w:bCs/>
          <w:color w:val="000000"/>
          <w:sz w:val="28"/>
          <w:szCs w:val="28"/>
        </w:rPr>
        <w:t>1.</w:t>
      </w:r>
      <w:r w:rsidR="007A0B4C" w:rsidRPr="00353081">
        <w:rPr>
          <w:rFonts w:ascii="Times New Roman" w:hAnsi="Times New Roman" w:cs="Times New Roman"/>
          <w:b/>
          <w:bCs/>
          <w:color w:val="000000"/>
          <w:sz w:val="28"/>
          <w:szCs w:val="28"/>
        </w:rPr>
        <w:t>2</w:t>
      </w:r>
      <w:r w:rsidRPr="00353081">
        <w:rPr>
          <w:rFonts w:ascii="Times New Roman" w:hAnsi="Times New Roman" w:cs="Times New Roman"/>
          <w:b/>
          <w:bCs/>
          <w:color w:val="000000"/>
          <w:sz w:val="28"/>
          <w:szCs w:val="28"/>
        </w:rPr>
        <w:t xml:space="preserve"> </w:t>
      </w:r>
      <w:r w:rsidR="00353081">
        <w:rPr>
          <w:rFonts w:ascii="Times New Roman" w:hAnsi="Times New Roman" w:cs="Times New Roman"/>
          <w:b/>
          <w:bCs/>
          <w:color w:val="000000"/>
          <w:sz w:val="28"/>
          <w:szCs w:val="28"/>
        </w:rPr>
        <w:t>Эпидемиологические аспекты</w:t>
      </w:r>
      <w:r w:rsidRPr="00353081">
        <w:rPr>
          <w:rFonts w:ascii="Times New Roman" w:hAnsi="Times New Roman" w:cs="Times New Roman"/>
          <w:b/>
          <w:bCs/>
          <w:color w:val="000000"/>
          <w:sz w:val="28"/>
          <w:szCs w:val="28"/>
        </w:rPr>
        <w:t xml:space="preserve"> аномалий рефракции </w:t>
      </w:r>
      <w:r w:rsidR="00353081">
        <w:rPr>
          <w:rFonts w:ascii="Times New Roman" w:hAnsi="Times New Roman" w:cs="Times New Roman"/>
          <w:b/>
          <w:bCs/>
          <w:color w:val="000000"/>
          <w:sz w:val="28"/>
          <w:szCs w:val="28"/>
        </w:rPr>
        <w:t>у</w:t>
      </w:r>
      <w:r w:rsidRPr="00353081">
        <w:rPr>
          <w:rFonts w:ascii="Times New Roman" w:hAnsi="Times New Roman" w:cs="Times New Roman"/>
          <w:b/>
          <w:bCs/>
          <w:color w:val="000000"/>
          <w:sz w:val="28"/>
          <w:szCs w:val="28"/>
        </w:rPr>
        <w:t xml:space="preserve"> детей </w:t>
      </w:r>
      <w:r w:rsidR="00887B22" w:rsidRPr="00353081">
        <w:rPr>
          <w:rFonts w:ascii="Times New Roman" w:hAnsi="Times New Roman" w:cs="Times New Roman"/>
          <w:b/>
          <w:bCs/>
          <w:color w:val="000000"/>
          <w:sz w:val="28"/>
          <w:szCs w:val="28"/>
        </w:rPr>
        <w:t>и подростков</w:t>
      </w:r>
    </w:p>
    <w:p w14:paraId="61BCBDB4" w14:textId="795D1B8A" w:rsidR="00202B8E" w:rsidRPr="004804AA" w:rsidRDefault="006C0A33"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На протяжении последних десятилетий продолжают сохраняться тенденции роста заболеваемости детского населения, особенно значительные среди детей школьного возраста. </w:t>
      </w:r>
      <w:r w:rsidR="001020C9" w:rsidRPr="004804AA">
        <w:rPr>
          <w:rFonts w:ascii="Times New Roman" w:hAnsi="Times New Roman" w:cs="Times New Roman"/>
          <w:color w:val="000000"/>
          <w:sz w:val="28"/>
          <w:szCs w:val="28"/>
        </w:rPr>
        <w:t>По данным В</w:t>
      </w:r>
      <w:r w:rsidR="006C2E4E">
        <w:rPr>
          <w:rFonts w:ascii="Times New Roman" w:hAnsi="Times New Roman" w:cs="Times New Roman"/>
          <w:color w:val="000000"/>
          <w:sz w:val="28"/>
          <w:szCs w:val="28"/>
        </w:rPr>
        <w:t>ОЗ</w:t>
      </w:r>
      <w:r w:rsidR="001020C9" w:rsidRPr="004804AA">
        <w:rPr>
          <w:rFonts w:ascii="Times New Roman" w:hAnsi="Times New Roman" w:cs="Times New Roman"/>
          <w:color w:val="000000"/>
          <w:sz w:val="28"/>
          <w:szCs w:val="28"/>
        </w:rPr>
        <w:t>, неисправленными аномалиями рефракции вызвано около 12,8 м</w:t>
      </w:r>
      <w:r w:rsidR="006C2E4E">
        <w:rPr>
          <w:rFonts w:ascii="Times New Roman" w:hAnsi="Times New Roman" w:cs="Times New Roman"/>
          <w:color w:val="000000"/>
          <w:sz w:val="28"/>
          <w:szCs w:val="28"/>
        </w:rPr>
        <w:t xml:space="preserve">лн </w:t>
      </w:r>
      <w:r w:rsidR="001020C9" w:rsidRPr="004804AA">
        <w:rPr>
          <w:rFonts w:ascii="Times New Roman" w:hAnsi="Times New Roman" w:cs="Times New Roman"/>
          <w:color w:val="000000"/>
          <w:sz w:val="28"/>
          <w:szCs w:val="28"/>
        </w:rPr>
        <w:t>умеренных или тяжелых нарушений зрения в возрастном диапазоне от 5 до 15 лет</w:t>
      </w:r>
      <w:r w:rsidR="00843244">
        <w:rPr>
          <w:rFonts w:ascii="Times New Roman" w:hAnsi="Times New Roman" w:cs="Times New Roman"/>
          <w:color w:val="000000"/>
          <w:sz w:val="28"/>
          <w:szCs w:val="28"/>
        </w:rPr>
        <w:t xml:space="preserve"> включительно</w:t>
      </w:r>
      <w:r w:rsidR="001020C9" w:rsidRPr="004804AA">
        <w:rPr>
          <w:rFonts w:ascii="Times New Roman" w:hAnsi="Times New Roman" w:cs="Times New Roman"/>
          <w:color w:val="000000"/>
          <w:sz w:val="28"/>
          <w:szCs w:val="28"/>
        </w:rPr>
        <w:t xml:space="preserve"> (0,96%).</w:t>
      </w:r>
    </w:p>
    <w:p w14:paraId="2B12E04F" w14:textId="20D109E7" w:rsidR="00F077C6" w:rsidRPr="004804AA" w:rsidRDefault="006C0A3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Миопия остается лидирующей причиной слабовидения у детей и подростков во всем мире. </w:t>
      </w:r>
      <w:r w:rsidR="00A4696B" w:rsidRPr="004804AA">
        <w:rPr>
          <w:rFonts w:ascii="Times New Roman" w:hAnsi="Times New Roman" w:cs="Times New Roman"/>
          <w:color w:val="000000"/>
          <w:sz w:val="28"/>
          <w:szCs w:val="28"/>
        </w:rPr>
        <w:t>Согласно A. Rudnicka в 2015 году распространенность миопии среди детей до 19 лет составляла 12,5%, то есть около 312 м</w:t>
      </w:r>
      <w:r w:rsidR="00843244">
        <w:rPr>
          <w:rFonts w:ascii="Times New Roman" w:hAnsi="Times New Roman" w:cs="Times New Roman"/>
          <w:color w:val="000000"/>
          <w:sz w:val="28"/>
          <w:szCs w:val="28"/>
        </w:rPr>
        <w:t>лн</w:t>
      </w:r>
      <w:r w:rsidR="00A4696B" w:rsidRPr="004804AA">
        <w:rPr>
          <w:rFonts w:ascii="Times New Roman" w:hAnsi="Times New Roman" w:cs="Times New Roman"/>
          <w:color w:val="000000"/>
          <w:sz w:val="28"/>
          <w:szCs w:val="28"/>
        </w:rPr>
        <w:t xml:space="preserve"> детей имели ту или иную степень близорукости</w:t>
      </w:r>
      <w:r w:rsidR="00283E81">
        <w:rPr>
          <w:rFonts w:ascii="Times New Roman" w:hAnsi="Times New Roman" w:cs="Times New Roman"/>
          <w:color w:val="000000"/>
          <w:sz w:val="28"/>
          <w:szCs w:val="28"/>
        </w:rPr>
        <w:t xml:space="preserve"> </w:t>
      </w:r>
      <w:r w:rsidR="00A4696B" w:rsidRPr="004804AA">
        <w:rPr>
          <w:rFonts w:ascii="Times New Roman" w:hAnsi="Times New Roman" w:cs="Times New Roman"/>
          <w:color w:val="000000"/>
          <w:sz w:val="28"/>
          <w:szCs w:val="28"/>
        </w:rPr>
        <w:fldChar w:fldCharType="begin"/>
      </w:r>
      <w:r w:rsidR="00A00EFF">
        <w:rPr>
          <w:rFonts w:ascii="Times New Roman" w:hAnsi="Times New Roman" w:cs="Times New Roman"/>
          <w:color w:val="000000"/>
          <w:sz w:val="28"/>
          <w:szCs w:val="28"/>
        </w:rPr>
        <w:instrText xml:space="preserve"> ADDIN ZOTERO_ITEM CSL_CITATION {"citationID":"ajM5T18j","properties":{"formattedCitation":"[97]","plainCitation":"[97]","noteIndex":0},"citationItems":[{"id":1329,"uris":["http://zotero.org/users/local/XMo5Fvid/items/K6AZ7N6Z"],"itemData":{"id":1329,"type":"article-journal","abstract":"The aim of this review was to quantify the global variation in childhood myopia prevalence over time taking account of demographic and study design factors. A systematic review identified population-based surveys with estimates of childhood myopia prevalence published by February 2015. Multilevel binomial logistic regression of log odds of myopia was used to examine the association with age, gender, urban versus rural setting and survey year, among populations of different ethnic origins, adjusting for study design factors. 143 published articles (42 countries, 374 349 subjects aged 1–18 years, 74 847 myopia cases) were included. Increase in myopia prevalence with age varied by ethnicity. East Asians showed the highest prevalence, reaching 69% (95% credible intervals (CrI) 61% to 77%) at 15 years of age (86% among Singaporean-Chinese). Blacks in Africa had the lowest prevalence; 5.5% at 15 years (95% CrI 3% to 9%). Time trends in myopia prevalence over the last decade were small in whites, increased by 23% in East Asians, with a weaker increase among South Asians. Children from urban environments have 2.6 times the odds of myopia compared with those from rural environments. In whites and East Asians sex differences emerge at about 9 years of age; by late adolescence girls are twice as likely as boys to be myopic. Marked ethnic differences in age-specific prevalence of myopia exist. Rapid increases in myopia prevalence over time, particularly in East Asians, combined with a universally higher risk of myopia in urban settings, suggest that environmental factors play an important role in myopia development, which may offer scope for prevention.","container-title":"The British Journal of Ophthalmology","DOI":"10.1136/bjophthalmol-2015-307724","ISSN":"0007-1161","issue":"7","journalAbbreviation":"Br J Ophthalmol","note":"PMID: 26802174\nPMCID: PMC4941141","page":"882-890","source":"PubMed Central","title":"Global variations and time trends in the prevalence of childhood myopia, a systematic review and quantitative meta-analysis: implications for aetiology and early prevention","title-short":"Global variations and time trends in the prevalence of childhood myopia, a systematic review and quantitative meta-analysis","volume":"100","author":[{"family":"Rudnicka","given":"Alicja R"},{"family":"Kapetanakis","given":"Venediktos V"},{"family":"Wathern","given":"Andrea K"},{"family":"Logan","given":"Nicola S"},{"family":"Gilmartin","given":"Bernard"},{"family":"Whincup","given":"Peter H"},{"family":"Cook","given":"Derek G"},{"family":"Owen","given":"Christopher G"}],"issued":{"date-parts":[["2016",7]]}}}],"schema":"https://github.com/citation-style-language/schema/raw/master/csl-citation.json"} </w:instrText>
      </w:r>
      <w:r w:rsidR="00A4696B" w:rsidRPr="004804AA">
        <w:rPr>
          <w:rFonts w:ascii="Times New Roman" w:hAnsi="Times New Roman" w:cs="Times New Roman"/>
          <w:color w:val="000000"/>
          <w:sz w:val="28"/>
          <w:szCs w:val="28"/>
        </w:rPr>
        <w:fldChar w:fldCharType="separate"/>
      </w:r>
      <w:r w:rsidR="00A00EFF" w:rsidRPr="00A00EFF">
        <w:rPr>
          <w:rFonts w:ascii="Times New Roman" w:hAnsi="Times New Roman" w:cs="Times New Roman"/>
          <w:sz w:val="28"/>
        </w:rPr>
        <w:t>[97]</w:t>
      </w:r>
      <w:r w:rsidR="00A4696B" w:rsidRPr="004804AA">
        <w:rPr>
          <w:rFonts w:ascii="Times New Roman" w:hAnsi="Times New Roman" w:cs="Times New Roman"/>
          <w:color w:val="000000"/>
          <w:sz w:val="28"/>
          <w:szCs w:val="28"/>
        </w:rPr>
        <w:fldChar w:fldCharType="end"/>
      </w:r>
      <w:r w:rsidR="00283E81">
        <w:rPr>
          <w:rFonts w:ascii="Times New Roman" w:hAnsi="Times New Roman" w:cs="Times New Roman"/>
          <w:color w:val="000000"/>
          <w:sz w:val="28"/>
          <w:szCs w:val="28"/>
        </w:rPr>
        <w:t>.</w:t>
      </w:r>
      <w:r w:rsidR="00A4696B" w:rsidRPr="004804AA">
        <w:rPr>
          <w:rFonts w:ascii="Times New Roman" w:hAnsi="Times New Roman" w:cs="Times New Roman"/>
          <w:color w:val="000000"/>
          <w:sz w:val="28"/>
          <w:szCs w:val="28"/>
        </w:rPr>
        <w:t xml:space="preserve"> А п</w:t>
      </w:r>
      <w:r w:rsidR="00A4696B" w:rsidRPr="004804AA">
        <w:rPr>
          <w:rFonts w:ascii="Times New Roman" w:hAnsi="Times New Roman" w:cs="Times New Roman"/>
          <w:sz w:val="28"/>
          <w:szCs w:val="28"/>
        </w:rPr>
        <w:t xml:space="preserve">рогнозируемое число близоруких детей до 19 лет составит 324 </w:t>
      </w:r>
      <w:r w:rsidR="00843244" w:rsidRPr="004804AA">
        <w:rPr>
          <w:rFonts w:ascii="Times New Roman" w:hAnsi="Times New Roman" w:cs="Times New Roman"/>
          <w:color w:val="000000"/>
          <w:sz w:val="28"/>
          <w:szCs w:val="28"/>
        </w:rPr>
        <w:t>м</w:t>
      </w:r>
      <w:r w:rsidR="00843244">
        <w:rPr>
          <w:rFonts w:ascii="Times New Roman" w:hAnsi="Times New Roman" w:cs="Times New Roman"/>
          <w:color w:val="000000"/>
          <w:sz w:val="28"/>
          <w:szCs w:val="28"/>
        </w:rPr>
        <w:t>лн</w:t>
      </w:r>
      <w:r w:rsidR="00A4696B" w:rsidRPr="004804AA">
        <w:rPr>
          <w:rFonts w:ascii="Times New Roman" w:hAnsi="Times New Roman" w:cs="Times New Roman"/>
          <w:sz w:val="28"/>
          <w:szCs w:val="28"/>
        </w:rPr>
        <w:t xml:space="preserve"> человек к 2025 году</w:t>
      </w:r>
      <w:r w:rsidR="00283E81">
        <w:rPr>
          <w:rFonts w:ascii="Times New Roman" w:hAnsi="Times New Roman" w:cs="Times New Roman"/>
          <w:sz w:val="28"/>
          <w:szCs w:val="28"/>
        </w:rPr>
        <w:t xml:space="preserve"> </w:t>
      </w:r>
      <w:r w:rsidR="00A4696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{"citationID":"oMAqWCvr","properties":{"formattedCitation":"[97]","plainCitation":"[97]","noteIndex":0},"citationItems":[{"id":1329,"uris":["http://zotero.org/users/local/XMo5Fvid/items/K6AZ7N6Z"],"itemData":{"id":1329,"type":"article-journal","abstract":"The aim of this review was to quantify the global variation in childhood myopia prevalence over time taking account of demographic and study design factors. A systematic review identified population-based surveys with estimates of childhood myopia prevalence published by February 2015. Multilevel binomial logistic regression of log odds of myopia was used to examine the association with age, gender, urban versus rural setting and survey year, among populations of different ethnic origins, adjusting for study design factors. 143 published articles (42 countries, 374 349 subjects aged 1–18 years, 74 847 myopia cases) were included. Increase in myopia prevalence with age varied by ethnicity. East Asians showed the highest prevalence, reaching 69% (95% credible intervals (CrI) 61% to 77%) at 15 years of age (86% among Singaporean-Chinese). Blacks in Africa had the lowest prevalence; 5.5% at 15 years (95% CrI 3% to 9%). Time trends in myopia prevalence over the last decade were small in whites, increased by 23% in East Asians, with a weaker increase among South Asians. Children from urban environments have 2.6 times the odds of myopia compared with those from rural environments. In whites and East Asians sex differences emerge at about 9 years of age; by late adolescence girls are twice as likely as boys to be myopic. Marked ethnic differences in age-specific prevalence of myopia exist. Rapid increases in myopia prevalence over time, particularly in East Asians, combined with a universally higher risk of myopia in urban settings, suggest that environmental factors play an important role in myopia development, which may offer scope for prevention.","container-title":"The British Journal of Ophthalmology","DOI":"10.1136/bjophthalmol-2015-307724","ISSN":"0007-1161","issue":"7","journalAbbreviation":"Br J Ophthalmol","note":"PMID: 26802174\nPMCID: PMC4941141","page":"882-890","source":"PubMed Central","title":"Global variations and time trends in the prevalence of childhood myopia, a systematic review and quantitative meta-analysis: implications for aetiology and early prevention","title-short":"Global variations and time trends in the prevalence of childhood myopia, a systematic review and quantitative meta-analysis","volume":"100","author":[{"family":"Rudnicka","given":"Alicja R"},{"family":"Kapetanakis","given":"Venediktos V"},{"family":"Wathern","given":"Andrea K"},{"family":"Logan","given":"Nicola S"},{"family":"Gilmartin","given":"Bernard"},{"family":"Whincup","given":"Peter H"},{"family":"Cook","given":"Derek G"},{"family":"Owen","given":"Christopher G"}],"issued":{"date-parts":[["2016",7]]}}}],"schema":"https://github.com/citation-style-language/schema/raw/master/csl-citation.json"} </w:instrText>
      </w:r>
      <w:r w:rsidR="00A4696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[97]</w:t>
      </w:r>
      <w:r w:rsidR="00A4696B"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406140" w:rsidRPr="004804AA">
        <w:rPr>
          <w:rFonts w:ascii="Times New Roman" w:hAnsi="Times New Roman" w:cs="Times New Roman"/>
          <w:sz w:val="28"/>
          <w:szCs w:val="28"/>
        </w:rPr>
        <w:t xml:space="preserve"> </w:t>
      </w:r>
      <w:r w:rsidR="00973B48" w:rsidRPr="004804AA">
        <w:rPr>
          <w:rFonts w:ascii="Times New Roman" w:hAnsi="Times New Roman" w:cs="Times New Roman"/>
          <w:sz w:val="28"/>
          <w:szCs w:val="28"/>
        </w:rPr>
        <w:t>В последние десятилетия, б</w:t>
      </w:r>
      <w:r w:rsidR="00F077C6" w:rsidRPr="004804AA">
        <w:rPr>
          <w:rFonts w:ascii="Times New Roman" w:hAnsi="Times New Roman" w:cs="Times New Roman"/>
          <w:sz w:val="28"/>
          <w:szCs w:val="28"/>
        </w:rPr>
        <w:t>лизорукость характеризуется все более ранним началом в сочетании с высокими показателями прогрессирования и развитием высоких степеней миопии уже в возрасте 11-13 лет</w:t>
      </w:r>
      <w:r w:rsidR="00283E81">
        <w:rPr>
          <w:rFonts w:ascii="Times New Roman" w:hAnsi="Times New Roman" w:cs="Times New Roman"/>
          <w:sz w:val="28"/>
          <w:szCs w:val="28"/>
        </w:rPr>
        <w:t xml:space="preserve"> </w:t>
      </w:r>
      <w:r w:rsidR="00F077C6"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{"citationID":"AO4tC6Tv","properties":{"formattedCitation":"[12]","plainCitation":"[12]","noteIndex":0},"citationItems":[{"id":809,"uris":["http://zotero.org/users/local/XMo5Fvid/items/ZNL8B3PD"],"itemData":{"id":809,"type":"article-journal","abstract":"There is an epidemic of myopia in East and Southeast Asia, with the prevalence of myopia in young adults around 80-90%, and an accompanying high prevalence of high myopia in young adults (10-20%). This may foreshadow an increase in low vision and blindness due to pathological myopia. These two epidemics are linked, since the increasingly early onset of myopia, combined with high progression rates, naturally generates an epidemic of high myopia, with high prevalences of \"acquired\" high myopia appearing around the age of 11-13. The major risk factors identified are intensive education, and limited time outdoors. The localization of the epidemic appears to be due to the high educational pressures and limited time outdoors in the region, rather than to genetically elevated sensitivity to these factors. Causality has been demonstrated in the case of time outdoors through randomized clinical trials in which increased time outdoors in schools has prevented the onset of myopia. In the case of educational pressures, evidence of causality comes from the high prevalence of myopia and high myopia in Jewish boys attending Orthodox schools in Israel compared to their sisters attending religious schools, and boys and girls attending secular schools. Combining increased time outdoors in schools, to slow the onset of myopia, with clinical methods for slowing myopic progression, should lead to the control of this epidemic, which would otherwise pose a major health challenge. Reforms to the organization of school systems to reduce intense early competition for accelerated learning pathways may also be important.","container-title":"Progress in Retinal and Eye Research","DOI":"10.1016/j.preteyeres.2017.09.004","ISSN":"1873-1635","journalAbbreviation":"Prog Retin Eye Res","language":"eng","note":"PMID: 28951126","page":"134-149","source":"PubMed","title":"The epidemics of myopia: Aetiology and prevention","title-short":"The epidemics of myopia","volume":"62","author":[{"family":"Morgan","given":"Ian G."},{"family":"French","given":"Amanda N."},{"family":"Ashby","given":"Regan S."},{"family":"Guo","given":"Xinxing"},{"family":"Ding","given":"Xiaohu"},{"family":"He","given":"Mingguang"},{"family":"Rose","given":"Kathryn A."}],"issued":{"date-parts":[["2018"]]}}}],"schema":"https://github.com/citation-style-language/schema/raw/master/csl-citation.json"} </w:instrText>
      </w:r>
      <w:r w:rsidR="00F077C6"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w:t>
      </w:r>
      <w:r w:rsidR="00F077C6"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F077C6" w:rsidRPr="004804AA">
        <w:rPr>
          <w:rFonts w:ascii="Times New Roman" w:hAnsi="Times New Roman" w:cs="Times New Roman"/>
          <w:sz w:val="28"/>
          <w:szCs w:val="28"/>
        </w:rPr>
        <w:t xml:space="preserve"> По сведениям, М. Nishimura и соавт. (2020), клинически значимые формы нарушения рефракции у детей в Канаде были отмечены уже в возрасте 3</w:t>
      </w:r>
      <w:r w:rsidR="00973B48" w:rsidRPr="004804AA">
        <w:rPr>
          <w:rFonts w:ascii="Times New Roman" w:hAnsi="Times New Roman" w:cs="Times New Roman"/>
          <w:sz w:val="28"/>
          <w:szCs w:val="28"/>
        </w:rPr>
        <w:t>-</w:t>
      </w:r>
      <w:r w:rsidR="00F077C6" w:rsidRPr="004804AA">
        <w:rPr>
          <w:rFonts w:ascii="Times New Roman" w:hAnsi="Times New Roman" w:cs="Times New Roman"/>
          <w:sz w:val="28"/>
          <w:szCs w:val="28"/>
        </w:rPr>
        <w:t>5 лет (6,7%)</w:t>
      </w:r>
      <w:r w:rsidR="00283E81">
        <w:rPr>
          <w:rFonts w:ascii="Times New Roman" w:hAnsi="Times New Roman" w:cs="Times New Roman"/>
          <w:sz w:val="28"/>
          <w:szCs w:val="28"/>
        </w:rPr>
        <w:t xml:space="preserve"> </w:t>
      </w:r>
      <w:r w:rsidR="00F077C6"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IRDwCUx4","properties":{"formattedCitation":"[98]","plainCitation":"[98]","noteIndex":0},"citationItems":[{"id":1380,"uris":["http://zotero.org/users/local/XMo5Fvid/items/3UCGBH5K"],"itemData":{"id":1380,"type":"article-journal","abstract":"Абстрактный\nОБЩИЕ СВЕДЕНИЯ: проблемы со зрением могут отрицательно сказаться на зрительном развитии и обучении, но часто остаются незамеченными. Мы оценили возможность расширения школьной программы скрининга для выявления и лечения детей детского сада с проблемами зрения.\nМетоды. Мы провели проспективное когортное исследование, предлагающее проверку зрения детям младших и старших классов детских садов, посещающих 43 школы в 15 общинах Онтарио. Скрининг включал в себя фотоэксперименты и тесты на остроту зрения, стереочувствительность и выравнивание глаз. Дети, не прошедшие ни один тест, направлялись на всестороннее обследование глаз с лечением по мере необходимости (например, очками).\nРезультаты: с использованием модели пассивного согласия 89% детей прошли скрининг по сравнению с 62% с использованием модели активного согласия ( стр.&lt;0,001). Частота направления к окулисту варьировалась в разных школах (средняя частота направлений для детей в JK 53%, диапазон 25–83%; средняя частота направлений для детей в SK 34%, диапазон 12–61%). Среди 4811 детей, прошедших скрининг, проблемы со зрением были обнаружены у 516 (10,7%), в том числе у 164 (3,4%) с амблиопией и 324 (6,7%) с клинически значимыми аномалиями рефракции. Для 347 (67,2%) детей с проблемами зрения это было первое обследование зрения. Повторный скрининг во 2-м классе не привел к выявлению дополнительных проблем у детей, прошедших обследование в 1-м классе. Независимо от местонахождения (детская школа или кабинет окулиста) 1563 (68,9%) детей прошли контрольный оптометрический осмотр. Большинство опрошенных детей (291 из 322, 90,4%) указали, что им нравится проверять зрение.\nИНТЕРПРЕТАЦИЯ: Многие дети в Онтарио с проблемами зрения не были идентифицированы статус-кво в 2015–2017 годах. Мы обнаружили, что проверка зрения в школе с последующим осмотром зрения является эффективной стратегией для выявления детей из группы риска и помещения их в офтальмологическое учреждение до 1 класса.","container-title":"CMAJ","DOI":"10.1503/cmaj.191085","ISSN":"0820-3946, 1488-2329","issue":"29","language":"en","license":"© 2020 Joule Inc. or its licensors","note":"publisher: CMAJ\nsection: Research\nPMID: 32690557","page":"E822-E831","source":"www.cmaj.ca","title":"Feasibility of a school-based vision screening program to detect undiagnosed visual problems in kindergarten children in Ontario","volume":"192","author":[{"family":"Nishimura","given":"Mayu"},{"family":"Wong","given":"Agnes"},{"family":"Dimaras","given":"Helen"},{"family":"Maurer","given":"Daphne"}],"issued":{"date-parts":[["2020",7,20]]}}}],"schema":"https://github.com/citation-style-language/schema/raw/master/csl-citation.json"} </w:instrText>
      </w:r>
      <w:r w:rsidR="00F077C6"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[98]</w:t>
      </w:r>
      <w:r w:rsidR="00F077C6"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F077C6" w:rsidRPr="004804AA">
        <w:rPr>
          <w:rFonts w:ascii="Times New Roman" w:hAnsi="Times New Roman" w:cs="Times New Roman"/>
          <w:sz w:val="28"/>
          <w:szCs w:val="28"/>
        </w:rPr>
        <w:t xml:space="preserve"> А в исследовании J.R.Drover, эти показатели </w:t>
      </w:r>
      <w:r w:rsidR="00973B48" w:rsidRPr="004804AA">
        <w:rPr>
          <w:rFonts w:ascii="Times New Roman" w:hAnsi="Times New Roman" w:cs="Times New Roman"/>
          <w:sz w:val="28"/>
          <w:szCs w:val="28"/>
        </w:rPr>
        <w:t xml:space="preserve">у 4-летних детей </w:t>
      </w:r>
      <w:r w:rsidR="00F077C6" w:rsidRPr="004804AA">
        <w:rPr>
          <w:rFonts w:ascii="Times New Roman" w:hAnsi="Times New Roman" w:cs="Times New Roman"/>
          <w:sz w:val="28"/>
          <w:szCs w:val="28"/>
        </w:rPr>
        <w:t>достигают 14%</w:t>
      </w:r>
      <w:r w:rsidR="00283E81">
        <w:rPr>
          <w:rFonts w:ascii="Times New Roman" w:hAnsi="Times New Roman" w:cs="Times New Roman"/>
          <w:sz w:val="28"/>
          <w:szCs w:val="28"/>
        </w:rPr>
        <w:t xml:space="preserve"> </w:t>
      </w:r>
      <w:r w:rsidR="00F077C6"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{"citationID":"A5fJD7kt","properties":{"formattedCitation":"[99]","plainCitation":"[99]","noteIndex":0},"citationItems":[{"id":1378,"uris":["http://zotero.org/users/local/XMo5Fvid/items/HJL7SXP2"],"itemData":{"id":1378,"type":"article-journal","abstract":"BACKGROUND: Currently, there is a lack of adequate data on pediatric eye and vision disorders in Canada, particularly in the province of Newfoundland and Labrador. In the present study, we estimate the prevalence of eye and vision disorders among young children who participated in a vision screening program in the St. John's, Newfoundland, metropolitan region.\nMETHODS: In daycare settings, 946 children (mean age 4.2 years) were screened with the latest tests of optics and functional vision. Those with suspected vision disorders were referred to an optometrist for a complete eye examination. From the results of these examinations, prevalence rates were estimated for several categories of vision disorders.\nRESULTS: Overall, we estimate that 14.0% of the children possessed significant vision disorders, the most prevalent of which were hyperopia, amblyopia, and strabismus (4.8%, 4.7%, and 4.3%, respectively). Myopia and anisometropia, on the other hand, were relatively rare (1.1% and 1.4%, respectively). In general, prevalence estimates are within the range of existing estimates from other developed nations.\nINTERPRETATION: Although the prevalence rates reported here must be interpreted cautiously because of methodological limitations, it appears that children in the present study do not possess an abnormally high prevalence of visual dysfunction. Nevertheless, because an estimated 14.0% of children tested had treatable vision disorders, early screening is clearly warranted in Newfoundland and Labrador.","container-title":"Canadian Journal of Ophthalmology. Journal Canadien D'ophtalmologie","DOI":"10.3129/i07-187","ISSN":"0008-4182","issue":"1","journalAbbreviation":"Can J Ophthalmol","language":"eng","note":"PMID: 18204498","page":"89-94","source":"PubMed","title":"Prevalence of amblyopia and other vision disorders in young Newfoundland and Labrador children","volume":"43","author":[{"family":"Drover","given":"James R."},{"family":"Kean","given":"Patrick G."},{"family":"Courage","given":"Mary L."},{"family":"Adams","given":"Russell J."}],"issued":{"date-parts":[["2008",2]]}}}],"schema":"https://github.com/citation-style-language/schema/raw/master/csl-citation.json"} </w:instrText>
      </w:r>
      <w:r w:rsidR="00F077C6"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[99]</w:t>
      </w:r>
      <w:r w:rsidR="00F077C6"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00F077C6" w:rsidRPr="004804AA">
        <w:rPr>
          <w:rFonts w:ascii="Times New Roman" w:hAnsi="Times New Roman" w:cs="Times New Roman"/>
          <w:sz w:val="28"/>
          <w:szCs w:val="28"/>
        </w:rPr>
        <w:t xml:space="preserve"> </w:t>
      </w:r>
    </w:p>
    <w:p w14:paraId="5E7DCC68" w14:textId="7D15BAA9" w:rsidR="00B92AEB" w:rsidRPr="004804AA" w:rsidRDefault="00C77A97"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Распространенность миопии в настоящее время затрагивает около половины молодых людей в США и Европе, что вдвое превышает показатель полувековой давности</w:t>
      </w:r>
      <w:r w:rsidR="00283E81">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01gwAfzo","properties":{"formattedCitation":"[100]","plainCitation":"[100]","noteIndex":0},"citationItems":[{"id":908,"uris":["http://zotero.org/users/local/XMo5Fvid/items/26RDTREE"],"itemData":{"id":908,"type":"article-journal","container-title":"Nature","DOI":"10.1038/519276a","ISSN":"1476-4687","issue":"7543","journalAbbreviation":"Nature","language":"eng","note":"PMID: 25788077","page":"276-278","source":"PubMed","title":"The myopia boom","volume":"519","author":[{"family":"Dolgin","given":"Elie"}],"issued":{"date-parts":[["2015",3,19]]}}}],"schema":"https://github.com/citation-style-language/schema/raw/master/csl-citation.json"}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[100]</w:t>
      </w:r>
      <w:r w:rsidRPr="004804AA">
        <w:rPr>
          <w:rFonts w:ascii="Times New Roman" w:hAnsi="Times New Roman" w:cs="Times New Roman"/>
          <w:sz w:val="28"/>
          <w:szCs w:val="28"/>
        </w:rPr>
        <w:fldChar w:fldCharType="end"/>
      </w:r>
      <w:r w:rsidR="00283E81">
        <w:rPr>
          <w:rFonts w:ascii="Times New Roman" w:hAnsi="Times New Roman" w:cs="Times New Roman"/>
          <w:sz w:val="28"/>
          <w:szCs w:val="28"/>
        </w:rPr>
        <w:t>.</w:t>
      </w:r>
      <w:r w:rsidRPr="004804AA">
        <w:rPr>
          <w:rFonts w:ascii="Times New Roman" w:hAnsi="Times New Roman" w:cs="Times New Roman"/>
          <w:sz w:val="28"/>
          <w:szCs w:val="28"/>
        </w:rPr>
        <w:t xml:space="preserve"> По результатам </w:t>
      </w:r>
      <w:r w:rsidR="0040032C" w:rsidRPr="004804AA">
        <w:rPr>
          <w:rFonts w:ascii="Times New Roman" w:hAnsi="Times New Roman" w:cs="Times New Roman"/>
          <w:sz w:val="28"/>
          <w:szCs w:val="28"/>
        </w:rPr>
        <w:t>исследовани</w:t>
      </w:r>
      <w:r w:rsidRPr="004804AA">
        <w:rPr>
          <w:rFonts w:ascii="Times New Roman" w:hAnsi="Times New Roman" w:cs="Times New Roman"/>
          <w:sz w:val="28"/>
          <w:szCs w:val="28"/>
        </w:rPr>
        <w:t>я</w:t>
      </w:r>
      <w:r w:rsidR="0040032C" w:rsidRPr="004804AA">
        <w:rPr>
          <w:rFonts w:ascii="Times New Roman" w:hAnsi="Times New Roman" w:cs="Times New Roman"/>
          <w:sz w:val="28"/>
          <w:szCs w:val="28"/>
        </w:rPr>
        <w:t xml:space="preserve"> S.J. McCullough число детей </w:t>
      </w:r>
      <w:r w:rsidRPr="004804AA">
        <w:rPr>
          <w:rFonts w:ascii="Times New Roman" w:hAnsi="Times New Roman" w:cs="Times New Roman"/>
          <w:sz w:val="28"/>
          <w:szCs w:val="28"/>
        </w:rPr>
        <w:t>10–16 лет</w:t>
      </w:r>
      <w:r w:rsidR="0040032C" w:rsidRPr="004804AA">
        <w:rPr>
          <w:rFonts w:ascii="Times New Roman" w:hAnsi="Times New Roman" w:cs="Times New Roman"/>
          <w:sz w:val="28"/>
          <w:szCs w:val="28"/>
        </w:rPr>
        <w:t xml:space="preserve">, страдающих миопией </w:t>
      </w:r>
      <w:r w:rsidRPr="004804AA">
        <w:rPr>
          <w:rFonts w:ascii="Times New Roman" w:hAnsi="Times New Roman" w:cs="Times New Roman"/>
          <w:sz w:val="28"/>
          <w:szCs w:val="28"/>
        </w:rPr>
        <w:t>в Великобритании,</w:t>
      </w:r>
      <w:r w:rsidR="0040032C" w:rsidRPr="004804AA">
        <w:rPr>
          <w:rFonts w:ascii="Times New Roman" w:hAnsi="Times New Roman" w:cs="Times New Roman"/>
          <w:sz w:val="28"/>
          <w:szCs w:val="28"/>
        </w:rPr>
        <w:t xml:space="preserve"> удвоилось за последние 50 лет</w:t>
      </w:r>
      <w:r w:rsidRPr="004804AA">
        <w:rPr>
          <w:rFonts w:ascii="Times New Roman" w:hAnsi="Times New Roman" w:cs="Times New Roman"/>
          <w:sz w:val="28"/>
          <w:szCs w:val="28"/>
        </w:rPr>
        <w:t xml:space="preserve"> (7,2% - в 1960-х и 16,4% в 2008)</w:t>
      </w:r>
      <w:r w:rsidR="00952D8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{"citationID":"3OczQH3L","properties":{"formattedCitation":"[101]","plainCitation":"[101]","noteIndex":0},"citationItems":[{"id":1271,"uris":["http://zotero.org/users/local/XMo5Fvid/items/SJMPDM92"],"itemData":{"id":1271,"type":"article-journal","abstract":"OBJECTIVE: To determine six-year spherical refractive error change among white children and young adults in the UK and evaluate differences in refractive profiles between contemporary Australian children and historical UK data.\nDESIGN: Population-based prospective study.\nPARTICIPANTS: The Northern Ireland Childhood Errors of Refraction (NICER) study Phase 1 examined 1068 children in two cohorts aged 6-7 years and 12-13 years. Prospective data for six-year follow-up (Phase 3) are available for 212 12-13 year olds and 226 18-20 year olds in each cohort respectively.\nMETHODS: Cycloplegic refractive error was determined using binocular open-field autorefraction (Shin-Nippon NVision-K 5001, cyclopentolate 1%). Participants were defined by spherical equivalent refraction (SER) as myopic SER ≤-0.50D, emmetropic -0.50D&lt;SER&lt;+2.00 or hyperopic SER≥+2.00D.\nMAIN OUTCOME MEASURES: Proportion and incidence of myopia.\nRESULTS: The proportion of myopes significantly increased between 6-7 years (1.9%) and 12-13 years (14.6%) (p&lt;0.001) but not between 12-13 and 18-20 years (16.4% to 18.6%, p = 0.51). The estimated annual incidence of myopia was 2.2% and 0.7% for the younger and older cohorts respectively. There were significantly more myopic children in the UK at age 12-13 years in the NICER study (16.4%) than reported in Australia (4.4%) (p&lt;0.001). However by 17 years the proportion of myopia neared equivalence in the two populations (NICER 18.6%, Australia 17.7%, p = 0.75). The proportion of myopic children aged 12-13 years in the present study (2006-2008) was 16.4%, significantly greater than that reported for children aged 10-16 years in the 1960's (7.2%, p = 0.01). The proportion of hyperopes in the younger NICER cohort decreased significantly over the six year period (from 21.7% to 14.2%, p = 0.04). Hyperopes with SER ≥+3.50D in both NICER age cohorts demonstrated persistent hyperopia.\nCONCLUSIONS: The incidence and proportion of myopia are relatively low in this contemporary white UK population in comparison to other worldwide studies. The proportion of myopes in the UK has more than doubled over the last 50 years in children aged between 10-16 years and children are becoming myopic at a younger age. Differences between the proportion of myopes in the UK and in Australia apparent at 12-13 years were eliminated by 17 years of age.","container-title":"PloS One","DOI":"10.1371/journal.pone.0146332","ISSN":"1932-6203","issue":"1","journalAbbreviation":"PLoS One","language":"eng","note":"PMID: 26783753\nPMCID: PMC4718680","page":"e0146332","source":"PubMed","title":"Six Year Refractive Change among White Children and Young Adults: Evidence for Significant Increase in Myopia among White UK Children","title-short":"Six Year Refractive Change among White Children and Young Adults","volume":"11","author":[{"family":"McCullough","given":"Sara J."},{"family":"O'Donoghue","given":"Lisa"},{"family":"Saunders","given":"Kathryn J."}],"issued":{"date-parts":[["2016"]]}}}],"schema":"https://github.com/citation-style-language/schema/raw/master/csl-citation.json"}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[101]</w:t>
      </w:r>
      <w:r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r w:rsidRPr="004804AA">
        <w:rPr>
          <w:rFonts w:ascii="Times New Roman" w:hAnsi="Times New Roman" w:cs="Times New Roman"/>
          <w:sz w:val="28"/>
          <w:szCs w:val="28"/>
        </w:rPr>
        <w:t xml:space="preserve"> </w:t>
      </w:r>
      <w:r w:rsidR="00B92AEB" w:rsidRPr="004804AA">
        <w:rPr>
          <w:rFonts w:ascii="Times New Roman" w:hAnsi="Times New Roman" w:cs="Times New Roman"/>
          <w:sz w:val="28"/>
          <w:szCs w:val="28"/>
        </w:rPr>
        <w:t>Проведенный в Финляндии анализ различных исследований зрения, проводимых в течение ХХ века</w:t>
      </w:r>
      <w:r w:rsidR="007E164E">
        <w:rPr>
          <w:rFonts w:ascii="Times New Roman" w:hAnsi="Times New Roman" w:cs="Times New Roman"/>
          <w:sz w:val="28"/>
          <w:szCs w:val="28"/>
        </w:rPr>
        <w:t>,</w:t>
      </w:r>
      <w:r w:rsidR="00B92AEB" w:rsidRPr="004804AA">
        <w:rPr>
          <w:rFonts w:ascii="Times New Roman" w:hAnsi="Times New Roman" w:cs="Times New Roman"/>
          <w:sz w:val="28"/>
          <w:szCs w:val="28"/>
        </w:rPr>
        <w:t xml:space="preserve"> также выявил рост распространенности миопии среди 14–</w:t>
      </w:r>
      <w:r w:rsidR="00843244" w:rsidRPr="004804AA">
        <w:rPr>
          <w:rFonts w:ascii="Times New Roman" w:hAnsi="Times New Roman" w:cs="Times New Roman"/>
          <w:sz w:val="28"/>
          <w:szCs w:val="28"/>
        </w:rPr>
        <w:t>15-летних</w:t>
      </w:r>
      <w:r w:rsidR="00B92AEB" w:rsidRPr="004804AA">
        <w:rPr>
          <w:rFonts w:ascii="Times New Roman" w:hAnsi="Times New Roman" w:cs="Times New Roman"/>
          <w:sz w:val="28"/>
          <w:szCs w:val="28"/>
        </w:rPr>
        <w:t xml:space="preserve"> школьников более чем в 2 раза (с 10% до 21%). Среди взрослых, родившихся в течение первых трех десятилетий 20-го века, распространенность миопии была &lt;10%, тогда как среди тех, кто родился во второй половине 20-го века, распространенность возросла до 21–30%</w:t>
      </w:r>
      <w:r w:rsidR="00952D86">
        <w:rPr>
          <w:rFonts w:ascii="Times New Roman" w:hAnsi="Times New Roman" w:cs="Times New Roman"/>
          <w:sz w:val="28"/>
          <w:szCs w:val="28"/>
        </w:rPr>
        <w:t xml:space="preserve"> </w:t>
      </w:r>
      <w:r w:rsidR="00B92AE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{"citationID":"r70QUS8s","properties":{"formattedCitation":"[102]","plainCitation":"[102]","noteIndex":0},"citationItems":[{"id":1006,"uris":["http://zotero.org/users/local/XMo5Fvid/items/LHL3SVQS"],"itemData":{"id":1006,"type":"article-journal","abstract":"PURPOSE: To study change in the prevalence of myopia in Finland during the 20th century.\nMETHODS: A review of the literature on the prevalence of myopia in Finland.\nRESULTS: During the 20th century, the prevalence of myopia among 7- to 8-year-old schoolchildren did not increase in Finland and varied between 0.5% and 1.9%. Among 14- to 15-year-old school children, myopia doubled to about 21%. Among adults born during the first three decades of the 20th century, the prevalence of myopia was &lt;10%, whereas among those born during the second half of the 20th century, the prevalence rose to 21-30%. The change in mean refraction was towards myopia.\nCONCLUSIONS: During the course of the 20th century, myopia among teenagers and adults in Finland significantly increased and the mean change in refraction was towards myopia. Increased education is proposed as the main reason behind these changes.","container-title":"Acta Ophthalmologica","DOI":"10.1111/j.1755-3768.2011.02210.x","ISSN":"1755-3768","issue":"6","journalAbbreviation":"Acta Ophthalmol","language":"eng","note":"PMID: 21902818","page":"497-502","source":"PubMed","title":"The increased prevalence of myopia in Finland","volume":"90","author":[{"family":"Pärssinen","given":"Olavi"}],"issued":{"date-parts":[["2012",9]]}}}],"schema":"https://github.com/citation-style-language/schema/raw/master/csl-citation.json"} </w:instrText>
      </w:r>
      <w:r w:rsidR="00B92AE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[102]</w:t>
      </w:r>
      <w:r w:rsidR="00B92AEB"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p>
    <w:p w14:paraId="671AD1D9" w14:textId="6A828EBA" w:rsidR="00000C02" w:rsidRPr="004804AA" w:rsidRDefault="00095B4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Недавнее исследование The Northern Ireland Childhood Errors of Refraction </w:t>
      </w:r>
      <w:r w:rsidR="00421DBC">
        <w:rPr>
          <w:rFonts w:ascii="Times New Roman" w:hAnsi="Times New Roman" w:cs="Times New Roman"/>
          <w:sz w:val="28"/>
          <w:szCs w:val="28"/>
        </w:rPr>
        <w:t>(</w:t>
      </w:r>
      <w:r w:rsidR="00421DBC" w:rsidRPr="004804AA">
        <w:rPr>
          <w:rFonts w:ascii="Times New Roman" w:hAnsi="Times New Roman" w:cs="Times New Roman"/>
          <w:sz w:val="28"/>
          <w:szCs w:val="28"/>
        </w:rPr>
        <w:t>NICER</w:t>
      </w:r>
      <w:r w:rsidR="00421DBC">
        <w:rPr>
          <w:rFonts w:ascii="Times New Roman" w:hAnsi="Times New Roman" w:cs="Times New Roman"/>
          <w:sz w:val="28"/>
          <w:szCs w:val="28"/>
        </w:rPr>
        <w:t>)</w:t>
      </w:r>
      <w:r w:rsidR="00421DBC" w:rsidRPr="004804AA">
        <w:rPr>
          <w:rFonts w:ascii="Times New Roman" w:hAnsi="Times New Roman" w:cs="Times New Roman"/>
          <w:sz w:val="28"/>
          <w:szCs w:val="28"/>
        </w:rPr>
        <w:t xml:space="preserve"> </w:t>
      </w:r>
      <w:r w:rsidRPr="004804AA">
        <w:rPr>
          <w:rFonts w:ascii="Times New Roman" w:hAnsi="Times New Roman" w:cs="Times New Roman"/>
          <w:sz w:val="28"/>
          <w:szCs w:val="28"/>
        </w:rPr>
        <w:t>также выявило растущую распространенность миопии в когорте британских школьников с 1,9% до 14,6% за шестилетний период, а среди старших подростков до 18,6%</w:t>
      </w:r>
      <w:r w:rsidR="00952D8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{"citationID":"Az2mmWyh","properties":{"formattedCitation":"[101]","plainCitation":"[101]","noteIndex":0},"citationItems":[{"id":1271,"uris":["http://zotero.org/users/local/XMo5Fvid/items/SJMPDM92"],"itemData":{"id":1271,"type":"article-journal","abstract":"OBJECTIVE: To determine six-year spherical refractive error change among white children and young adults in the UK and evaluate differences in refractive profiles between contemporary Australian children and historical UK data.\nDESIGN: Population-based prospective study.\nPARTICIPANTS: The Northern Ireland Childhood Errors of Refraction (NICER) study Phase 1 examined 1068 children in two cohorts aged 6-7 years and 12-13 years. Prospective data for six-year follow-up (Phase 3) are available for 212 12-13 year olds and 226 18-20 year olds in each cohort respectively.\nMETHODS: Cycloplegic refractive error was determined using binocular open-field autorefraction (Shin-Nippon NVision-K 5001, cyclopentolate 1%). Participants were defined by spherical equivalent refraction (SER) as myopic SER ≤-0.50D, emmetropic -0.50D&lt;SER&lt;+2.00 or hyperopic SER≥+2.00D.\nMAIN OUTCOME MEASURES: Proportion and incidence of myopia.\nRESULTS: The proportion of myopes significantly increased between 6-7 years (1.9%) and 12-13 years (14.6%) (p&lt;0.001) but not between 12-13 and 18-20 years (16.4% to 18.6%, p = 0.51). The estimated annual incidence of myopia was 2.2% and 0.7% for the younger and older cohorts respectively. There were significantly more myopic children in the UK at age 12-13 years in the NICER study (16.4%) than reported in Australia (4.4%) (p&lt;0.001). However by 17 years the proportion of myopia neared equivalence in the two populations (NICER 18.6%, Australia 17.7%, p = 0.75). The proportion of myopic children aged 12-13 years in the present study (2006-2008) was 16.4%, significantly greater than that reported for children aged 10-16 years in the 1960's (7.2%, p = 0.01). The proportion of hyperopes in the younger NICER cohort decreased significantly over the six year period (from 21.7% to 14.2%, p = 0.04). Hyperopes with SER ≥+3.50D in both NICER age cohorts demonstrated persistent hyperopia.\nCONCLUSIONS: The incidence and proportion of myopia are relatively low in this contemporary white UK population in comparison to other worldwide studies. The proportion of myopes in the UK has more than doubled over the last 50 years in children aged between 10-16 years and children are becoming myopic at a younger age. Differences between the proportion of myopes in the UK and in Australia apparent at 12-13 years were eliminated by 17 years of age.","container-title":"PloS One","DOI":"10.1371/journal.pone.0146332","ISSN":"1932-6203","issue":"1","journalAbbreviation":"PLoS One","language":"eng","note":"PMID: 26783753\nPMCID: PMC4718680","page":"e0146332","source":"PubMed","title":"Six Year Refractive Change among White Children and Young Adults: Evidence for Significant Increase in Myopia among White UK Children","title-short":"Six Year Refractive Change among White Children and Young Adults","volume":"11","author":[{"family":"McCullough","given":"Sara J."},{"family":"O'Donoghue","given":"Lisa"},{"family":"Saunders","given":"Kathryn J."}],"issued":{"date-parts":[["2016"]]}}}],"schema":"https://github.com/citation-style-language/schema/raw/master/csl-citation.json"}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[101]</w:t>
      </w:r>
      <w:r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r w:rsidRPr="004804AA">
        <w:rPr>
          <w:rFonts w:ascii="Times New Roman" w:hAnsi="Times New Roman" w:cs="Times New Roman"/>
          <w:sz w:val="28"/>
          <w:szCs w:val="28"/>
        </w:rPr>
        <w:t xml:space="preserve"> Сопоставимые данные представили авторы бристольского исследования: 1,97% близоруких детей в возрасте 7 лет и 18,47 в возрасте 7-15 лет</w:t>
      </w:r>
      <w:r w:rsidR="00952D8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{"citationID":"WdHhxdbx","properties":{"formattedCitation":"[103]","plainCitation":"[103]","noteIndex":0},"citationItems":[{"id":1213,"uris":["http://zotero.org/users/local/XMo5Fvid/items/W3CCUHAF"],"itemData":{"id":1213,"type":"article-journal","abstract":"Myopia (near sightedness) is the most common vision disorder resulting in visual impairment worldwide. We tested the hypothesis that intergenerational, non-genetic heritable effects influence refractive development, using grandparental prenatal smoking as a candidate exposure. Using data from the Avon Longitudinal Study of Parents and Children (ALSPAC), we found that the prevalence of myopia at age 7 was lower if the paternal grandmother had smoked in pregnancy, an association primarily found among grandsons compared to granddaughters. There was a weaker, non-sex-specific, reduction in the prevalence of myopia at age 7 if the maternal grandmother had smoked in pregnancy. For children who became myopic later (between 7 and 15 years of age) there were no associations with either grandmother smoking. Differences between early and late-onset myopia were confirmed with DNA methylation patterns: there were very distinct and strong associations with methylation for early-onset but not later-onset myopia.","container-title":"Scientific Reports","DOI":"10.1038/s41598-019-51678-9","ISSN":"2045-2322","journalAbbreviation":"Sci Rep","note":"PMID: 31659193\nPMCID: PMC6817861","source":"PubMed Central","title":"Grandmothers’ smoking in pregnancy is associated with a reduced prevalence of early-onset myopia","URL":"https://www.ncbi.nlm.nih.gov/pmc/articles/PMC6817861/","volume":"9","author":[{"family":"Williams","given":"Cathy"},{"family":"Suderman","given":"Matthew"},{"family":"Guggenheim","given":"Jeremy A."},{"family":"Ellis","given":"Genette"},{"family":"Gregory","given":"Steve"},{"family":"Iles-Caven","given":"Yasmin"},{"family":"Northstone","given":"Kate"},{"family":"Golding","given":"Jean"},{"family":"Pembrey","given":"Marcus"}],"accessed":{"date-parts":[["2021",1,12]]},"issued":{"date-parts":[["2019",10,28]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[103]</w:t>
      </w:r>
      <w:r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r w:rsidRPr="004804AA">
        <w:rPr>
          <w:rFonts w:ascii="Times New Roman" w:hAnsi="Times New Roman" w:cs="Times New Roman"/>
          <w:sz w:val="28"/>
          <w:szCs w:val="28"/>
        </w:rPr>
        <w:t xml:space="preserve"> В ирландском офтальмологическом исследовании (IES), посвященном изучению распространенности аномалий рефракции (в том числе и миопии) у школьников, отмечено наличие данной патологии у детей в возрасте 6–7 (3,3%) и 12–13 лет (19,9%)</w:t>
      </w:r>
      <w:r w:rsidR="00952D8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{"citationID":"hzA0SBeu","properties":{"formattedCitation":"[104]","plainCitation":"[104]","noteIndex":0},"citationItems":[{"id":1384,"uris":["http://zotero.org/users/local/XMo5Fvid/items/XAWYIIER"],"itemData":{"id":1384,"type":"article-journal","abstract":"AIM: To report refractive error prevalence and visual impairment in Republic of Ireland (henceforth 'Ireland') schoolchildren.\nMETHODS: The Ireland Eye Study examined 1626 participants (881 boys, 745 girls) in two age groups, 6-7 years (728) and 12-13 years (898), in Ireland between June 2016 and January 2018. Participating schools were selected by stratified random sampling, representing a mix of school type (primary/postprimary), location (urban/rural) and socioeconomic status (disadvantaged/advantaged). Examination included monocular logarithm of the minimum angle of resolution (logMAR) presenting visual acuity (with spectacles if worn) and cycloplegic autorefraction (1% Cyclopentolate Hydrochloride). Parents completed a questionnaire to ascertain participants' lifestyle.\nRESULTS: The prevalence of myopia (spherical equivalent refraction (SER): ≤-0.50 D), hyperopia (SER: ≥+2.00 D) and astigmatism (≤-1.00 DC) among participants aged 6-7 years old was 3.3%, 25% and 19.2%, respectively, and among participants aged 12-13 years old was 19.9%, 8.9% and 15.9%, respectively. Astigmatic axes were predominately with-the-rule. The prevalence of 'better eye' presenting visual impairment (≥0.3 logMAR, with spectacles, if worn) was 3.7% among younger and 3.4% among older participants. Participants in minority groups (Traveller and non-white) were significantly more likely to present with presenting visual impairment in the 'better eye'.\nCONCLUSIONS: The Ireland Eye Study is the first population-based study to report on refractive error prevalence and visual impairment in Ireland. Myopia prevalence is similar to comparable studies of white European children, but the levels of presenting visual impairment are markedly higher than those reported for children living in Northern Ireland, suggesting barriers exist in accessing eye care.","container-title":"The British Journal of Ophthalmology","DOI":"10.1136/bjophthalmol-2018-312573","ISSN":"1468-2079","issue":"8","journalAbbreviation":"Br J Ophthalmol","language":"eng","note":"PMID: 30315130\nPMCID: PMC6678142","page":"1112-1118","source":"PubMed","title":"Refractive error and visual impairment in Ireland schoolchildren","volume":"103","author":[{"family":"Harrington","given":"Siofra Christine"},{"family":"Stack","given":"Jim"},{"family":"Saunders","given":"Kathryn"},{"family":"O'Dwyer","given":"Veronica"}],"issued":{"date-parts":[["2019",8]]}}}],"schema":"https://github.com/citation-style-language/schema/raw/master/csl-citation.json"}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[104]</w:t>
      </w:r>
      <w:r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r w:rsidRPr="004804AA">
        <w:rPr>
          <w:rFonts w:ascii="Times New Roman" w:hAnsi="Times New Roman" w:cs="Times New Roman"/>
          <w:sz w:val="28"/>
          <w:szCs w:val="28"/>
        </w:rPr>
        <w:t xml:space="preserve"> При этом доля гиперметропии значительно снизилась за шестилетний период (с 21,7% до 14,2%)</w:t>
      </w:r>
      <w:r w:rsidR="00952D8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{"citationID":"AYE3J67J","properties":{"formattedCitation":"[101]","plainCitation":"[101]","noteIndex":0},"citationItems":[{"id":1271,"uris":["http://zotero.org/users/local/XMo5Fvid/items/SJMPDM92"],"itemData":{"id":1271,"type":"article-journal","abstract":"OBJECTIVE: To determine six-year spherical refractive error change among white children and young adults in the UK and evaluate differences in refractive profiles between contemporary Australian children and historical UK data.\nDESIGN: Population-based prospective study.\nPARTICIPANTS: The Northern Ireland Childhood Errors of Refraction (NICER) study Phase 1 examined 1068 children in two cohorts aged 6-7 years and 12-13 years. Prospective data for six-year follow-up (Phase 3) are available for 212 12-13 year olds and 226 18-20 year olds in each cohort respectively.\nMETHODS: Cycloplegic refractive error was determined using binocular open-field autorefraction (Shin-Nippon NVision-K 5001, cyclopentolate 1%). Participants were defined by spherical equivalent refraction (SER) as myopic SER ≤-0.50D, emmetropic -0.50D&lt;SER&lt;+2.00 or hyperopic SER≥+2.00D.\nMAIN OUTCOME MEASURES: Proportion and incidence of myopia.\nRESULTS: The proportion of myopes significantly increased between 6-7 years (1.9%) and 12-13 years (14.6%) (p&lt;0.001) but not between 12-13 and 18-20 years (16.4% to 18.6%, p = 0.51). The estimated annual incidence of myopia was 2.2% and 0.7% for the younger and older cohorts respectively. There were significantly more myopic children in the UK at age 12-13 years in the NICER study (16.4%) than reported in Australia (4.4%) (p&lt;0.001). However by 17 years the proportion of myopia neared equivalence in the two populations (NICER 18.6%, Australia 17.7%, p = 0.75). The proportion of myopic children aged 12-13 years in the present study (2006-2008) was 16.4%, significantly greater than that reported for children aged 10-16 years in the 1960's (7.2%, p = 0.01). The proportion of hyperopes in the younger NICER cohort decreased significantly over the six year period (from 21.7% to 14.2%, p = 0.04). Hyperopes with SER ≥+3.50D in both NICER age cohorts demonstrated persistent hyperopia.\nCONCLUSIONS: The incidence and proportion of myopia are relatively low in this contemporary white UK population in comparison to other worldwide studies. The proportion of myopes in the UK has more than doubled over the last 50 years in children aged between 10-16 years and children are becoming myopic at a younger age. Differences between the proportion of myopes in the UK and in Australia apparent at 12-13 years were eliminated by 17 years of age.","container-title":"PloS One","DOI":"10.1371/journal.pone.0146332","ISSN":"1932-6203","issue":"1","journalAbbreviation":"PLoS One","language":"eng","note":"PMID: 26783753\nPMCID: PMC4718680","page":"e0146332","source":"PubMed","title":"Six Year Refractive Change among White Children and Young Adults: Evidence for Significant Increase in Myopia among White UK Children","title-short":"Six Year Refractive Change among White Children and Young Adults","volume":"11","author":[{"family":"McCullough","given":"Sara J."},{"family":"O'Donoghue","given":"Lisa"},{"family":"Saunders","given":"Kathryn J."}],"issued":{"date-parts":[["2016"]]}}}],"schema":"https://github.com/citation-style-language/schema/raw/master/csl-citation.json"}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[101]</w:t>
      </w:r>
      <w:r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r w:rsidR="00406140" w:rsidRPr="004804AA">
        <w:rPr>
          <w:rFonts w:ascii="Times New Roman" w:hAnsi="Times New Roman" w:cs="Times New Roman"/>
          <w:sz w:val="28"/>
          <w:szCs w:val="28"/>
        </w:rPr>
        <w:t xml:space="preserve"> </w:t>
      </w:r>
      <w:r w:rsidR="00000C02" w:rsidRPr="004804AA">
        <w:rPr>
          <w:rFonts w:ascii="Times New Roman" w:hAnsi="Times New Roman" w:cs="Times New Roman"/>
          <w:sz w:val="28"/>
          <w:szCs w:val="28"/>
        </w:rPr>
        <w:t>Распространенность подростковой миопии в Израиле выросла с 16,3% в 1990 году до 28,3% в 2002 году</w:t>
      </w:r>
      <w:r w:rsidR="00952D86">
        <w:rPr>
          <w:rFonts w:ascii="Times New Roman" w:hAnsi="Times New Roman" w:cs="Times New Roman"/>
          <w:sz w:val="28"/>
          <w:szCs w:val="28"/>
        </w:rPr>
        <w:t xml:space="preserve"> </w:t>
      </w:r>
      <w:r w:rsidR="00000C02"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{"citationID":"e0MHPu9j","properties":{"formattedCitation":"[105; 106]","plainCitation":"[105; 106]","noteIndex":0},"citationItems":[{"id":1349,"uris":["http://zotero.org/users/local/XMo5Fvid/items/QAMHJFT4"],"itemData":{"id":1349,"type":"article-journal","container-title":"Investigative Ophthalmology &amp; Visual Science","DOI":"10.1167/iovs.04-0260","ISSN":"1552-5783","issue":"8","journalAbbreviation":"Invest. Ophthalmol. Vis. Sci.","language":"en","note":"publisher: The Association for Research in Vision and Ophthalmology","page":"2760-2765","source":"iovs.arvojournals.org","title":"The Changing Prevalence of Myopia in Young Adults: A 13-Year Series of Population-Based Prevalence Surveys","title-short":"The Changing Prevalence of Myopia in Young Adults","volume":"46","author":[{"family":"Dayan","given":"Yosefa Bar"},{"family":"Levin","given":"Avi"},{"family":"Morad","given":"Yair"},{"family":"Grotto","given":"Itamar"},{"family":"Ben-David","given":"Rachel"},{"family":"Goldberg","given":"Avishai"},{"family":"Onn","given":"Erez"},{"family":"Avni","given":"Isaac"},{"family":"Levi","given":"Yehezkel"},{"family":"Benyamini","given":"Oren Gil"}],"issued":{"date-parts":[["2005",8,1]]}},"label":"page"},{"id":1367,"uris":["http://zotero.org/users/local/XMo5Fvid/items/ZWZPPC36"],"itemData":{"id":1367,"type":"article-journal","abstract":"We conducted a nation-wide survey of the Prevalences of Myopia and other refractive errors in Israel, from data of medical examinations of an unselected population of 312,149 subjects ages 17 to 19 years. 80.47% of the population were emmetropic in both eyes. Myopia in both eyes was found in 16.27% of the population. The prevalence of monocular myopia was 1.69%. Manifest hyperopia in both eyes was found in 0.93% and astigmatism at least in one eye was found in 7.13%. The various errors of refraction (myopia, hyperopia and astigmatism) were more common among females.","container-title":"Metabolic, Pediatric, and Systemic Ophthalmology (New York, N.Y.: 1985)","ISSN":"0882-889X","issue":"2","journalAbbreviation":"Metab Pediatr Syst Ophthalmol (1985)","language":"eng","note":"PMID: 1369642","page":"37-41","source":"PubMed","title":"A nation-wide study of myopia prevalence in Israel. Findings in a population of 312,149 young adults","volume":"14","author":[{"family":"Rosner","given":"M."},{"family":"Belkin","given":"M."}],"issued":{"date-parts":[["1991"]]}},"label":"page"}],"schema":"https://github.com/citation-style-language/schema/raw/master/csl-citation.json"} </w:instrText>
      </w:r>
      <w:r w:rsidR="00000C02"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[105; 106]</w:t>
      </w:r>
      <w:r w:rsidR="00000C02" w:rsidRPr="004804AA">
        <w:rPr>
          <w:rFonts w:ascii="Times New Roman" w:hAnsi="Times New Roman" w:cs="Times New Roman"/>
          <w:sz w:val="28"/>
          <w:szCs w:val="28"/>
        </w:rPr>
        <w:fldChar w:fldCharType="end"/>
      </w:r>
      <w:r w:rsidR="00952D86">
        <w:rPr>
          <w:rFonts w:ascii="Times New Roman" w:hAnsi="Times New Roman" w:cs="Times New Roman"/>
          <w:sz w:val="28"/>
          <w:szCs w:val="28"/>
        </w:rPr>
        <w:t>.</w:t>
      </w:r>
    </w:p>
    <w:p w14:paraId="0978DDDB" w14:textId="39AAC0ED" w:rsidR="00187874" w:rsidRPr="004804AA" w:rsidRDefault="00D25D8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Наиболее низкие показатели распространенности детской близорукости отмечаются в Саудовской Аравии </w:t>
      </w:r>
      <w:r w:rsidR="003775AD" w:rsidRPr="004804AA">
        <w:rPr>
          <w:rFonts w:ascii="Times New Roman" w:hAnsi="Times New Roman" w:cs="Times New Roman"/>
          <w:sz w:val="28"/>
          <w:szCs w:val="28"/>
        </w:rPr>
        <w:t xml:space="preserve">- </w:t>
      </w:r>
      <w:r w:rsidRPr="004804AA">
        <w:rPr>
          <w:rFonts w:ascii="Times New Roman" w:hAnsi="Times New Roman" w:cs="Times New Roman"/>
          <w:sz w:val="28"/>
          <w:szCs w:val="28"/>
        </w:rPr>
        <w:t xml:space="preserve">0,7%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{"citationID":"WrrPIPoy","properties":{"formattedCitation":"[107]","plainCitation":"[107]","noteIndex":0},"citationItems":[{"id":1454,"uris":["http://zotero.org/users/local/XMo5Fvid/items/TKQGLDR2"],"itemData":{"id":1454,"type":"article-journal","abstract":"OBJECTIVES: To determine the prevalence of uncorrected refractive errors (URE) among children 3-10 years and to affirm the necessity of a national school-based visual screening program for school-aged children. Methods: This retrospective cross-sectional study was conducted in Medina, Saudi Arabia in 2015. Children were selected through a multistage stratified random sampling from 8 kindergarten and 8 primary schools. Those included were screened to diagnose UREs using a visual acuity chart and an auto refractometer according to American guidelines. The prevalence and types of UREs were estimated. Results: Of the 2121 children enumerated, 1893 were examined, yielding a response rate of 89.3%. The prevalence of UREs was 34.9% (95% CI = 32.8%-37.1%), with significant differences in different age groups. The prevalence of astigmatism (25.3%) was higher compared to that of anisometropia (7.4%), hypermetropia (1.5%), and myopia (0.7%). Risk of uncorrected refractive error was positively associated with age, and this was noted in astigmatism, myopia, and anisometropia. In addition, the risk of hypermetropia was associated with boys and that of myopia was associated with girls. Conclusions: The prevalence of UREs, particularly astigmatism, was high among children aged 3-10 years in Medina, with significant age differences. Vision screening programs targeting kindergarten and primary schoolchildren are crucial to lessen the risk of preventable visual impairment due to UREs.","container-title":"Saudi Medical Journal","DOI":"10.15537/smj.2017.8.20412","ISSN":"0379-5284","issue":"8","journalAbbreviation":"Saudi Med J","language":"eng","note":"PMID: 28762432\nPMCID: PMC5556296","page":"804-810","source":"PubMed","title":"Prevalence of uncorrected refractive errors among children aged 3-10 years in western Saudi Arabia","volume":"38","author":[{"family":"Alrahili","given":"Nojood Hameed R."},{"family":"Jadidy","given":"Esraa S."},{"family":"Alahmadi","given":"Bayan Sulieman H."},{"family":"Abdula'al","given":"Mohammed F."},{"family":"Jadidy","given":"Alaa S."},{"family":"Alhusaini","given":"Abdulaziz A."},{"family":"Mojaddidi","given":"Moaz A."},{"family":"Al-Barry","given":"Maan A."}],"issued":{"date-parts":[["2017",8]]}}}],"schema":"https://github.com/citation-style-language/schema/raw/master/csl-citation.json"}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[107]</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w:t>
      </w:r>
      <w:r w:rsidR="003775AD" w:rsidRPr="004804AA">
        <w:rPr>
          <w:rFonts w:ascii="Times New Roman" w:hAnsi="Times New Roman" w:cs="Times New Roman"/>
          <w:sz w:val="28"/>
          <w:szCs w:val="28"/>
        </w:rPr>
        <w:t xml:space="preserve">и </w:t>
      </w:r>
      <w:r w:rsidR="00187874" w:rsidRPr="004804AA">
        <w:rPr>
          <w:rFonts w:ascii="Times New Roman" w:hAnsi="Times New Roman" w:cs="Times New Roman"/>
          <w:sz w:val="28"/>
          <w:szCs w:val="28"/>
        </w:rPr>
        <w:t>в Парагвае</w:t>
      </w:r>
      <w:r w:rsidRPr="004804AA">
        <w:rPr>
          <w:rFonts w:ascii="Times New Roman" w:hAnsi="Times New Roman" w:cs="Times New Roman"/>
          <w:sz w:val="28"/>
          <w:szCs w:val="28"/>
        </w:rPr>
        <w:t xml:space="preserve"> </w:t>
      </w:r>
      <w:r w:rsidR="003775AD" w:rsidRPr="004804AA">
        <w:rPr>
          <w:rFonts w:ascii="Times New Roman" w:hAnsi="Times New Roman" w:cs="Times New Roman"/>
          <w:sz w:val="28"/>
          <w:szCs w:val="28"/>
        </w:rPr>
        <w:t>– 1,4%</w:t>
      </w:r>
      <w:r w:rsidR="00E5413F">
        <w:rPr>
          <w:rFonts w:ascii="Times New Roman" w:hAnsi="Times New Roman" w:cs="Times New Roman"/>
          <w:sz w:val="28"/>
          <w:szCs w:val="28"/>
        </w:rPr>
        <w:t>.</w:t>
      </w:r>
      <w:r w:rsidR="003775AD"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{"citationID":"v8mcYDx5","properties":{"formattedCitation":"[108]","plainCitation":"[108]","noteIndex":0},"citationItems":[{"id":1457,"uris":["http://zotero.org/users/local/XMo5Fvid/items/URKC4LL9"],"itemData":{"id":1457,"type":"article-journal","abstract":"PURPOSE: To characterize refractive errors in Paraguayan children aged 5-16 years and investigate effect of age, gender, and ethnicity.\nMETHODS: The study was conducted at 3 schools that catered to Mennonite, indigenous, and mixed race children. Children were examined for presenting visual acuity, autorefraction with and without cycloplegia, and retinoscopy. Data were analyzed for myopia and hyperopia (SE ≤-1 D or -0.5 D and ≥2 D or ≥3 D) and astigmatism (cylinder ≥1 D). Spherical equivalent (SE) values were calculated from right eye cycloplegic autorefraction data and analyzed using general linear modelling.\nRESULTS: There were 190, 118, and 168 children of Mennonite, indigenous and mixed race ethnicity, respectively. SE values between right/left eyes were nonsignificant. Mean visual acuity (VA) without correction was better for Mennonites compared to indigenous or mixed race children (right eyes: 0.031, 0.090, and 0.102 logMAR units, respectively; P&lt;0.000001). There were 2 cases of myopia in the Mennonite group (1.2%) and 2 cases in the mixed race group (1.4%) (SE ≤-0.5 D). The prevalence of hyperopia (SE ≥2 D) was 40.6%, 34.2%, and 46.3% for Mennonite, indigenous and mixed race children. Corresponding astigmatism rates were 3.2%, 9.5%, and 12.7%. Females were slightly more hyperopic than males, and the 9-11 years age group was the most hyperopic. Mennonite and mixed race children were more hyperopic than indigenous children.\nCONCLUSIONS: Paraguayan children were remarkably hyperopic and relatively free of myopia. Differences with regard to gender, age, and ethnicity were small.","container-title":"Arquivos Brasileiros De Oftalmologia","DOI":"10.1590/s0004-27492013000200008","ISSN":"1678-2925","issue":"2","journalAbbreviation":"Arq Bras Oftalmol","language":"eng","note":"PMID: 23828469","page":"94-97","source":"PubMed","title":"Visual acuity and refraction by age for children of three different ethnic groups in Paraguay","volume":"76","author":[{"family":"Carter","given":"Marissa Janine"},{"family":"Lansingh","given":"Van Charles"},{"family":"Schacht","given":"Gisela"},{"family":"Río del Amo","given":"Miguel"},{"family":"Scalamogna","given":"Miguel"},{"family":"France","given":"Thomas Douglas"}],"issued":{"date-parts":[["2013",4]]}}}],"schema":"https://github.com/citation-style-language/schema/raw/master/csl-citation.json"} </w:instrText>
      </w:r>
      <w:r w:rsidR="003775AD"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[108]</w:t>
      </w:r>
      <w:r w:rsidR="003775AD" w:rsidRPr="004804AA">
        <w:rPr>
          <w:rFonts w:ascii="Times New Roman" w:hAnsi="Times New Roman" w:cs="Times New Roman"/>
          <w:sz w:val="28"/>
          <w:szCs w:val="28"/>
        </w:rPr>
        <w:fldChar w:fldCharType="end"/>
      </w:r>
      <w:r w:rsidR="003775AD" w:rsidRPr="004804AA">
        <w:rPr>
          <w:rFonts w:ascii="Times New Roman" w:hAnsi="Times New Roman" w:cs="Times New Roman"/>
          <w:sz w:val="28"/>
          <w:szCs w:val="28"/>
        </w:rPr>
        <w:t xml:space="preserve"> </w:t>
      </w:r>
      <w:r w:rsidR="00187874" w:rsidRPr="004804AA">
        <w:rPr>
          <w:rFonts w:ascii="Times New Roman" w:hAnsi="Times New Roman" w:cs="Times New Roman"/>
          <w:sz w:val="28"/>
          <w:szCs w:val="28"/>
        </w:rPr>
        <w:t>Распространенность миопии и миопии высокой степени среди бразильских школьников составляла 20,4% и 1,4% соответственно</w:t>
      </w:r>
      <w:r w:rsidR="00891764">
        <w:rPr>
          <w:rFonts w:ascii="Times New Roman" w:hAnsi="Times New Roman" w:cs="Times New Roman"/>
          <w:sz w:val="28"/>
          <w:szCs w:val="28"/>
        </w:rPr>
        <w:t xml:space="preserve"> </w:t>
      </w:r>
      <w:r w:rsidR="00187874"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{"citationID":"tdWme9WT","properties":{"formattedCitation":"[109]","plainCitation":"[109]","noteIndex":0},"citationItems":[{"id":1198,"uris":["http://zotero.org/users/local/XMo5Fvid/items/E8XHDSP6"],"itemData":{"id":1198,"type":"article-journal","abstract":"The prevalence of myopia is increasing globally, and the outdoor light environment is considered as a possible factor that can retard myopia. The aim of this study was to evaluate the prevalence of myopia and the light environment in Aracati, equatorial Brazil. We surveyed 421 children (421 right eyes; mean age, 10.6 years) and performed ocular examinations that included non-cycloplegic refraction and axial length (AL). Multiple regression analyses were performed to identify factors affecting myopia such as time spent outdoors and in near work. We measured illuminance and violet light irradiance in Aracati. The mean spherical equivalent (SE) and AL were -0.44 ± 1.38 diopters (D) and 22.98 ± 0.87 mm, respectively. The prevalence of myopia (SE ≤ -0.75 D) and high myopia (SE ≤ -6.0 D/AL ≥ 26.0 mm) was 20.4 and 1.4/0.48%, respectively. Multiple regression analyses showed that myopia was not associated with lifestyle factors. The average illuminance in Aracati was about 100,000 lux from morning to evening. The current results reflect the ALs and the prevalence of myopia among Brazilian schoolchildren. There is a possibility that the light environment in addition to other confounding factors including racial differences affects the ALs and refractive errors.","container-title":"Journal of Clinical Medicine","DOI":"10.3390/jcm10010115","ISSN":"2077-0383","issue":"1","journalAbbreviation":"J Clin Med","language":"eng","note":"PMID: 33396242\nPMCID: PMC7794886","source":"PubMed","title":"Axial Length and Prevalence of Myopia among Schoolchildren in the Equatorial Region of Brazil","volume":"10","author":[{"family":"Yotsukura","given":"Erisa"},{"family":"Torii","given":"Hidemasa"},{"family":"Ozawa","given":"Hiroko"},{"family":"Hida","given":"Richard Yudi"},{"family":"Shiraishi","given":"Tetsuro"},{"family":"Corso Teixeira","given":"Ivan"},{"family":"Rautha","given":"Yessa Vervloet Bertollo Lamego"},{"family":"Moraes do Nascimento","given":"Caio Felipe"},{"family":"Mori","given":"Kiwako"},{"family":"Uchino","given":"Miki"},{"family":"Kurihara","given":"Toshihide"},{"family":"Negishi","given":"Kazuno"},{"family":"Tsubota","given":"Kazuo"}],"issued":{"date-parts":[["2020",12,31]]}}}],"schema":"https://github.com/citation-style-language/schema/raw/master/csl-citation.json"} </w:instrText>
      </w:r>
      <w:r w:rsidR="00187874"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[109]</w:t>
      </w:r>
      <w:r w:rsidR="00187874"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187874" w:rsidRPr="004804AA">
        <w:rPr>
          <w:rFonts w:ascii="Times New Roman" w:hAnsi="Times New Roman" w:cs="Times New Roman"/>
          <w:sz w:val="28"/>
          <w:szCs w:val="28"/>
        </w:rPr>
        <w:t xml:space="preserve"> В Чили распространенность нарушений рефракции среди детей 5–19 лет составила 15,8%. При этом миопия наблюдалась у лишь у 3,4% 5-летних детей, увеличиваясь до 19,4% к 15 годам. В этом же возрастном диапазоне дальнозоркость уменьшалась с 26,3% до 7,1%</w:t>
      </w:r>
      <w:r w:rsidR="00891764">
        <w:rPr>
          <w:rFonts w:ascii="Times New Roman" w:hAnsi="Times New Roman" w:cs="Times New Roman"/>
          <w:sz w:val="28"/>
          <w:szCs w:val="28"/>
        </w:rPr>
        <w:t xml:space="preserve"> </w:t>
      </w:r>
      <w:r w:rsidR="00187874"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{"citationID":"mtHftUWL","properties":{"formattedCitation":"[110]","plainCitation":"[110]","noteIndex":0},"citationItems":[{"id":1281,"uris":["http://zotero.org/users/local/XMo5Fvid/items/ZPN32YA8"],"itemData":{"id":1281,"type":"article-journal","abstract":"PURPOSE: To assess the prevalence of refractive errors and vision impairment in school-age children in a suburban area (La Florida) of Santiago, Chile.\nMETHODS: Random selection of geographically defined clusters was used to identify a representative sample of children 5 to 15 years of age. Children in the 26 selected clusters were enumerated through a door-to-door survey and invited to report to a community health clinic for examination. Visual acuity measurements, cycloplegic retinoscopy, cycloplegic autorefraction, ocular motility evaluation, and examination of the external eye, anterior segment, media, and fundus were done from April through August 1998. Independent replicate examinations of all children with reduced vision and a sample of those with normal vision were done for quality assurance monitoring in six clusters.\nRESULTS: A total of 6,998 children from 3,830 households were enumerated, and 5,303 children (75.8%) were examined. The prevalence of uncorrected, presenting, and best visual acuity 0.50 (20/40) or worse in at least one eye was 15.8%, 14.7%, and 7.4%, respectively; 3.3% had best visual acuity 0.50 or worse in both eyes. Refractive error was the cause in 56.3% of the 1,285 eyes with reduced vision, amblyopia in 6.5%, other causes in 4.3%, with unexplained causes in the remaining 32.9%. Myopia -0.50 diopter or less in either eye was present in 3.4% of 5-year-old children, increasing to 19.4% in males and 14.7% in females by age 15. Over this same age range, hyperopia 2.00 diopters or greater decreased from 22.7% to 7.1% in males and from 26.3% to 8.9% in females. Females had a significantly higher risk of hyperopia than males.\nCONCLUSIONS: Refractive error, associated primarily with myopia, is a major cause of reduced vision in school-age children in La Florida. More than 7% of children could benefit from the provision of proper spectacles. Efforts are needed to make existing programs that provide free spectacles for school children more effective. Further studies are needed to determine whether the upward trend in myopia continues far beyond 15 years of age.","container-title":"American Journal of Ophthalmology","DOI":"10.1016/s0002-9394(99)00454-7","ISSN":"0002-9394","issue":"4","journalAbbreviation":"Am J Ophthalmol","language":"eng","note":"PMID: 10764851","page":"445-454","source":"PubMed","title":"Refractive Error Study in Children: results from La Florida, Chile","title-short":"Refractive Error Study in Children","volume":"129","author":[{"family":"Maul","given":"E."},{"family":"Barroso","given":"S."},{"family":"Munoz","given":"S. R."},{"family":"Sperduto","given":"R. D."},{"family":"Ellwein","given":"L. B."}],"issued":{"date-parts":[["2000",4]]}}}],"schema":"https://github.com/citation-style-language/schema/raw/master/csl-citation.json"} </w:instrText>
      </w:r>
      <w:r w:rsidR="00187874"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[110]</w:t>
      </w:r>
      <w:r w:rsidR="00187874"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187874" w:rsidRPr="004804AA">
        <w:rPr>
          <w:rFonts w:ascii="Times New Roman" w:hAnsi="Times New Roman" w:cs="Times New Roman"/>
          <w:sz w:val="28"/>
          <w:szCs w:val="28"/>
        </w:rPr>
        <w:t xml:space="preserve"> Среди школьников сельских районов Австралии нарушения рефракции составили 35%</w:t>
      </w:r>
      <w:r w:rsidR="00891764">
        <w:rPr>
          <w:rFonts w:ascii="Times New Roman" w:hAnsi="Times New Roman" w:cs="Times New Roman"/>
          <w:sz w:val="28"/>
          <w:szCs w:val="28"/>
        </w:rPr>
        <w:t xml:space="preserve"> </w:t>
      </w:r>
      <w:r w:rsidR="00187874"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{"citationID":"j7wIhZN6","properties":{"formattedCitation":"[111]","plainCitation":"[111]","noteIndex":0},"citationItems":[{"id":1196,"uris":["http://zotero.org/users/local/XMo5Fvid/items/D24FHQSL"],"itemData":{"id":1196,"type":"article-journal","abstract":"SIGNIFICANCE: This study is the first to report high rates of uncorrected vision conditions among Australian secondary schoolchildren living in a rural area and to comment on the rate of eye examinations undertaken on Australian Indigenous children. Uncorrected vision problems that continue throughout the school years have significant implications for children's quality of life and education.\nPURPOSE: This study aimed to investigate the prevalence of uncorrected vision conditions among Australian schoolchildren.\nMETHODS: Participants included 280 students from rural primary and secondary schools (aged 4 to 18 years), of whom 40% identified as being of Aboriginal and/or Torres Strait Islander descent (Indigenous). All participants underwent an eye examination including measurements of monocular distance and near visual acuity, assessment of accommodative and vergence function, stereoacuity, color vision, and cycloplegic autorefraction. A parental questionnaire was used to determine whether the child had previously had his/her eyes examined.\nRESULTS: The overall prevalence of uncorrected vision conditions in this population was 35%. The odds of previously having had an eye examination were 2.3× higher for non-Indigenous compared with Indigenous children despite both groups exhibiting high rates of uncorrected vision conditions (Indigenous, 31 [29%]; non-Indigenous, 66 [40%]; χ21 = 3.24, P = .07). Of the children who had significant refractive error (Indigenous, 23 [21%]; non-Indigenous, 49 [30%]; χ21 = 2.70, P = .10), 82% were uncorrected, and only 39% of Indigenous children and 54% of non-Indigenous children had previously had an eye examination.\nCONCLUSIONS: These findings suggest that high rates of uncorrected vision conditions are present among Australian primary and secondary schoolchildren from a rural area and highlight that Indigenous children are much less likely to have had an eye examination. Understanding factors that affect the rate of eye examinations and compliance with spectacle correction must be addressed given the potential impact of these vision conditions.","container-title":"Optometry and Vision Science: Official Publication of the American Academy of Optometry","DOI":"10.1097/OPX.0000000000001628","ISSN":"1538-9235","issue":"1","journalAbbreviation":"Optom Vis Sci","language":"eng","note":"PMID: 33394931","page":"51-57","source":"PubMed","title":"High Rates of Uncorrected Vision Conditions among Schoolchildren in Rural Queensland, Australia","volume":"98","author":[{"family":"Cox","given":"Rebecca A."},{"family":"Read","given":"Scott A."},{"family":"Hopkins","given":"Shelley"},{"family":"Wood","given":"Joanne M."}],"issued":{"date-parts":[["2021",1,1]]}}}],"schema":"https://github.com/citation-style-language/schema/raw/master/csl-citation.json"} </w:instrText>
      </w:r>
      <w:r w:rsidR="00187874"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[111]</w:t>
      </w:r>
      <w:r w:rsidR="00187874"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4F229318" w14:textId="69123B10" w:rsidR="00095B44" w:rsidRPr="004804AA" w:rsidRDefault="003775A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Традиционное низкие показатели нарушений рефракции в Африканских регионах к югу от Сахары подтверждаются данными исследования в Нигерии (2017), где общая распространенность аномалий рефракции среди детей 5-15 лет составила 2,1%, миопии - 1,9%, дальнозоркости - 0,1%</w:t>
      </w:r>
      <w:r w:rsidR="00BA654B">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5R6Bjjs3","properties":{"formattedCitation":"[112]","plainCitation":"[112]","noteIndex":0},"citationItems":[{"id":1388,"uris":["http://zotero.org/users/local/XMo5Fvid/items/92DWP8FG"],"itemData":{"id":1388,"type":"article-journal","abstract":"&lt;br&gt;&lt;b&gt;Aims:&lt;/b&gt; To determine the prevalence of refractive errors and causes of visual impairment in school children in Enugu State, South-eastern Nigeria. &lt;b&gt;Methods:&lt;/b&gt; A descriptive cross-sectional, school-based survey in children aged 5–15 years from selected primary and junior secondary schools (public and private) in both urban and rural communities of Enugu State was carried out. Ocular examinations were performed on them according to the Refractive Error in School-age Children (RESC) protocol. &lt;b&gt;Results:&lt;/b&gt; A total of 1167 children were examined. The mean age (standard deviation) was 10.58 ± 3.0 years. Females were 653 (54.4%) of the study population. The uncorrected, presenting and best-corrected visual acuity of ≤20/40 (6/12) in the better eye of the children in this study were 3.6%. 3.5% and 0.4%. Among the children that had visual impairment, refractive error accounted for 33.3% of reduced vision while the overall prevalence of refractive error was 2.1%. Prevalence of myopia was 1.9% and hyperopia, 0.1%. The most prevalent astigmatism was ≤0.75 dioptre cylinder. &lt;b&gt;Conclusion:&lt;/b&gt; The prevalence of refractive error in this study is low, with myopia being more common. Despite the low prevalence of refractive error, school vision screening is still important for African children as it serves as an opportunity to identify other ocular morbidities among the children.&lt;br&gt;","container-title":"Nigerian Journal of Clinical Practice","DOI":"10.4103/njcp.njcp_521_19","ISSN":"1119-3077","issue":"3","language":"en","note":"Company: Medknow Publications and Media Pvt. Ltd.\nDistributor: Medknow Publications and Media Pvt. Ltd.\nInstitution: Medknow Publications and Media Pvt. Ltd.\nLabel: Medknow Publications and Media Pvt. Ltd.\npublisher: Medknow Publications\nPMID: 33723112","page":"380","source":"www.njcponline.com","title":"Prevalence of refractive errors and visual impairment in school children in Enugu South-East Nigeria","volume":"24","author":[{"family":"Ezegwui","given":"I. R."},{"family":"Oguego","given":"N. C."},{"family":"Okoye","given":"O. I."},{"family":"Maduka-Okafor","given":"F. C."},{"family":"Udeh","given":"N."},{"family":"Aghaji","given":"A. E."},{"family":"Okoye","given":"O."},{"family":"Nwobi","given":"E."},{"family":"Umeh-Aneji","given":"C."},{"family":"Onwasigwe","given":"E. N."},{"family":"Umeh","given":"R. E."}],"issued":{"date-parts":[["2021",1,3]]}}}],"schema":"https://github.com/citation-style-language/schema/raw/master/csl-citation.json"}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[112]</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и Кении с частотой аномалий рефракции среди детей и подростков в 1,5%</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{"citationID":"IfPwmFq0","properties":{"formattedCitation":"[113]","plainCitation":"[113]","noteIndex":0},"citationItems":[{"id":1245,"uris":["http://zotero.org/users/local/XMo5Fvid/items/PLF52C5Y"],"itemData":{"id":1245,"type":"article-journal","abstract":"BACKGROUND: Visual impairment is the partial or complete loss of vision in which the presenting visual acuity lie between 6/18-no perceptions of light. In Kenya, little attention has been directed towards children vision and causes of visual impairment. Therefore, this study was designed to investigate the prevalence and causes of visual impairment in the children population of Kenya.\nMETHODS: This cross-sectional population-based study included 3400 (1800, 52.9% female) randomly selected children with a mean age of 12 ± 2 years (range 5-16 years). Visual acuity was taken using Snellens chart at 6 m. Anterior and posterior segment was assessed using slit lamp and indirect ophthalmoscope. The World Health Organization definition formed the baseline for calculating the mean prevalence of visual impairment.\nRESULTS: Visual acuity measurements were available for 3240 (95.3%) participants. The mean prevalence of visual impairment based on pin-hole value was 1.7 ± 0.3% using World Health Organization definition. The prevalence of visual impairment based on presenting visual acuity value was 2.4 ± 0.7% using the World Health Organization definition. Multivariate analysis demonstrated that the presence of visual impairment on pin-hole increased significantly with increasing age (odds ratio 1.230, P = .021) and uncorrected refractive error (odds ratio 0.834, P = .032) according to World Health Organization definition. Cases of uncorrected refractive error remained the major cause for presenting visual impairment. Causes of visual impairment due to presenting visual acuity were nystagmus (14%), amblyopia (24%) and uncorrected refractive error (62%).\nCONCLUSION: The prevalence of visual impairment in Kenya is associated with age. Uncorrected refractive error remains the major causes of visual impairment.","container-title":"BMC ophthalmology","DOI":"10.1186/s12886-020-01665-w","ISSN":"1471-2415","issue":"1","journalAbbreviation":"BMC Ophthalmol","language":"eng","note":"PMID: 33028254\nPMCID: PMC7542701","page":"399","source":"PubMed","title":"The prevalence and causes of visual impairment among children in Kenya - the Kenya eye study","volume":"20","author":[{"family":"Muma","given":"Shadrack"},{"family":"Obonyo","given":"Stephen"}],"issued":{"date-parts":[["2020",10,7]]}}}],"schema":"https://github.com/citation-style-language/schema/raw/master/csl-citation.json"}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[113]</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406140" w:rsidRPr="004804AA">
        <w:rPr>
          <w:rFonts w:ascii="Times New Roman" w:hAnsi="Times New Roman" w:cs="Times New Roman"/>
          <w:sz w:val="28"/>
          <w:szCs w:val="28"/>
        </w:rPr>
        <w:t xml:space="preserve"> </w:t>
      </w:r>
      <w:r w:rsidRPr="004804AA">
        <w:rPr>
          <w:rFonts w:ascii="Times New Roman" w:hAnsi="Times New Roman" w:cs="Times New Roman"/>
          <w:sz w:val="28"/>
          <w:szCs w:val="28"/>
        </w:rPr>
        <w:t>Среди Европейских стран наиболее низкие</w:t>
      </w:r>
      <w:r w:rsidR="00E86547" w:rsidRPr="004804AA">
        <w:rPr>
          <w:rFonts w:ascii="Times New Roman" w:hAnsi="Times New Roman" w:cs="Times New Roman"/>
          <w:sz w:val="28"/>
          <w:szCs w:val="28"/>
        </w:rPr>
        <w:t xml:space="preserve"> показатели распространённости нарушений рефракции представлены в</w:t>
      </w:r>
      <w:r w:rsidR="00095B44" w:rsidRPr="004804AA">
        <w:rPr>
          <w:rFonts w:ascii="Times New Roman" w:hAnsi="Times New Roman" w:cs="Times New Roman"/>
          <w:sz w:val="28"/>
          <w:szCs w:val="28"/>
        </w:rPr>
        <w:t xml:space="preserve"> Боснии и </w:t>
      </w:r>
      <w:r w:rsidR="00F51445" w:rsidRPr="004804AA">
        <w:rPr>
          <w:rFonts w:ascii="Times New Roman" w:hAnsi="Times New Roman" w:cs="Times New Roman"/>
          <w:sz w:val="28"/>
          <w:szCs w:val="28"/>
        </w:rPr>
        <w:t>Герцеговине</w:t>
      </w:r>
      <w:r w:rsidR="00095B44" w:rsidRPr="004804AA">
        <w:rPr>
          <w:rFonts w:ascii="Times New Roman" w:hAnsi="Times New Roman" w:cs="Times New Roman"/>
          <w:sz w:val="28"/>
          <w:szCs w:val="28"/>
        </w:rPr>
        <w:t xml:space="preserve"> (2015-2019гг.) среди детей 4–15 лет</w:t>
      </w:r>
      <w:r w:rsidR="00E86547" w:rsidRPr="004804AA">
        <w:rPr>
          <w:rFonts w:ascii="Times New Roman" w:hAnsi="Times New Roman" w:cs="Times New Roman"/>
          <w:sz w:val="28"/>
          <w:szCs w:val="28"/>
        </w:rPr>
        <w:t>:</w:t>
      </w:r>
      <w:r w:rsidR="00095B44" w:rsidRPr="004804AA">
        <w:rPr>
          <w:rFonts w:ascii="Times New Roman" w:hAnsi="Times New Roman" w:cs="Times New Roman"/>
          <w:sz w:val="28"/>
          <w:szCs w:val="28"/>
        </w:rPr>
        <w:t xml:space="preserve"> распространенность нарушений рефракции составляла </w:t>
      </w:r>
      <w:r w:rsidR="00E86547" w:rsidRPr="004804AA">
        <w:rPr>
          <w:rFonts w:ascii="Times New Roman" w:hAnsi="Times New Roman" w:cs="Times New Roman"/>
          <w:sz w:val="28"/>
          <w:szCs w:val="28"/>
        </w:rPr>
        <w:t xml:space="preserve">всего </w:t>
      </w:r>
      <w:r w:rsidR="00095B44" w:rsidRPr="004804AA">
        <w:rPr>
          <w:rFonts w:ascii="Times New Roman" w:hAnsi="Times New Roman" w:cs="Times New Roman"/>
          <w:sz w:val="28"/>
          <w:szCs w:val="28"/>
        </w:rPr>
        <w:t>1,9%, при этом наиболее часто встречался астигматизм – 52,4%</w:t>
      </w:r>
      <w:r w:rsidR="00033532" w:rsidRPr="004804AA">
        <w:rPr>
          <w:rFonts w:ascii="Times New Roman" w:hAnsi="Times New Roman" w:cs="Times New Roman"/>
          <w:sz w:val="28"/>
          <w:szCs w:val="28"/>
        </w:rPr>
        <w:t xml:space="preserve"> и м</w:t>
      </w:r>
      <w:r w:rsidR="00095B44" w:rsidRPr="004804AA">
        <w:rPr>
          <w:rFonts w:ascii="Times New Roman" w:hAnsi="Times New Roman" w:cs="Times New Roman"/>
          <w:sz w:val="28"/>
          <w:szCs w:val="28"/>
        </w:rPr>
        <w:t>иопия</w:t>
      </w:r>
      <w:r w:rsidR="00033532" w:rsidRPr="004804AA">
        <w:rPr>
          <w:rFonts w:ascii="Times New Roman" w:hAnsi="Times New Roman" w:cs="Times New Roman"/>
          <w:sz w:val="28"/>
          <w:szCs w:val="28"/>
        </w:rPr>
        <w:t xml:space="preserve"> - </w:t>
      </w:r>
      <w:r w:rsidR="00095B44" w:rsidRPr="004804AA">
        <w:rPr>
          <w:rFonts w:ascii="Times New Roman" w:hAnsi="Times New Roman" w:cs="Times New Roman"/>
          <w:sz w:val="28"/>
          <w:szCs w:val="28"/>
        </w:rPr>
        <w:t>36,2%</w:t>
      </w:r>
      <w:r w:rsidR="00033532" w:rsidRPr="004804AA">
        <w:rPr>
          <w:rFonts w:ascii="Times New Roman" w:hAnsi="Times New Roman" w:cs="Times New Roman"/>
          <w:sz w:val="28"/>
          <w:szCs w:val="28"/>
        </w:rPr>
        <w:t xml:space="preserve"> от всех нарушений</w:t>
      </w:r>
      <w:r w:rsidR="00891764">
        <w:rPr>
          <w:rFonts w:ascii="Times New Roman" w:hAnsi="Times New Roman" w:cs="Times New Roman"/>
          <w:sz w:val="28"/>
          <w:szCs w:val="28"/>
        </w:rPr>
        <w:t xml:space="preserve"> </w:t>
      </w:r>
      <w:r w:rsidR="00095B44"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{"citationID":"SmUvYHe8","properties":{"formattedCitation":"[114]","plainCitation":"[114]","noteIndex":0},"citationItems":[{"id":1194,"uris":["http://zotero.org/users/local/XMo5Fvid/items/M37AADWW"],"itemData":{"id":1194,"type":"article-journal","abstract":"Aim To establish the prevalence of refractive errors in preschool and school children between 4 and 15 years of age, living in Tuzla, Bosnia and Herzegovina. Methods Children from all elementary schools in the city of Tuzla and as well from eight day-care centres were screened for refractive errors in the period 2015-2019. Any child, who failed to pass the screening examination, was referred to an ophthalmologist for complete ophthalmological evaluation. The obtained data were analysed using non-parametric statistics. Results The highest number of children who were tested after the screening process was during 2015. A total of 7415 children (3790 males and 3625 females), in the age range of 4-15 were screened. In the total sample of children who were completely evaluated (n=145; 290 eyes) the most common refractive error was astigmatism, in 152 (52.4%) eyes. In the preschool children (n=18; 36 eyes), the most common refractive error was astigmatism, in 19 (52.8%) eyes, followed by hyperopia, in 9 (25%) eyes. In the school children (n=127) (254 eyes), the most common refractive error was astigmatism, in 133 (52.4%) eyes, followed by myopia, in 92 (36.2%) eyes. The overall prevalence of refractive errors was 1.95% (145 with refractive error out of 7415 screened). Conclusion Prevalence of refractive errors is high enough to justify a school eye screening programme.","container-title":"Medicinski Glasnik: Official Publication of the Medical Association of Zenica-Doboj Canton, Bosnia and Herzegovina","DOI":"10.17392/1153-21","ISSN":"1840-2445","issue":"1","journalAbbreviation":"Med Glas (Zenica)","language":"eng","note":"PMID: 32815670","source":"PubMed","title":"Refractive errors in children: analysis among preschool and school children in Tuzla city, Bosnia and Herzegovina","title-short":"Refractive errors in children","volume":"18","author":[{"family":"Nadarević Vodenčarević","given":"Amra"},{"family":"Halilbašić","given":"Meliha"},{"family":"Međedović","given":"Anis"},{"family":"Jusufović","given":"Vahid"},{"family":"Pilavdžić","given":"Adisa"},{"family":"Drljević","given":"Aida"},{"family":"Burgić","given":"Mufid"}],"issued":{"date-parts":[["2021",2,1]]}}}],"schema":"https://github.com/citation-style-language/schema/raw/master/csl-citation.json"} </w:instrText>
      </w:r>
      <w:r w:rsidR="00095B44"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[114]</w:t>
      </w:r>
      <w:r w:rsidR="00095B44"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65F4A520" w14:textId="1988E02E" w:rsidR="00345EA0" w:rsidRPr="004804AA" w:rsidRDefault="00000C02"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Несмотря на значительный рост частоты нарушений рефракции среди европейских детей и подростков, о</w:t>
      </w:r>
      <w:r w:rsidR="0013194F" w:rsidRPr="004804AA">
        <w:rPr>
          <w:rFonts w:ascii="Times New Roman" w:hAnsi="Times New Roman" w:cs="Times New Roman"/>
          <w:sz w:val="28"/>
          <w:szCs w:val="28"/>
        </w:rPr>
        <w:t>бщеизвестно, что в</w:t>
      </w:r>
      <w:r w:rsidR="006C0A33" w:rsidRPr="004804AA">
        <w:rPr>
          <w:rFonts w:ascii="Times New Roman" w:hAnsi="Times New Roman" w:cs="Times New Roman"/>
          <w:sz w:val="28"/>
          <w:szCs w:val="28"/>
        </w:rPr>
        <w:t xml:space="preserve"> Азиатском регионе </w:t>
      </w:r>
      <w:r w:rsidR="006C0A33" w:rsidRPr="004804AA">
        <w:rPr>
          <w:rFonts w:ascii="Times New Roman" w:hAnsi="Times New Roman" w:cs="Times New Roman"/>
          <w:sz w:val="28"/>
          <w:szCs w:val="28"/>
        </w:rPr>
        <w:lastRenderedPageBreak/>
        <w:t>распространенность близорукости более чем в 2 раза выше, чем среди европейского населения того же возраста</w:t>
      </w:r>
      <w:r w:rsidR="00891764">
        <w:rPr>
          <w:rFonts w:ascii="Times New Roman" w:hAnsi="Times New Roman" w:cs="Times New Roman"/>
          <w:sz w:val="28"/>
          <w:szCs w:val="28"/>
        </w:rPr>
        <w:t xml:space="preserve"> </w:t>
      </w:r>
      <w:r w:rsidR="006C0A33"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{"citationID":"Y68IRKGV","properties":{"formattedCitation":"[2; 90; 100; 115; 116]","plainCitation":"[2; 90; 100; 115; 116]","noteIndex":0},"citationItems":[{"id":900,"uris":["http://zotero.org/users/local/XMo5Fvid/items/D97XE6GE"],"itemData":{"id":900,"type":"paper-conference","event-place":"Sydney, Australia","event-title":"Global Scientific Meeting on Myopia","note":"p. 5","publisher":"University of New South Wales Sydney, Australia","publisher-place":"Sydney, Australia","title":"The Impact of Myopia and High Myopia: Report of the Joint World Health Organization-Brien Holden Vision Institute Global Scientific Meeting on Myopia","author":[{"literal":"Holden B.A."}],"issued":{"date-parts":[["2015",3,16]]}},"label":"page"},{"id":901,"uris":["http://zotero.org/users/local/XMo5Fvid/items/2KXEN3EB"],"itemData":{"id":901,"type":"article-journal","abstract":"PURPOSE: To estimate the age-specific prevalence of myopia in Asia.\nMETHODS: We searched PubMed, Embase, and Web of Science from their inception through September 2013 for population-based surveys reporting the prevalence of myopia in adults or children in Asia. We pooled the prevalence estimates for myopia by age groups and by year of birth using a random-effects model.\nRESULTS: We identified 50 eligible population-based studies including 215,672 subjects aged 0 to 96 years reporting the prevalence of myopia from 16 Asian countries or regions. Myopia was found to be most prevalent (96.5%; 95% confidence interval, 96.3 to 96.8) in Koreans aged 19 years. There was no significant linear age group effect on the prevalence of myopia in the whole Asian population but there was a U-shaped relationship between both age and year of birth and the prevalence of myopia. The prevalence of myopia was also higher in those older than 70 years (36.3%; 95% confidence interval, 27.6 to 45.0) compared with other age groups, which revealed nuclear cataract-myopia shifts in refraction.\nCONCLUSIONS: There is a large variation in the age-specific prevalence of myopia in Asia. A U-shaped relationship between age and the prevalence of myopia was found in the whole Asian population. The analysis is essential to guide future eye health care, intervention, and clinical management in Asia.","container-title":"Optometry and Vision Science: Official Publication of the American Academy of Optometry","DOI":"10.1097/OPX.0000000000000516","ISSN":"1538-9235","issue":"3","journalAbbreviation":"Optom Vis Sci","language":"eng","note":"PMID: 25611765","page":"258-266","source":"PubMed","title":"The age-specific prevalence of myopia in Asia: a meta-analysis","title-short":"The age-specific prevalence of myopia in Asia","volume":"92","author":[{"family":"Pan","given":"Chen-Wei"},{"family":"Dirani","given":"Mohamed"},{"family":"Cheng","given":"Ching-Yu"},{"family":"Wong","given":"Tien-Yin"},{"family":"Saw","given":"Seang-Mei"}],"issued":{"date-parts":[["2015",3]]}},"label":"page"},{"id":903,"uris":["http://zotero.org/users/local/XMo5Fvid/items/DW24A5RD"],"itemData":{"id":903,"type":"article-journal","abstract":"Purpose\nWe used systematic review and meta-analysis to identify and assimilate evidence quantifying blindness and visual impairment (VI) associated with myopic macular degeneration (MMD), then derived models to predict global patterns. The models were used to estimate the global prevalence of blindness and VI associated with MMD from 2000 to 2050.\n\nMethods\nThe systematic review identified 17 papers with prevalence data for MMD VI fitting our inclusion criteria. Data from six papers with age-specific data were scaled to relative age-dependent risk and meta-analysed at VI and blindness levels. We analysed variance in all MMD VI and blindness data as a proportion of high myopia against variables from the place and year of data collection, with a model based on health expenditure providing the best correlation. We used this model to estimate the prevalence and number of people with MMD VI in each country in each decade.\n\nResults\nWe included data from 17 studies comprising 137 514 participants. We estimated 10.0 million people had VI from MMD in 2015 (prevalence 0.13%, 95% CI 5.5 to 23.7 million, 0.07% to 0.34%), 3.3 million of whom were blind (0.04%, 1.8 to 7.8 million, 0.03% to 0.10%). We estimate that by 2050, without changing current interventions, VI from MMD will grow to 55.7 million people (0.57%, 29.0 to 119.7 million, 0.33% to 1.11%), 18.5 million of whom will be blind (0.19%, 9.6 to 39.7 million, 0.11% to 0.37%).\n\nConclusion\nThe burden of MMD blindness and VI will rise significantly without efforts to reduce the development and progression of myopia and improve the management of MMD.","container-title":"The British Journal of Ophthalmology","DOI":"10.1136/bjophthalmol-2017-311266","ISSN":"0007-1161","issue":"7","journalAbbreviation":"Br J Ophthalmol","note":"PMID: 29699985\nPMCID: PMC6047154","page":"855-862","source":"PubMed Central","title":"Global prevalence of visual impairment associated with myopic macular degeneration and temporal trends from 2000 through 2050: systematic review, meta-analysis and modelling","title-short":"Global prevalence of visual impairment associated with myopic macular degeneration and temporal trends from 2000 through 2050","volume":"102","author":[{"family":"Fricke","given":"Timothy R"},{"family":"Jong","given":"Monica"},{"family":"Naidoo","given":"Kovin S"},{"family":"Sankaridurg","given":"Padmaja"},{"family":"Naduvilath","given":"Thomas J"},{"family":"Ho","given":"Suit May"},{"family":"Wong","given":"Tien Yin"},{"family":"Resnikoff","given":"Serge"}],"issued":{"date-parts":[["2018",7]]}},"label":"page"},{"id":777,"uris":["http://zotero.org/users/local/XMo5Fvid/items/S38VFQ7F"],"itemData":{"id":777,"type":"webpage","abstract":"PubMed comprises more than 30 million citations for biomedical literature from MEDLINE, life science journals, and online books. Citations may include links to full-text content from PubMed Central and publisher web sites., Community Eye Health. 2019;32(105):1-3.","language":"en","title":"Myopia: a serious condition that needs our attention.","title-short":"Myopia","URL":"https://www.ncbi.nlm.nih.gov/pubmed/31409939","author":[{"family":"Minto H. , et","given":""}],"accessed":{"date-parts":[["2019",9,5]]}},"label":"page"},{"id":908,"uris":["http://zotero.org/users/local/XMo5Fvid/items/26RDTREE"],"itemData":{"id":908,"type":"article-journal","container-title":"Nature","DOI":"10.1038/519276a","ISSN":"1476-4687","issue":"7543","journalAbbreviation":"Nature","language":"eng","note":"PMID: 25788077","page":"276-278","source":"PubMed","title":"The myopia boom","volume":"519","author":[{"family":"Dolgin","given":"Elie"}],"issued":{"date-parts":[["2015",3,19]]}},"label":"page"}],"schema":"https://github.com/citation-style-language/schema/raw/master/csl-citation.json"} </w:instrText>
      </w:r>
      <w:r w:rsidR="006C0A33"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 90; 100; 115; 116]</w:t>
      </w:r>
      <w:r w:rsidR="006C0A33"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6C0A33" w:rsidRPr="004804AA">
        <w:rPr>
          <w:rFonts w:ascii="Times New Roman" w:hAnsi="Times New Roman" w:cs="Times New Roman"/>
          <w:sz w:val="28"/>
          <w:szCs w:val="28"/>
        </w:rPr>
        <w:t xml:space="preserve"> Так, среди молодежи в странах Восточной Азии она составляет около 80-90%, из них высокой степени - 10-20%</w:t>
      </w:r>
      <w:r w:rsidR="00444869">
        <w:rPr>
          <w:rFonts w:ascii="Times New Roman" w:hAnsi="Times New Roman" w:cs="Times New Roman"/>
          <w:sz w:val="28"/>
          <w:szCs w:val="28"/>
        </w:rPr>
        <w:t xml:space="preserve"> </w:t>
      </w:r>
      <w:r w:rsidR="006C0A33" w:rsidRPr="004804AA">
        <w:rPr>
          <w:rFonts w:ascii="Times New Roman" w:hAnsi="Times New Roman" w:cs="Times New Roman"/>
          <w:sz w:val="28"/>
          <w:szCs w:val="28"/>
        </w:rPr>
        <w:t>и у половины из них развивается необратимая потеря зрения</w:t>
      </w:r>
      <w:r w:rsidR="00891764">
        <w:rPr>
          <w:rFonts w:ascii="Times New Roman" w:hAnsi="Times New Roman" w:cs="Times New Roman"/>
          <w:sz w:val="28"/>
          <w:szCs w:val="28"/>
        </w:rPr>
        <w:t xml:space="preserve"> </w:t>
      </w:r>
      <w:r w:rsidR="006C0A33"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{"citationID":"mXLSQJQy","properties":{"formattedCitation":"[12; 117]","plainCitation":"[12; 117]","noteIndex":0},"citationItems":[{"id":809,"uris":["http://zotero.org/users/local/XMo5Fvid/items/ZNL8B3PD"],"itemData":{"id":809,"type":"article-journal","abstract":"There is an epidemic of myopia in East and Southeast Asia, with the prevalence of myopia in young adults around 80-90%, and an accompanying high prevalence of high myopia in young adults (10-20%). This may foreshadow an increase in low vision and blindness due to pathological myopia. These two epidemics are linked, since the increasingly early onset of myopia, combined with high progression rates, naturally generates an epidemic of high myopia, with high prevalences of \"acquired\" high myopia appearing around the age of 11-13. The major risk factors identified are intensive education, and limited time outdoors. The localization of the epidemic appears to be due to the high educational pressures and limited time outdoors in the region, rather than to genetically elevated sensitivity to these factors. Causality has been demonstrated in the case of time outdoors through randomized clinical trials in which increased time outdoors in schools has prevented the onset of myopia. In the case of educational pressures, evidence of causality comes from the high prevalence of myopia and high myopia in Jewish boys attending Orthodox schools in Israel compared to their sisters attending religious schools, and boys and girls attending secular schools. Combining increased time outdoors in schools, to slow the onset of myopia, with clinical methods for slowing myopic progression, should lead to the control of this epidemic, which would otherwise pose a major health challenge. Reforms to the organization of school systems to reduce intense early competition for accelerated learning pathways may also be important.","container-title":"Progress in Retinal and Eye Research","DOI":"10.1016/j.preteyeres.2017.09.004","ISSN":"1873-1635","journalAbbreviation":"Prog Retin Eye Res","language":"eng","note":"PMID: 28951126","page":"134-149","source":"PubMed","title":"The epidemics of myopia: Aetiology and prevention","title-short":"The epidemics of myopia","volume":"62","author":[{"family":"Morgan","given":"Ian G."},{"family":"French","given":"Amanda N."},{"family":"Ashby","given":"Regan S."},{"family":"Guo","given":"Xinxing"},{"family":"Ding","given":"Xiaohu"},{"family":"He","given":"Mingguang"},{"family":"Rose","given":"Kathryn A."}],"issued":{"date-parts":[["2018"]]}},"label":"page"},{"id":610,"uris":["http://zotero.org/users/local/XMo5Fvid/items/8T5P896P"],"itemData":{"id":610,"type":"article-journal","abstract":"BACKGROUND: Myopia is the leading cause of preventable blindness in children and young adults. Multiple epidemiological studies have confirmed a high prevalence of myopia in Asian countries. However, fewer longitudinal studies have been performed to evaluate the secular changes in the prevalence of myopia, especially high myopia in China. In the present study, we investigated trends in the prevalence of myopia among high school students in Fenghua city, eastern China, from 2001 to 2015.\nMETHODS: This was a population-based, retrospective study. Data were collected among 43,858 third-year high school students. Noncycloplegic autorefraction was used to determine refractive error, which was defined as low myopia, moderate myopia, high myopia and very high myopia according to the spherical equivalent from the worse eye of each participant. The prevalence of myopia was calculated and the annual percentage change (APC) was used to quantify the time trends. All analyses were conducted using the SPSS, Stata and Graphpad Prism software.\nRESULTS: From 2001 to 2015, the prevalence of overall myopia increased from 79.5% to 87.7% (APC =0.59%), with a significant increase of moderate myopia (38.8% to 45.7%, APC = 0.78%), high myopia (7.9% to 16.6%, APC = 5.48%) and very high myopia (0.08% to 0.92%, APC = 14.59%), while the prevalence of low myopia decreased from 32.7% to 24.4% (APC = - 1.73%). High myopia and very high myopia contributed the major part of the increasing trend of myopia prevalence (contribution rate 27.00% and 69.07%, respectively).\nCONCLUSIONS: During the 15-year period, there was a remarkable increase in the prevalence of high and very high myopia among high school students, which might become a serious public health problem in China for the next few decades.","container-title":"BMC ophthalmology","DOI":"10.1186/s12886-018-0829-8","ISSN":"1471-2415","issue":"1","journalAbbreviation":"BMC Ophthalmol","language":"eng","note":"PMID: 29970057\nPMCID: PMC6029024","page":"159","source":"PubMed","title":"The increasing prevalence of myopia and high myopia among high school students in Fenghua city, eastern China: a 15-year population-based survey","title-short":"The increasing prevalence of myopia and high myopia among high school students in Fenghua city, eastern China","volume":"18","author":[{"family":"Chen","given":"Min"},{"family":"Wu","given":"Aimin"},{"family":"Zhang","given":"Lina"},{"family":"Wang","given":"Wei"},{"family":"Chen","given":"Xinyi"},{"family":"Yu","given":"Xiaoning"},{"family":"Wang","given":"Kaijun"}],"issued":{"date-parts":[["2018",7,3]]}},"label":"page"}],"schema":"https://github.com/citation-style-language/schema/raw/master/csl-citation.json"} </w:instrText>
      </w:r>
      <w:r w:rsidR="006C0A33"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 117]</w:t>
      </w:r>
      <w:r w:rsidR="006C0A33"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660EFC" w:rsidRPr="004804AA">
        <w:rPr>
          <w:rFonts w:ascii="Times New Roman" w:hAnsi="Times New Roman" w:cs="Times New Roman"/>
          <w:sz w:val="28"/>
          <w:szCs w:val="28"/>
        </w:rPr>
        <w:t xml:space="preserve"> </w:t>
      </w:r>
      <w:r w:rsidR="00345EA0" w:rsidRPr="004804AA">
        <w:rPr>
          <w:rFonts w:ascii="Times New Roman" w:hAnsi="Times New Roman" w:cs="Times New Roman"/>
          <w:sz w:val="28"/>
          <w:szCs w:val="28"/>
        </w:rPr>
        <w:t>В 1988 году Lin с соавторами обнаружил, что лишь 4% 6-летних тайваньских школьников страдали миопией. В повторном исследовании двенадцать лет спустя он же обнаружили, что распространенность миопии увеличилась до 12% в возрасте шести лет и до 84% в возрасте 16–18 лет</w:t>
      </w:r>
      <w:r w:rsidR="00891764">
        <w:rPr>
          <w:rFonts w:ascii="Times New Roman" w:hAnsi="Times New Roman" w:cs="Times New Roman"/>
          <w:sz w:val="28"/>
          <w:szCs w:val="28"/>
        </w:rPr>
        <w:t xml:space="preserve"> </w:t>
      </w:r>
      <w:r w:rsidR="00345EA0"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{"citationID":"Qt5pItHA","properties":{"formattedCitation":"[118; 119]","plainCitation":"[118; 119]","noteIndex":0},"citationItems":[{"id":1358,"uris":["http://zotero.org/users/local/XMo5Fvid/items/RPYKT425"],"itemData":{"id":1358,"type":"article-journal","container-title":"Acta Ophthalmologica","DOI":"https://doi.org/10.1111/j.1755-3768.1988.tb02658.x","ISSN":"1755-3768","issue":"S185","language":"en","license":"1988 Institution Acta Ophthalmologica Scandinavica","note":"_eprint: https://onlinelibrary.wiley.com/doi/pdf/10.1111/j.1755-3768.1988.tb02658.x","page":"34-36","source":"Wiley Online Library","title":"Study of myopia among aboriginal school children in Taiwan","volume":"66","author":[{"family":"Lin","given":"Luke Long-Juang"},{"family":"Hung","given":"Por-Tying"},{"family":"Ko","given":"Liang-Shi"},{"family":"Hou","given":"Ping-Kang"}],"issued":{"date-parts":[["1988"]]}},"label":"page"},{"id":1360,"uris":["http://zotero.org/users/local/XMo5Fvid/items/577HFBZN"],"itemData":{"id":1360,"type":"paper-conference","abstract":"SummaryBased on recently evolving concepts, myopia is not a simple refractive error. The serial epidemiological studies on ocular refractions with longitudinal observations of the change of optical components among schoolchildren in Taiwan indicated that myopization is a process of abnormal elongation of the eyeball caused by inadequate visual environments. The characteristics of the refractive status of children in Taiwan are (1) many myopes (prevalence rate as high as 85% at the age of 18, (2) severe degree of myopia (about 15% of the population have myopia over -6D), and (3) young onset of myopia (12% affected at the age of seve. more than 50% affected on completion of preliminary school). We also found that myopia will progress −0.75D per year after onset of myopia, This progression rate will become less with age. Yet the prevailing high myopia in young generations with pathological myopic fundus changes is a potentially serious morbidity. As eye doctors, it is our responsibility to solve the problem. not by correction, but by prevention.","container-title":"Myopia Updates II","DOI":"10.1007/978-4-431-66917-3_2","event-place":"Tokyo","ISBN":"978-4-431-66917-3","language":"en","page":"7-10","publisher":"Springer Japan","publisher-place":"Tokyo","source":"Springer Link","title":"Morbidity of Myopia among Schoolchildren in Taiwan","author":[{"family":"Lin","given":"Luke L-K"},{"family":"Shih","given":"Y. F."}],"editor":[{"family":"Lin","given":"Luke L.-K."},{"family":"Shih","given":"Yung-Feng"},{"family":"Hung","given":"Por T."}],"issued":{"date-parts":[["2000"]]}},"label":"page"}],"schema":"https://github.com/citation-style-language/schema/raw/master/csl-citation.json"} </w:instrText>
      </w:r>
      <w:r w:rsidR="00345EA0"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[118; 119]</w:t>
      </w:r>
      <w:r w:rsidR="00345EA0"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0E9414D1" w14:textId="108DD955" w:rsidR="00D91EC1" w:rsidRPr="004804AA" w:rsidRDefault="006C0A3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По данным Elie Dolgin (2015) если 60 лет назад лишь 10 - 20% населения Китая страдали от миопии, то сегодня до 90% подростков и молодых людей являются близорукими</w:t>
      </w:r>
      <w:r w:rsidR="00891764">
        <w:rPr>
          <w:rFonts w:ascii="Times New Roman" w:hAnsi="Times New Roman" w:cs="Times New Roman"/>
          <w:sz w:val="28"/>
          <w:szCs w:val="28"/>
        </w:rPr>
        <w:t xml:space="preserve"> </w:t>
      </w:r>
      <w:r w:rsidR="000742D8"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{"citationID":"gQVnERmC","properties":{"formattedCitation":"[11]","plainCitation":"[11]","noteIndex":0},"citationItems":[{"id":906,"uris":["http://zotero.org/users/local/XMo5Fvid/items/GF66G3EG"],"itemData":{"id":906,"type":"article-journal","abstract":"Short-sightedness is reaching epidemic proportions. Some scientists think they have found a reason why.","container-title":"Nature News","DOI":"10.1038/519276a","issue":"7543","language":"en","page":"276","source":"www.nature.com","title":"The myopia boom","volume":"519","author":[{"family":"Dolgin","given":"Elie"}],"issued":{"date-parts":[["2015",3,19]]}}}],"schema":"https://github.com/citation-style-language/schema/raw/master/csl-citation.json"} </w:instrText>
      </w:r>
      <w:r w:rsidR="000742D8"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[11]</w:t>
      </w:r>
      <w:r w:rsidR="000742D8"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Pr="004804AA">
        <w:rPr>
          <w:rFonts w:ascii="Times New Roman" w:hAnsi="Times New Roman" w:cs="Times New Roman"/>
          <w:sz w:val="28"/>
          <w:szCs w:val="28"/>
        </w:rPr>
        <w:t xml:space="preserve"> </w:t>
      </w:r>
      <w:r w:rsidR="007040EF" w:rsidRPr="004804AA">
        <w:rPr>
          <w:rFonts w:ascii="Times New Roman" w:hAnsi="Times New Roman" w:cs="Times New Roman"/>
          <w:sz w:val="28"/>
          <w:szCs w:val="28"/>
        </w:rPr>
        <w:t>Проводимое в</w:t>
      </w:r>
      <w:r w:rsidR="000A04D5" w:rsidRPr="004804AA">
        <w:rPr>
          <w:rFonts w:ascii="Times New Roman" w:hAnsi="Times New Roman" w:cs="Times New Roman"/>
          <w:sz w:val="28"/>
          <w:szCs w:val="28"/>
        </w:rPr>
        <w:t xml:space="preserve"> 2013–2020 гг. Китайское национальное исследование CEPS (</w:t>
      </w:r>
      <w:r w:rsidR="00474FCD" w:rsidRPr="004804AA">
        <w:rPr>
          <w:rFonts w:ascii="Times New Roman" w:hAnsi="Times New Roman" w:cs="Times New Roman"/>
          <w:sz w:val="28"/>
          <w:szCs w:val="28"/>
        </w:rPr>
        <w:t>China Education Panel Survey</w:t>
      </w:r>
      <w:r w:rsidR="000A04D5" w:rsidRPr="004804AA">
        <w:rPr>
          <w:rFonts w:ascii="Times New Roman" w:hAnsi="Times New Roman" w:cs="Times New Roman"/>
          <w:sz w:val="28"/>
          <w:szCs w:val="28"/>
        </w:rPr>
        <w:t>)</w:t>
      </w:r>
      <w:r w:rsidR="00474FCD" w:rsidRPr="004804AA">
        <w:rPr>
          <w:rFonts w:ascii="Times New Roman" w:hAnsi="Times New Roman" w:cs="Times New Roman"/>
          <w:sz w:val="28"/>
          <w:szCs w:val="28"/>
        </w:rPr>
        <w:t xml:space="preserve"> выявило 42,23% учащихся с миопией в возрасте от </w:t>
      </w:r>
      <w:r w:rsidR="00345EA0" w:rsidRPr="004804AA">
        <w:rPr>
          <w:rFonts w:ascii="Times New Roman" w:hAnsi="Times New Roman" w:cs="Times New Roman"/>
          <w:sz w:val="28"/>
          <w:szCs w:val="28"/>
        </w:rPr>
        <w:t>6–15</w:t>
      </w:r>
      <w:r w:rsidR="00444869">
        <w:rPr>
          <w:rFonts w:ascii="Times New Roman" w:hAnsi="Times New Roman" w:cs="Times New Roman"/>
          <w:sz w:val="28"/>
          <w:szCs w:val="28"/>
        </w:rPr>
        <w:t xml:space="preserve"> </w:t>
      </w:r>
      <w:r w:rsidR="00474FCD" w:rsidRPr="004804AA">
        <w:rPr>
          <w:rFonts w:ascii="Times New Roman" w:hAnsi="Times New Roman" w:cs="Times New Roman"/>
          <w:sz w:val="28"/>
          <w:szCs w:val="28"/>
        </w:rPr>
        <w:t>лет</w:t>
      </w:r>
      <w:r w:rsidR="00891764">
        <w:rPr>
          <w:rFonts w:ascii="Times New Roman" w:hAnsi="Times New Roman" w:cs="Times New Roman"/>
          <w:sz w:val="28"/>
          <w:szCs w:val="28"/>
        </w:rPr>
        <w:t xml:space="preserve"> </w:t>
      </w:r>
      <w:r w:rsidR="00474FCD"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{"citationID":"FJXhtY4L","properties":{"formattedCitation":"[120]","plainCitation":"[120]","noteIndex":0},"citationItems":[{"id":1223,"uris":["http://zotero.org/users/local/XMo5Fvid/items/QPVPNGEU"],"itemData":{"id":1223,"type":"article-journal","abstract":"This study sought to investigate the recent incidence rate of myopia in Chinese junior high school students and analyze the effect of time spent outdoors on myopia, in addition to facilitating the prevention and control of myopia among students.This study was derived from a national panel study, the China Education Panel Survey. We conducted three rounds of follow-up visits among 10,279 seventh grade students from 112 middle schools in 20 provinces in 2013. In total, 3571 students were selected for the analysis in 2020 by excluding those lost to follow-up and students who were myopic in the first round. The primary outcomes were the prevalence of myopia and the effect of time outdoors on myopia. The baseline characteristics of the included students were described, and the correlation between time spent outdoors and myopia in the three rounds of data was analyzed by a correlation chi-square test. Then, the generalized estimation equation (GEE) was used to estimate the influence of time spent outdoors on myopia after follow-up.There were 3571 students with normal baseline vision, and 1508 (42.23%) students progressed from having a normal vision to myopia in the third round, of whom 706 (46.82%) were male and 802 (53.18%) were female. The results of the chi-square test showed that the time spent outdoors of all students and girls, specifically, was related to myopia (P &lt; .05). Next, the GEE was used to analyze the influence of time spent outdoors on myopia after follow-up. After two model adjustments (individual and family-related characteristics of students), students with &lt; 7 hours/week time spent outdoors retained a high myopia rate than ≥14 hours/week (OR = 1.250; 95% CI: 1.070-1.460). Among boys, there was no statistical correlation between time spent outdoors and myopia (P &gt; .05). For girls, compared with students who spent ≥14 hours/week outdoors, students with &lt;7 hours/week spent outdoors retained a higher myopia rate (OR = 1.355; 95%CI: 1.067-1.720).Increased time spent outdoors can delay the development of myopia. In terms of gender, girls should be targeted to more effectively prevent and control the development and progression of myopia.","container-title":"Medicine","DOI":"10.1097/MD.0000000000023462","ISSN":"1536-5964","issue":"50","journalAbbreviation":"Medicine (Baltimore)","language":"eng","note":"PMID: 33327278\nPMCID: PMC7738137","page":"e23462","source":"PubMed","title":"Association between time spent outdoors and myopia among junior high school students: A 3-wave panel study in China","title-short":"Association between time spent outdoors and myopia among junior high school students","volume":"99","author":[{"family":"Zhang","given":"Linjie"},{"family":"Wang","given":"Weidong"},{"family":"Dong","given":"Xiaoyang"},{"family":"Zhao","given":"Li"},{"family":"Peng","given":"Jia"},{"family":"Wang","given":"Ronghai"}],"issued":{"date-parts":[["2020",12,11]]}}}],"schema":"https://github.com/citation-style-language/schema/raw/master/csl-citation.json"} </w:instrText>
      </w:r>
      <w:r w:rsidR="00474FCD"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[120]</w:t>
      </w:r>
      <w:r w:rsidR="00474FCD"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0A04D5" w:rsidRPr="004804AA">
        <w:rPr>
          <w:rFonts w:ascii="Times New Roman" w:hAnsi="Times New Roman" w:cs="Times New Roman"/>
          <w:sz w:val="28"/>
          <w:szCs w:val="28"/>
        </w:rPr>
        <w:t xml:space="preserve"> </w:t>
      </w:r>
      <w:r w:rsidR="001013BB" w:rsidRPr="004804AA">
        <w:rPr>
          <w:rFonts w:ascii="Times New Roman" w:hAnsi="Times New Roman" w:cs="Times New Roman"/>
          <w:sz w:val="28"/>
          <w:szCs w:val="28"/>
        </w:rPr>
        <w:t>Н</w:t>
      </w:r>
      <w:r w:rsidR="004B22B7" w:rsidRPr="004804AA">
        <w:rPr>
          <w:rFonts w:ascii="Times New Roman" w:hAnsi="Times New Roman" w:cs="Times New Roman"/>
          <w:sz w:val="28"/>
          <w:szCs w:val="28"/>
        </w:rPr>
        <w:t xml:space="preserve">есмотря </w:t>
      </w:r>
      <w:r w:rsidR="000A04D5" w:rsidRPr="004804AA">
        <w:rPr>
          <w:rFonts w:ascii="Times New Roman" w:hAnsi="Times New Roman" w:cs="Times New Roman"/>
          <w:sz w:val="28"/>
          <w:szCs w:val="28"/>
        </w:rPr>
        <w:t>идентичную</w:t>
      </w:r>
      <w:r w:rsidR="004B22B7" w:rsidRPr="004804AA">
        <w:rPr>
          <w:rFonts w:ascii="Times New Roman" w:hAnsi="Times New Roman" w:cs="Times New Roman"/>
          <w:sz w:val="28"/>
          <w:szCs w:val="28"/>
        </w:rPr>
        <w:t xml:space="preserve"> этническая принадлежность </w:t>
      </w:r>
      <w:r w:rsidR="0013194F" w:rsidRPr="004804AA">
        <w:rPr>
          <w:rFonts w:ascii="Times New Roman" w:hAnsi="Times New Roman" w:cs="Times New Roman"/>
          <w:sz w:val="28"/>
          <w:szCs w:val="28"/>
        </w:rPr>
        <w:t xml:space="preserve">показатели </w:t>
      </w:r>
      <w:r w:rsidR="004B22B7" w:rsidRPr="004804AA">
        <w:rPr>
          <w:rFonts w:ascii="Times New Roman" w:hAnsi="Times New Roman" w:cs="Times New Roman"/>
          <w:sz w:val="28"/>
          <w:szCs w:val="28"/>
        </w:rPr>
        <w:t xml:space="preserve">нарушений рефракции </w:t>
      </w:r>
      <w:r w:rsidR="0013194F" w:rsidRPr="004804AA">
        <w:rPr>
          <w:rFonts w:ascii="Times New Roman" w:hAnsi="Times New Roman" w:cs="Times New Roman"/>
          <w:sz w:val="28"/>
          <w:szCs w:val="28"/>
        </w:rPr>
        <w:t>значительно варьир</w:t>
      </w:r>
      <w:r w:rsidR="000A04D5" w:rsidRPr="004804AA">
        <w:rPr>
          <w:rFonts w:ascii="Times New Roman" w:hAnsi="Times New Roman" w:cs="Times New Roman"/>
          <w:sz w:val="28"/>
          <w:szCs w:val="28"/>
        </w:rPr>
        <w:t>овали</w:t>
      </w:r>
      <w:r w:rsidR="0013194F" w:rsidRPr="004804AA">
        <w:rPr>
          <w:rFonts w:ascii="Times New Roman" w:hAnsi="Times New Roman" w:cs="Times New Roman"/>
          <w:sz w:val="28"/>
          <w:szCs w:val="28"/>
        </w:rPr>
        <w:t xml:space="preserve"> в зависимости от географического положения и экономического развития региона: распространенность миопии среди учащихся 6 </w:t>
      </w:r>
      <w:r w:rsidR="00DE389F" w:rsidRPr="004804AA">
        <w:rPr>
          <w:rFonts w:ascii="Times New Roman" w:hAnsi="Times New Roman" w:cs="Times New Roman"/>
          <w:sz w:val="28"/>
          <w:szCs w:val="28"/>
        </w:rPr>
        <w:t>-</w:t>
      </w:r>
      <w:r w:rsidR="0013194F" w:rsidRPr="004804AA">
        <w:rPr>
          <w:rFonts w:ascii="Times New Roman" w:hAnsi="Times New Roman" w:cs="Times New Roman"/>
          <w:sz w:val="28"/>
          <w:szCs w:val="28"/>
        </w:rPr>
        <w:t xml:space="preserve">17 лет в районах Тайда и Даганг, Тяньцзинь составляла 48,9% </w:t>
      </w:r>
      <w:r w:rsidR="0013194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{"citationID":"YLj37KIA","properties":{"formattedCitation":"[121]","plainCitation":"[121]","noteIndex":0},"citationItems":[{"id":1242,"uris":["http://zotero.org/users/local/XMo5Fvid/items/5LSEPSMX"],"itemData":{"id":1242,"type":"article-journal","abstract":"AIM: To evaluate the effectiveness of Grand Seiko Ref/Keratometer WAM-5500 compared to Topcon KR800 autorefractor in detecting refractive error in large scale vision screening for Chinese school age children with the WHO criteria.\nMETHODS: A total of 886 participants were enrolled with mean age of 9.49±1.88y from Tianjin, China. Spherical equivalent (SE) was obtained from un-cycloplegic autorefraction and cycloplegic autorefraction. Topcon KR 800 (Topcon) and Grand Seiko WAM-5500 (WAM) autorefractors were used. Bland-Altman Plot and regression were generated to compare their performance. The overall effectiveness of detecting early stage refractive error was analyzed with receiver operating characteristic (ROC) curves.\nRESULTS: The mean SE was -0.98±1.81 diopter (D) and the prevalence of myopia was 48.9% defined by WHO criteria according to the result of cycloplegic autorefraction. The mean SE of un-cycloplegic autorefraction with Topcon and WAM were -1.21±1.65 and -1.20±1.68 D respectively. There was a strong linear agreement between result obtained from WAM and cycloplegic autorefraction with an R2 of 0.8318. Bland-Altman plot indicated a moderate agreement of cylinder values between the two methods. The sensitivity and specificity for detecting hyperopia were 90.52% and 83.51%; for detecting myopia were 95.60% and 90.24%; for detecting astigmatism were 79.40% and 90.21%; for detecting high myopia were 98.16% and 98.91% respectively.\nCONCLUSION: These findings suggest that both Grand Seiko and Topcon autorefractor can be used in large-scale vision screening for detecting refractive error in Chinese population. Grand Seiko gives relatively better performance in detecting myopia, hyperopia, and high myopia for school age children.","container-title":"International Journal of Ophthalmology","DOI":"10.18240/ijo.2020.10.22","ISSN":"2222-3959","issue":"10","journalAbbreviation":"Int J Ophthalmol","language":"eng","note":"PMID: 33078119\nPMCID: PMC7511371","page":"1660-1666","source":"PubMed","title":"Comparison between two autorefractor performances in large scale vision screening in Chinese school age children","volume":"13","author":[{"family":"Wang","given":"Di"},{"family":"Jin","given":"Nan"},{"family":"Pei","given":"Ru-Xia"},{"family":"Zhao","given":"Li-Qiong"},{"family":"Du","given":"Bei"},{"family":"Liu","given":"Gui-Hua"},{"family":"Wang","given":"Xi-Lian"},{"family":"Wei","given":"Rui-Hua"},{"family":"Li","given":"Xiao-Rong"}],"issued":{"date-parts":[["2020"]]}}}],"schema":"https://github.com/citation-style-language/schema/raw/master/csl-citation.json"} </w:instrText>
      </w:r>
      <w:r w:rsidR="0013194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[121]</w:t>
      </w:r>
      <w:r w:rsidR="0013194F" w:rsidRPr="004804AA">
        <w:rPr>
          <w:rFonts w:ascii="Times New Roman" w:hAnsi="Times New Roman" w:cs="Times New Roman"/>
          <w:sz w:val="28"/>
          <w:szCs w:val="28"/>
        </w:rPr>
        <w:fldChar w:fldCharType="end"/>
      </w:r>
      <w:r w:rsidR="00DE389F" w:rsidRPr="004804AA">
        <w:rPr>
          <w:rFonts w:ascii="Times New Roman" w:hAnsi="Times New Roman" w:cs="Times New Roman"/>
          <w:sz w:val="28"/>
          <w:szCs w:val="28"/>
        </w:rPr>
        <w:t>; 16,2%</w:t>
      </w:r>
      <w:r w:rsidR="004B22B7" w:rsidRPr="004804AA">
        <w:rPr>
          <w:rFonts w:ascii="Times New Roman" w:hAnsi="Times New Roman" w:cs="Times New Roman"/>
          <w:sz w:val="28"/>
          <w:szCs w:val="28"/>
        </w:rPr>
        <w:t xml:space="preserve"> - среди 5-13 летних детей в </w:t>
      </w:r>
      <w:r w:rsidR="00DE389F" w:rsidRPr="004804AA">
        <w:rPr>
          <w:rFonts w:ascii="Times New Roman" w:hAnsi="Times New Roman" w:cs="Times New Roman"/>
          <w:sz w:val="28"/>
          <w:szCs w:val="28"/>
        </w:rPr>
        <w:t>округе Шуньи, Пекин</w:t>
      </w:r>
      <w:r w:rsidR="00891764">
        <w:rPr>
          <w:rFonts w:ascii="Times New Roman" w:hAnsi="Times New Roman" w:cs="Times New Roman"/>
          <w:sz w:val="28"/>
          <w:szCs w:val="28"/>
        </w:rPr>
        <w:t xml:space="preserve"> </w:t>
      </w:r>
      <w:r w:rsidR="00DE389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{"citationID":"2c4RU1hb","properties":{"formattedCitation":"[122]","plainCitation":"[122]","noteIndex":0},"citationItems":[{"id":1371,"uris":["http://zotero.org/users/local/XMo5Fvid/items/ERRHFNAU"],"itemData":{"id":1371,"type":"article-journal","abstract":"PURPOSE: To assess the progression of refractive error and the incidence of myopia in school-age children in the Shunyi District of Beijing, China.\nDESIGN: A longitudinal cohort study.\nMETHODS: A population-based sample of 4,662 children initially examined in 1998 at ages 5 to 13 years was reexamined between September and November, 2000. Refractive error was measured under cycloplegia with autorefraction. Age, sex, and baseline refractive error were evaluated as risk factors for progression.\nRESULTS: In 28.5 months, the average change in refractive error was -0.42 diopters (standard deviation, 0.68) in right eyes. Myopic shift of refractive error was associated with female sex, older age, and higher myopic or hyperopic refractive error at baseline. The average change in astigmatic error was essentially zero, with significant change in both directions more likely among those with higher baseline astigmatism. Findings were similar for left eyes. The cumulative incidence of myopia, defined as a spherical equivalent refractive error of -0.50 diopters or more in either eye, among initial emmetropes and hyperopes was 14.1% (95% confidence interval [CI], 11.8%-16.5%) for male and 23.5% (95% CI, 20.8%-26.1%) for female subjects. Myopia incidence increased sixfold to sevenfold between baseline age 5 and 12, before decreasing at age 13, for both male and female subjects.\nCONCLUSIONS: In the design of cost-effective programs for the periodic screening and treatment of uncorrected refractive error, children initially found to require refractive correction should be targeted for relatively frequent rescreening, as should girls and older children. Further study is required to better understand environmental and genetic risk factors for myopia development and progression.","container-title":"American Journal of Ophthalmology","DOI":"10.1016/s0002-9394(02)01689-6","ISSN":"0002-9394","issue":"5","journalAbbreviation":"Am J Ophthalmol","language":"eng","note":"PMID: 12429251","page":"735-743","source":"PubMed","title":"The progression of refractive error in school-age children: Shunyi district, China","title-short":"The progression of refractive error in school-age children","volume":"134","author":[{"family":"Zhao","given":"Jialiang"},{"family":"Mao","given":"Jin"},{"family":"Luo","given":"Rong"},{"family":"Li","given":"Fengrong"},{"family":"Munoz","given":"Sergio R."},{"family":"Ellwein","given":"Leon B."}],"issued":{"date-parts":[["2002",11]]}}}],"schema":"https://github.com/citation-style-language/schema/raw/master/csl-citation.json"} </w:instrText>
      </w:r>
      <w:r w:rsidR="00DE389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[122]</w:t>
      </w:r>
      <w:r w:rsidR="00DE389F"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2A1AED">
        <w:rPr>
          <w:rFonts w:ascii="Times New Roman" w:hAnsi="Times New Roman" w:cs="Times New Roman"/>
          <w:sz w:val="28"/>
          <w:szCs w:val="28"/>
        </w:rPr>
        <w:t xml:space="preserve"> </w:t>
      </w:r>
      <w:r w:rsidR="00D91EC1" w:rsidRPr="004804AA">
        <w:rPr>
          <w:rFonts w:ascii="Times New Roman" w:hAnsi="Times New Roman" w:cs="Times New Roman"/>
          <w:sz w:val="28"/>
          <w:szCs w:val="28"/>
        </w:rPr>
        <w:t>Самая высокая распространенность обнаружена в Восточном Китае</w:t>
      </w:r>
      <w:r w:rsidR="00B2020E" w:rsidRPr="004804AA">
        <w:rPr>
          <w:rFonts w:ascii="Times New Roman" w:hAnsi="Times New Roman" w:cs="Times New Roman"/>
          <w:sz w:val="28"/>
          <w:szCs w:val="28"/>
        </w:rPr>
        <w:t>:</w:t>
      </w:r>
      <w:r w:rsidR="00D91EC1" w:rsidRPr="004804AA">
        <w:rPr>
          <w:rFonts w:ascii="Times New Roman" w:hAnsi="Times New Roman" w:cs="Times New Roman"/>
          <w:sz w:val="28"/>
          <w:szCs w:val="28"/>
        </w:rPr>
        <w:t xml:space="preserve"> исследование 2004 года показало, что распространенность миопии составляет 73,1% среди детей школьного возраста (в возрасте 5–15 лет)</w:t>
      </w:r>
      <w:r w:rsidR="00891764">
        <w:rPr>
          <w:rFonts w:ascii="Times New Roman" w:hAnsi="Times New Roman" w:cs="Times New Roman"/>
          <w:sz w:val="28"/>
          <w:szCs w:val="28"/>
        </w:rPr>
        <w:t xml:space="preserve"> </w:t>
      </w:r>
      <w:r w:rsidR="00D91EC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{"citationID":"wl1ZmWRO","properties":{"formattedCitation":"[123]","plainCitation":"[123]","noteIndex":0},"citationItems":[{"id":1369,"uris":["http://zotero.org/users/local/XMo5Fvid/items/MWRMUUF2"],"itemData":{"id":1369,"type":"article-journal","abstract":"PURPOSE: To assess the prevalence of refractive error and visual impairment in school-age children in a metropolitan area of southern China.\nMETHODS: Random selection of geographically defined clusters was used to identify children 5 to 15 years of age in Guangzhou. Children in 22 clusters were enumerated through a door-to-door survey and examined in 71 schools and 19 community facilities from October 2002 to January 2003. The examination included visual acuity measurements, ocular motility evaluation, retinoscopy, and autorefraction under cycloplegia and examination of the external eye, anterior segment, media, and fundus.\nRESULTS: A total of 5053 children living in 4814 households were enumerated, and 4364 (86.4%) were examined. The prevalence of uncorrected, presenting, and best-corrected visual acuity 20/40 or worse in the better eye was 22.3%, 10.3%, and 0.62%, respectively. Refractive error was the cause in 94.9% of the 2335 eyes with reduced vision, amblyopia in 1.9%, other causes in 0.4%, and unexplained causes in the remaining 2.8%. External and anterior segment abnormalities were seen in 1496 (34.3%) children, mainly minor conjunctival abnormalities. Media and fundus abnormalities were observed in 32 (0.73%) children. Myopia (spherical equivalent of at least -0.50 D in either eye) measured with retinoscopy affected 73.1% of children 15 years of age, 78.4% with autorefraction. The prevalence of myopia was 3.3% in 5-year-olds with retinoscopy and 5.7% with autorefraction. Females had a significantly higher risk of myopia. Hyperopia (+2.00 D or more) measured with retinoscopy was present in 16.7% of 5-year-olds, 17.0% with autorefraction. The prevalence of hyperopia was below 1% in 15-year-olds, with both methods. Astigmatism (cylinder of &gt; or = 0.75 D) was present in 33.6% of children with retinoscopy and in 42.7% with autorefraction.\nCONCLUSIONS: The prevalence of reduced vision because of myopia is high in school-age children living in metropolitan Guangzhou, representing an important public health problem. One third of these children do not have the necessary corrective spectacles. Effective strategies are needed to eliminate this easily treated cause of significant visual impairment.","container-title":"Investigative Ophthalmology &amp; Visual Science","DOI":"10.1167/iovs.03-1051","ISSN":"0146-0404","issue":"3","journalAbbreviation":"Invest Ophthalmol Vis Sci","language":"eng","note":"PMID: 14985292","page":"793-799","source":"PubMed","title":"Refractive error and visual impairment in urban children in southern china","volume":"45","author":[{"family":"He","given":"Mingguang"},{"family":"Zeng","given":"Junwen"},{"family":"Liu","given":"Yizhi"},{"family":"Xu","given":"Jingjing"},{"family":"Pokharel","given":"Gopal P."},{"family":"Ellwein","given":"Leon B."}],"issued":{"date-parts":[["2004",3]]}}}],"schema":"https://github.com/citation-style-language/schema/raw/master/csl-citation.json"} </w:instrText>
      </w:r>
      <w:r w:rsidR="00D91EC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[123]</w:t>
      </w:r>
      <w:r w:rsidR="00D91EC1"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BA654B">
        <w:rPr>
          <w:rFonts w:ascii="Times New Roman" w:hAnsi="Times New Roman" w:cs="Times New Roman"/>
          <w:sz w:val="28"/>
          <w:szCs w:val="28"/>
        </w:rPr>
        <w:t xml:space="preserve"> </w:t>
      </w:r>
      <w:r w:rsidR="001013BB" w:rsidRPr="004804AA">
        <w:rPr>
          <w:rFonts w:ascii="Times New Roman" w:hAnsi="Times New Roman" w:cs="Times New Roman"/>
          <w:sz w:val="28"/>
          <w:szCs w:val="28"/>
        </w:rPr>
        <w:t>По другим данным распространенность миопии в Китае превышает 60% среди 12-летних школьников, достигает почти 80% в 16 лет и превышает 90% среди студентов университетов</w:t>
      </w:r>
      <w:r w:rsidR="00891764">
        <w:rPr>
          <w:rFonts w:ascii="Times New Roman" w:hAnsi="Times New Roman" w:cs="Times New Roman"/>
          <w:sz w:val="28"/>
          <w:szCs w:val="28"/>
        </w:rPr>
        <w:t xml:space="preserve"> </w:t>
      </w:r>
      <w:r w:rsidR="009E3C1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5EQQjXbh","properties":{"formattedCitation":"[124\\uc0\\u8211{}126]","plainCitation":"[124–126]","noteIndex":0},"citationItems":[{"id":1636,"uris":["http://zotero.org/users/local/XMo5Fvid/items/DLJHAHD5"],"itemData":{"id":1636,"type":"article-journal","abstract":"PURPOSE: To report the design, methods and baseline data of the Anyang Childhood Eye Study (ACES), aiming to determine the prevalence, incidence and risk factors of myopia and other ocular diseases in children in central China.\nMETHODS: The ACES was a school-based cohort study conducted in Anyang city. Students have been examined and will be followed-up annually for 3-5 years. Ocular examinations included visual acuity, identification of amblyopia and strabismus, ocular biometry, optical coherence tomography, retinal photography, cycloplegic autorefraction, accommodative response, peripheral refraction, visual perception and so on. A questionnaire survey was performed to collect risk factors for myopia including near work, outdoor activity, parental myopia, birth history, habits of wearing spectacles and reading, living habits, food habits and so on.\nRESULTS: Of 3112 grade 1 and 2363 grade 7 students eligible for the ACES, 2893 (93.0%) and 2267 (95.9%) participated in the study, with a mean age of 7.1 years (range 5.7-9.3 years) and 12.7 years (range 10.0-15.9 years), and proportions of male to be 57.8% and 50.0%, respectively. The prevalence rates of myopia, high myopia, emmetropia and hyperopia were 3.9%, 0.1%, 72.9% and 23.3% in grade 1, and 67.3%, 2.7%, 31.4% and 1.2% in grade 7, respectively. Similar data were found in the children confined in 6-year-old and 12-year-old ages.\nCONCLUSIONS: The ACES is the first large-scale cohort study in China with baseline response rates over 90%. Continuous documentation of changes and risk factors of refractive errors in these cohorts would provide new insights into myopia control in school-aged children.","container-title":"Ophthalmic Epidemiology","DOI":"10.3109/09286586.2013.842596","ISSN":"1744-5086","issue":"6","journalAbbreviation":"Ophthalmic Epidemiol","language":"eng","note":"PMID: 24160405","page":"348-359","source":"PubMed","title":"Design, methodology and baseline data of a school-based cohort study in Central China: the Anyang Childhood Eye Study","title-short":"Design, methodology and baseline data of a school-based cohort study in Central China","volume":"20","author":[{"family":"Li","given":"Shi-Ming"},{"family":"Liu","given":"Luo-Ru"},{"family":"Li","given":"Si-Yuan"},{"family":"Ji","given":"Ya-Zhou"},{"family":"Fu","given":"Jing"},{"family":"Wang","given":"Yang"},{"family":"Li","given":"He"},{"family":"Zhu","given":"Bi-Dan"},{"family":"Yang","given":"Zhou"},{"family":"Li","given":"Lei"},{"family":"Chen","given":"Wei"},{"family":"Kang","given":"Meng-Tian"},{"family":"Zhang","given":"Feng-Ju"},{"family":"Zhan","given":"Si-Yan"},{"family":"Wang","given":"Ning-Li"},{"family":"Mitchell","given":"Paul"},{"literal":"Anyang Childhood Eye Study Group"}],"issued":{"date-parts":[["2013",12]]}},"label":"page"},{"id":1637,"uris":["http://zotero.org/users/local/XMo5Fvid/items/YKKH8DKR"],"itemData":{"id":1637,"type":"article-journal","abstract":"PURPOSE: Myopia is an important cause of correctable visual impairment worldwide. Genetic and environmental factors contribute to its development. The population of Chinese university students consists of approximately 30 million young people characterized by academic excellence and similar ages. To date, little is known about their refractive status. Our study is designed to investigate the prevalence of myopia in this specific population.\nMETHODS: This is a cross-sectional study of myopia among university students in Shanghai, China; 5083 students from Donghua University were enrolled. All participants first responded to a detailed questionnaire, including questions on ethnicity, birth date, and family history, and then undertook a standardized ophthalmologic examination, including visual acuity, a slit-lamp examination, and non-cycloplegic autorefraction.\nRESULTS: The mean spherical equivalent refraction (SER) of the university students was -4.1 diopters (D). Of the subjects 95.5% were myopic (SER &lt; -0.50 D), 19.5% were highly myopic (SER &lt; -6.0 D), and only 3.3% were emmetropic (-0.5 D ≤ SER ≤ 0.5 D). The postgraduates were more myopic than the undergraduates (96.9% and 94.9%, respectively). Being female (-4.1 ± 2.4 D in female versus -3.8 ± 2.4 D in male subjects), of Han ethnicity (-4.1 ± 2.4 D in Han versus -3.4 ± 2.2 D in minorities), and of older age were associated with a higher probability of myopia only in the undergraduate population.\nCONCLUSIONS: The prevalence of myopia and high myopia in this university student population was high. The refractive status of this population deserves further attention.","container-title":"Investigative Ophthalmology &amp; Visual Science","DOI":"10.1167/iovs.11-8343","ISSN":"1552-5783","issue":"12","journalAbbreviation":"Invest Ophthalmol Vis Sci","language":"eng","note":"PMID: 23060137","page":"7504-7509","source":"PubMed","title":"High prevalence of myopia and high myopia in 5060 Chinese university students in Shanghai","volume":"53","author":[{"family":"Sun","given":"Jing"},{"family":"Zhou","given":"Jibo"},{"family":"Zhao","given":"Peiquan"},{"family":"Lian","given":"Jingcai"},{"family":"Zhu","given":"Huang"},{"family":"Zhou","given":"Yixiong"},{"family":"Sun","given":"Yue"},{"family":"Wang","given":"Yefei"},{"family":"Zhao","given":"Liquan"},{"family":"Wei","given":"Yan"},{"family":"Wang","given":"Lina"},{"family":"Cun","given":"Biyun"},{"family":"Ge","given":"Shengfang"},{"family":"Fan","given":"Xianqun"}],"issued":{"date-parts":[["2012",11,1]]}},"label":"page"},{"id":1011,"uris":["http://zotero.org/users/local/XMo5Fvid/items/HBA9MH76"],"itemData":{"id":1011,"type":"article-journal","abstract":"PURPOSE: To determine the myopia prevalence in Hong Kong Chinese children and their parents.\nMETHODS: It was a population-based cross-sectional study. A total of 4257 children aged 6-8 years, and 5880 parents were recruited in the Hong Kong Children Eye Study. Cycloplegic autorefraction was measured for children; and non-cycloplegic autorefraction for parents. Parental educational level, children's outdoor time, and near work were collected by validated questionnaires.\nRESULTS: In children aged 6-8 years, 25.0% were myopic, and among them, 12.7% for the 6-year-olds, 24.4% for the 7-year-olds and 36.1% for the 8-year-old. About 0.7% of children aged 8 years were high myopia. In all age groups, boys (their myopia rate: 13.9% at 6 years, 26.7% at 7 years, and 38.3% at 8 years) were more myopic than girls (11.3% at 6 years, 22.0% at 7 years, 33.4% at 8 years). Among parents, 72.2% were myopic (mother, 73.2%; father, 70.7%) and 13.5% high myopia (mother, 12.8%; father, 14.5%). It was observed that prevalence decreased with ages and increased with education level.\nCONCLUSION: There is a strikingly high prevalence of myopia in Hong Kong children aged 6-8, much higher than that of other regions of China. Of note, the prevalence of children was similar to that in 15 years ago. Furthermore, the myopia prevalence of parents is high, and it had already increased in this cohort. Prevention of childhood myopia is important, likewise for visual complications from high myopia in adults.","container-title":"Acta Ophthalmologica","DOI":"10.1111/aos.14350","ISSN":"1755-3768","journalAbbreviation":"Acta Ophthalmol","language":"eng","note":"PMID: 31981300","source":"PubMed","title":"High prevalence of myopia in children and their parents in Hong Kong Chinese Population: the Hong Kong Children Eye Study","title-short":"High prevalence of myopia in children and their parents in Hong Kong Chinese Population","author":[{"family":"Yam","given":"Jason C."},{"family":"Tang","given":"Shu Min"},{"family":"Kam","given":"Ka Wai"},{"family":"Chen","given":"Li Jia"},{"family":"Yu","given":"Marco"},{"family":"Law","given":"Antony K."},{"family":"Yip","given":"Benjamin H."},{"family":"Wang","given":"Yu Meng"},{"family":"Cheung","given":"Carol Y. L."},{"family":"Ng","given":"Danny S. C."},{"family":"Young","given":"Alvin L."},{"family":"Tham","given":"Clement C."},{"family":"Pang","given":"Chi Pui"}],"issued":{"date-parts":[["2020",1,24]]}},"label":"page"}],"schema":"https://github.com/citation-style-language/schema/raw/master/csl-citation.json"} </w:instrText>
      </w:r>
      <w:r w:rsidR="009E3C1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[124–126]</w:t>
      </w:r>
      <w:r w:rsidR="009E3C11"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2E98F109" w14:textId="73716431" w:rsidR="00474FCD" w:rsidRPr="004804AA" w:rsidRDefault="00474FC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Наиболее высокие </w:t>
      </w:r>
      <w:r w:rsidR="00345EA0" w:rsidRPr="004804AA">
        <w:rPr>
          <w:rFonts w:ascii="Times New Roman" w:hAnsi="Times New Roman" w:cs="Times New Roman"/>
          <w:sz w:val="28"/>
          <w:szCs w:val="28"/>
        </w:rPr>
        <w:t xml:space="preserve">общемировые </w:t>
      </w:r>
      <w:r w:rsidRPr="004804AA">
        <w:rPr>
          <w:rFonts w:ascii="Times New Roman" w:hAnsi="Times New Roman" w:cs="Times New Roman"/>
          <w:sz w:val="28"/>
          <w:szCs w:val="28"/>
        </w:rPr>
        <w:t>показатели близорукости на сегодняшний день зафиксированы в Корее, где эта цифра достигает 96,5% среди 19-летних парней, а миопия высокой степени составила 21,6%</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{"citationID":"Do2lAPne","properties":{"formattedCitation":"[92]","plainCitation":"[92]","noteIndex":0},"citationItems":[{"id":1260,"uris":["http://zotero.org/users/local/XMo5Fvid/items/GCL6FPGK"],"itemData":{"id":1260,"type":"article-journal","abstract":"PURPOSE: To examine prevalence of refractive errors and its associated factors, such as body stature and educational level, among 19-year-old males in Seoul, Korea.\nMETHODS: A population-based cross-sectional study was performed in male subjects (n = 23,616; age = 19 years) who were normally resident in Seoul for male compulsory conscripts during the study period (2010). Refractive examination was performed with cycloplegia. Height, weight, and educational level were examined. Myopia was defined as a spherical equivalent less than -0.5 diopters (D) and high myopia less than -6.0 D. The association of myopia with body stature and educational level was analyzed using logistic regression analysis.\nRESULTS: The prevalence of myopia in 19-year-old males in Seoul was 96.5%. The prevalence of high myopia was 21.61%. Body stature was not significantly associated with myopia. Four- to 6-year university students (odds ratio [OR] 1.69; P &lt; 0.001) and 2 to 3-year college students (OR 1.68; P &lt; 0.001) showed significantly higher risk for myopia than those with lower academic achievement (&lt; high school graduation).\nCONCLUSIONS: The 19-year-old male population in Seoul, Korea, demonstrated a very high myopic prevalence. Myopic refractive error was associated with academic achievement, not with body stature.","container-title":"Investigative Ophthalmology &amp; Visual Science","DOI":"10.1167/iovs.12-10106","ISSN":"1552-5783","issue":"9","journalAbbreviation":"Invest Ophthalmol Vis Sci","language":"eng","note":"PMID: 22836765","page":"5579-5583","source":"PubMed","title":"Prevalence of myopia and its association with body stature and educational level in 19-year-old male conscripts in seoul, South Korea","volume":"53","author":[{"family":"Jung","given":"Su-Kyung"},{"family":"Lee","given":"Jin Hae"},{"family":"Kakizaki","given":"Hirohiko"},{"family":"Jee","given":"Donghyun"}],"issued":{"date-parts":[["2012",8,15]]}},"label":"page"}],"schema":"https://github.com/citation-style-language/schema/raw/master/csl-citation.json"}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[92]</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w:t>
      </w:r>
    </w:p>
    <w:p w14:paraId="4C809B9F" w14:textId="3B5FDFA1" w:rsidR="00DE389F" w:rsidRPr="004804AA" w:rsidRDefault="004B22B7"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Показатели гиперметропии и астигмати</w:t>
      </w:r>
      <w:r w:rsidR="00BA654B">
        <w:rPr>
          <w:rFonts w:ascii="Times New Roman" w:hAnsi="Times New Roman" w:cs="Times New Roman"/>
          <w:sz w:val="28"/>
          <w:szCs w:val="28"/>
        </w:rPr>
        <w:t>з</w:t>
      </w:r>
      <w:r w:rsidRPr="004804AA">
        <w:rPr>
          <w:rFonts w:ascii="Times New Roman" w:hAnsi="Times New Roman" w:cs="Times New Roman"/>
          <w:sz w:val="28"/>
          <w:szCs w:val="28"/>
        </w:rPr>
        <w:t xml:space="preserve">ма </w:t>
      </w:r>
      <w:r w:rsidR="00474FCD" w:rsidRPr="004804AA">
        <w:rPr>
          <w:rFonts w:ascii="Times New Roman" w:hAnsi="Times New Roman" w:cs="Times New Roman"/>
          <w:sz w:val="28"/>
          <w:szCs w:val="28"/>
        </w:rPr>
        <w:t xml:space="preserve">в Азиатском регионе </w:t>
      </w:r>
      <w:r w:rsidRPr="004804AA">
        <w:rPr>
          <w:rFonts w:ascii="Times New Roman" w:hAnsi="Times New Roman" w:cs="Times New Roman"/>
          <w:sz w:val="28"/>
          <w:szCs w:val="28"/>
        </w:rPr>
        <w:t>также значительно колеблются: гиперметропия наблюдалась у 17% 5-летних</w:t>
      </w:r>
      <w:r w:rsidR="00B33BDD" w:rsidRPr="004804AA">
        <w:rPr>
          <w:rFonts w:ascii="Times New Roman" w:hAnsi="Times New Roman" w:cs="Times New Roman"/>
          <w:sz w:val="28"/>
          <w:szCs w:val="28"/>
        </w:rPr>
        <w:t xml:space="preserve"> китайских</w:t>
      </w:r>
      <w:r w:rsidRPr="004804AA">
        <w:rPr>
          <w:rFonts w:ascii="Times New Roman" w:hAnsi="Times New Roman" w:cs="Times New Roman"/>
          <w:sz w:val="28"/>
          <w:szCs w:val="28"/>
        </w:rPr>
        <w:t xml:space="preserve"> детей, и менее 1% у 15-летних.</w:t>
      </w:r>
      <w:r w:rsidR="002A1AED">
        <w:rPr>
          <w:rFonts w:ascii="Times New Roman" w:hAnsi="Times New Roman" w:cs="Times New Roman"/>
          <w:sz w:val="28"/>
          <w:szCs w:val="28"/>
        </w:rPr>
        <w:t xml:space="preserve"> </w:t>
      </w:r>
      <w:r w:rsidRPr="004804AA">
        <w:rPr>
          <w:rFonts w:ascii="Times New Roman" w:hAnsi="Times New Roman" w:cs="Times New Roman"/>
          <w:sz w:val="28"/>
          <w:szCs w:val="28"/>
        </w:rPr>
        <w:t xml:space="preserve">Астигматизм присутствовал у </w:t>
      </w:r>
      <w:r w:rsidR="00B33BDD" w:rsidRPr="004804AA">
        <w:rPr>
          <w:rFonts w:ascii="Times New Roman" w:hAnsi="Times New Roman" w:cs="Times New Roman"/>
          <w:sz w:val="28"/>
          <w:szCs w:val="28"/>
        </w:rPr>
        <w:t>33,6%–42,7%</w:t>
      </w:r>
      <w:r w:rsidRPr="004804AA">
        <w:rPr>
          <w:rFonts w:ascii="Times New Roman" w:hAnsi="Times New Roman" w:cs="Times New Roman"/>
          <w:sz w:val="28"/>
          <w:szCs w:val="28"/>
        </w:rPr>
        <w:t xml:space="preserve"> детей. </w:t>
      </w:r>
      <w:r w:rsidR="00DE389F" w:rsidRPr="004804AA">
        <w:rPr>
          <w:rFonts w:ascii="Times New Roman" w:hAnsi="Times New Roman" w:cs="Times New Roman"/>
          <w:sz w:val="28"/>
          <w:szCs w:val="28"/>
        </w:rPr>
        <w:t>Между тем, 16,7% студентов имели дальнозоркость</w:t>
      </w:r>
      <w:r w:rsidR="00474FCD" w:rsidRPr="004804AA">
        <w:rPr>
          <w:rFonts w:ascii="Times New Roman" w:hAnsi="Times New Roman" w:cs="Times New Roman"/>
          <w:sz w:val="28"/>
          <w:szCs w:val="28"/>
        </w:rPr>
        <w:t xml:space="preserve"> и </w:t>
      </w:r>
      <w:r w:rsidR="00DE389F" w:rsidRPr="004804AA">
        <w:rPr>
          <w:rFonts w:ascii="Times New Roman" w:hAnsi="Times New Roman" w:cs="Times New Roman"/>
          <w:sz w:val="28"/>
          <w:szCs w:val="28"/>
        </w:rPr>
        <w:t xml:space="preserve">6,24% детей </w:t>
      </w:r>
      <w:r w:rsidR="00891764">
        <w:rPr>
          <w:rFonts w:ascii="Times New Roman" w:hAnsi="Times New Roman" w:cs="Times New Roman"/>
          <w:sz w:val="28"/>
          <w:szCs w:val="28"/>
        </w:rPr>
        <w:t>–</w:t>
      </w:r>
      <w:r w:rsidR="00DE389F" w:rsidRPr="004804AA">
        <w:rPr>
          <w:rFonts w:ascii="Times New Roman" w:hAnsi="Times New Roman" w:cs="Times New Roman"/>
          <w:sz w:val="28"/>
          <w:szCs w:val="28"/>
        </w:rPr>
        <w:t xml:space="preserve"> астигматизм</w:t>
      </w:r>
      <w:r w:rsidR="00891764">
        <w:rPr>
          <w:rFonts w:ascii="Times New Roman" w:hAnsi="Times New Roman" w:cs="Times New Roman"/>
          <w:sz w:val="28"/>
          <w:szCs w:val="28"/>
        </w:rPr>
        <w:t xml:space="preserve"> </w:t>
      </w:r>
      <w:r w:rsidR="00DE389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{"citationID":"X8fABoG1","properties":{"formattedCitation":"[121]","plainCitation":"[121]","noteIndex":0},"citationItems":[{"id":1242,"uris":["http://zotero.org/users/local/XMo5Fvid/items/5LSEPSMX"],"itemData":{"id":1242,"type":"article-journal","abstract":"AIM: To evaluate the effectiveness of Grand Seiko Ref/Keratometer WAM-5500 compared to Topcon KR800 autorefractor in detecting refractive error in large scale vision screening for Chinese school age children with the WHO criteria.\nMETHODS: A total of 886 participants were enrolled with mean age of 9.49±1.88y from Tianjin, China. Spherical equivalent (SE) was obtained from un-cycloplegic autorefraction and cycloplegic autorefraction. Topcon KR 800 (Topcon) and Grand Seiko WAM-5500 (WAM) autorefractors were used. Bland-Altman Plot and regression were generated to compare their performance. The overall effectiveness of detecting early stage refractive error was analyzed with receiver operating characteristic (ROC) curves.\nRESULTS: The mean SE was -0.98±1.81 diopter (D) and the prevalence of myopia was 48.9% defined by WHO criteria according to the result of cycloplegic autorefraction. The mean SE of un-cycloplegic autorefraction with Topcon and WAM were -1.21±1.65 and -1.20±1.68 D respectively. There was a strong linear agreement between result obtained from WAM and cycloplegic autorefraction with an R2 of 0.8318. Bland-Altman plot indicated a moderate agreement of cylinder values between the two methods. The sensitivity and specificity for detecting hyperopia were 90.52% and 83.51%; for detecting myopia were 95.60% and 90.24%; for detecting astigmatism were 79.40% and 90.21%; for detecting high myopia were 98.16% and 98.91% respectively.\nCONCLUSION: These findings suggest that both Grand Seiko and Topcon autorefractor can be used in large-scale vision screening for detecting refractive error in Chinese population. Grand Seiko gives relatively better performance in detecting myopia, hyperopia, and high myopia for school age children.","container-title":"International Journal of Ophthalmology","DOI":"10.18240/ijo.2020.10.22","ISSN":"2222-3959","issue":"10","journalAbbreviation":"Int J Ophthalmol","language":"eng","note":"PMID: 33078119\nPMCID: PMC7511371","page":"1660-1666","source":"PubMed","title":"Comparison between two autorefractor performances in large scale vision screening in Chinese school age children","volume":"13","author":[{"family":"Wang","given":"Di"},{"family":"Jin","given":"Nan"},{"family":"Pei","given":"Ru-Xia"},{"family":"Zhao","given":"Li-Qiong"},{"family":"Du","given":"Bei"},{"family":"Liu","given":"Gui-Hua"},{"family":"Wang","given":"Xi-Lian"},{"family":"Wei","given":"Rui-Hua"},{"family":"Li","given":"Xiao-Rong"}],"issued":{"date-parts":[["2020"]]}}}],"schema":"https://github.com/citation-style-language/schema/raw/master/csl-citation.json"} </w:instrText>
      </w:r>
      <w:r w:rsidR="00DE389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[121]</w:t>
      </w:r>
      <w:r w:rsidR="00DE389F"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1C7C3204" w14:textId="3FE2652F" w:rsidR="007339AF" w:rsidRPr="004804AA" w:rsidRDefault="00DD057B"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Распространенность</w:t>
      </w:r>
      <w:r>
        <w:rPr>
          <w:rFonts w:ascii="Times New Roman" w:hAnsi="Times New Roman" w:cs="Times New Roman"/>
          <w:sz w:val="28"/>
          <w:szCs w:val="28"/>
        </w:rPr>
        <w:t xml:space="preserve"> </w:t>
      </w:r>
      <w:r w:rsidRPr="004804AA">
        <w:rPr>
          <w:rFonts w:ascii="Times New Roman" w:hAnsi="Times New Roman" w:cs="Times New Roman"/>
          <w:sz w:val="28"/>
          <w:szCs w:val="28"/>
        </w:rPr>
        <w:t>миопии</w:t>
      </w:r>
      <w:r>
        <w:rPr>
          <w:rFonts w:ascii="Times New Roman" w:hAnsi="Times New Roman" w:cs="Times New Roman"/>
          <w:sz w:val="28"/>
          <w:szCs w:val="28"/>
        </w:rPr>
        <w:t xml:space="preserve"> в Я</w:t>
      </w:r>
      <w:r w:rsidR="007F49B3">
        <w:rPr>
          <w:rFonts w:ascii="Times New Roman" w:hAnsi="Times New Roman" w:cs="Times New Roman"/>
          <w:sz w:val="28"/>
          <w:szCs w:val="28"/>
        </w:rPr>
        <w:t xml:space="preserve">понии </w:t>
      </w:r>
      <w:r>
        <w:rPr>
          <w:rFonts w:ascii="Times New Roman" w:hAnsi="Times New Roman" w:cs="Times New Roman"/>
          <w:sz w:val="28"/>
          <w:szCs w:val="28"/>
        </w:rPr>
        <w:t xml:space="preserve">по данным общенационального исследования </w:t>
      </w:r>
      <w:r w:rsidR="007F49B3">
        <w:rPr>
          <w:rFonts w:ascii="Times New Roman" w:hAnsi="Times New Roman" w:cs="Times New Roman"/>
          <w:sz w:val="28"/>
          <w:szCs w:val="28"/>
        </w:rPr>
        <w:t xml:space="preserve">составила </w:t>
      </w:r>
      <w:r w:rsidR="00436E97">
        <w:rPr>
          <w:rFonts w:ascii="Times New Roman" w:hAnsi="Times New Roman" w:cs="Times New Roman"/>
          <w:sz w:val="28"/>
          <w:szCs w:val="28"/>
        </w:rPr>
        <w:t>36,8%</w:t>
      </w:r>
      <w:r w:rsidR="007F49B3">
        <w:rPr>
          <w:rFonts w:ascii="Times New Roman" w:hAnsi="Times New Roman" w:cs="Times New Roman"/>
          <w:sz w:val="28"/>
          <w:szCs w:val="28"/>
        </w:rPr>
        <w:t xml:space="preserve"> среди детей до 14 лет</w:t>
      </w:r>
      <w:r>
        <w:rPr>
          <w:rFonts w:ascii="Times New Roman" w:hAnsi="Times New Roman" w:cs="Times New Roman"/>
          <w:sz w:val="28"/>
          <w:szCs w:val="28"/>
        </w:rPr>
        <w:t xml:space="preserve">, при этом наибольший прирост новых случаев отмечался в возрастной группе 8-11 лет. </w:t>
      </w:r>
      <w:r w:rsidR="007F49B3">
        <w:rPr>
          <w:rFonts w:ascii="Times New Roman" w:hAnsi="Times New Roman" w:cs="Times New Roman"/>
          <w:sz w:val="28"/>
          <w:szCs w:val="28"/>
        </w:rPr>
        <w:t xml:space="preserve">Кроме того, среди детей старше 8 лет исследователи стали наблюдать нарастание гендерных различий в развитии миопии среди школьников. Эти различия достигли максимума к 14 годам и составили порядка 10%. </w:t>
      </w:r>
      <w:r>
        <w:rPr>
          <w:rFonts w:ascii="Times New Roman" w:hAnsi="Times New Roman" w:cs="Times New Roman"/>
          <w:sz w:val="28"/>
          <w:szCs w:val="28"/>
        </w:rPr>
        <w:t xml:space="preserve">Пик распространенности высокой степени миопии пришелся на группу 10-14 летних школьников и составила 0,46%. </w:t>
      </w:r>
      <w:r w:rsidR="00A31BE8"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{"citationID":"jpTxxag6","properties":{"formattedCitation":"[127]","plainCitation":"[127]","noteIndex":0},"citationItems":[{"id":1201,"uris":["http://zotero.org/users/local/XMo5Fvid/items/9EATPKT9"],"itemData":{"id":1201,"type":"article-journal","abstract":"Importance: Given the estimates of increasing prevalence of myopia, especially in Asia, it is important to determine the current prevalence of myopia among populations of schoolchildren in Japan.\nObjective: To investigate the current prevalence rate of myopia and the association between environmental factors and myopia in Japanese schoolchildren.\nDesign, Setting, and Participants: This cross-sectional study assessed 1478 participants, including 726 elementary school students and 752 junior high school students, at 2 schools in Tokyo, Japan, who underwent eye examinations from April 1 to May 31, 2017, that included measurement of the refractive errors by autorefractometry with noncycloplegic refraction and ocular biometric factors. After excluding those who had been treated with atropine or orthokeratology (n = 11), had a history of eye disease (n = 2), had no parental consent (n = 41), and were absent (n = 8), 1416 schoolchildren were analyzed.\nMain Outcomes and Measures: The primary outcome was the prevalence of myopia and high myopia. Secondary outcomes were environmental factors that were associated with myopia.\nResults: A total of 1416 schoolchildren (mean [SD] age, 10.8 [2.7] years; 792 [55.9%] male) were studied. The prevalence rates of myopia (spherical equivalent ≤-0.5 diopters [D]) were 76.5% (95% CI, 73.4%-79.7%) among the elementary school students and 94.9% (95% CI, 93.3%-96.5%) among the junior high school students. The prevalence rates of high myopia (spherical equivalent ≤-6.0 D) were 4.0% (95% CI, 2.5%-5.4%) among the elementary school students and 11.3% (95% CI, 8.8%-13.7%) among the junior high school students. The prevalence rates of high myopia classified based on axial length of 26.0 mm or longer were 1.2% (95% CI, 0.4%-2.0%) among elementary school students and 15.2% (95% CI, 12.5%-17.8%) among junior high school students. Multiple regression analysis showed that higher-order aberrations and dry eye disease were associated with refractive error in elementary school students (spherical aberration: β = 6.152; 95% CI, 3.161-9.143; P &lt; .001; dry eye disease: β = -0.626; 95% CI, -1.189 to -0.063; P = .03) and with axial length in junior high school students (spherical-like aberration: β = 26.546; 95% CI, 18.708-34.385; P &lt; .001; dry eye disease: β = 0.354; 95% CI, 0.131-0.578; P &lt; .002).\nConclusions and Relevance: Although the use of noncycloplegic autorefraction with a cutoff of -0.50 D could lead to overestimation of results, these findings suggest that the current prevalence rates of myopia among elementary and junior high school students in Asia are high, especially if the results from these 2 schools are generalizable to all schoolchildren in Japan and Asia.","container-title":"JAMA ophthalmology","DOI":"10.1001/jamaophthalmol.2019.3103","ISSN":"2168-6173","journalAbbreviation":"JAMA Ophthalmol","language":"eng","note":"PMID: 31415060\nPMCID: PMC6696729","source":"PubMed","title":"Current Prevalence of Myopia and Association of Myopia With Environmental Factors Among Schoolchildren in Japan","author":[{"family":"Yotsukura","given":"Erisa"},{"family":"Torii","given":"Hidemasa"},{"family":"Inokuchi","given":"Mikako"},{"family":"Tokumura","given":"Mitsuaki"},{"family":"Uchino","given":"Miki"},{"family":"Nakamura","given":"Kyosei"},{"family":"Hyodo","given":"Mari"},{"family":"Mori","given":"Kiwako"},{"family":"Jiang","given":"Xiaoyan"},{"family":"Ikeda","given":"Shin-Ichi"},{"family":"Kondo","given":"Shinichiro"},{"family":"Negishi","given":"Kazuno"},{"family":"Kurihara","given":"Toshihide"},{"family":"Tsubota","given":"Kazuo"}],"issued":{"date-parts":[["2019",8,15]]}}}],"schema":"https://github.com/citation-style-language/schema/raw/master/csl-citation.json"} </w:instrText>
      </w:r>
      <w:r w:rsidR="00A31BE8"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[127]</w:t>
      </w:r>
      <w:r w:rsidR="00A31BE8"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4F1EFC9A" w14:textId="02F48A4C" w:rsidR="00405F65" w:rsidRPr="004804AA" w:rsidRDefault="003D552F"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 xml:space="preserve">В </w:t>
      </w:r>
      <w:r w:rsidR="00405F65" w:rsidRPr="004804AA">
        <w:rPr>
          <w:rFonts w:ascii="Times New Roman" w:eastAsiaTheme="minorHAnsi" w:hAnsi="Times New Roman" w:cs="Times New Roman"/>
          <w:sz w:val="28"/>
          <w:szCs w:val="28"/>
          <w:lang w:eastAsia="en-US"/>
        </w:rPr>
        <w:t>Инди</w:t>
      </w:r>
      <w:r w:rsidRPr="004804AA">
        <w:rPr>
          <w:rFonts w:ascii="Times New Roman" w:eastAsiaTheme="minorHAnsi" w:hAnsi="Times New Roman" w:cs="Times New Roman"/>
          <w:sz w:val="28"/>
          <w:szCs w:val="28"/>
          <w:lang w:eastAsia="en-US"/>
        </w:rPr>
        <w:t>и</w:t>
      </w:r>
      <w:r w:rsidR="00405F65" w:rsidRPr="004804AA">
        <w:rPr>
          <w:rFonts w:ascii="Times New Roman" w:eastAsiaTheme="minorHAnsi" w:hAnsi="Times New Roman" w:cs="Times New Roman"/>
          <w:sz w:val="28"/>
          <w:szCs w:val="28"/>
          <w:lang w:eastAsia="en-US"/>
        </w:rPr>
        <w:t xml:space="preserve"> - втор</w:t>
      </w:r>
      <w:r w:rsidRPr="004804AA">
        <w:rPr>
          <w:rFonts w:ascii="Times New Roman" w:eastAsiaTheme="minorHAnsi" w:hAnsi="Times New Roman" w:cs="Times New Roman"/>
          <w:sz w:val="28"/>
          <w:szCs w:val="28"/>
          <w:lang w:eastAsia="en-US"/>
        </w:rPr>
        <w:t>ой</w:t>
      </w:r>
      <w:r w:rsidR="00405F65" w:rsidRPr="004804AA">
        <w:rPr>
          <w:rFonts w:ascii="Times New Roman" w:eastAsiaTheme="minorHAnsi" w:hAnsi="Times New Roman" w:cs="Times New Roman"/>
          <w:sz w:val="28"/>
          <w:szCs w:val="28"/>
          <w:lang w:eastAsia="en-US"/>
        </w:rPr>
        <w:t xml:space="preserve"> по численности населения стран</w:t>
      </w:r>
      <w:r w:rsidRPr="004804AA">
        <w:rPr>
          <w:rFonts w:ascii="Times New Roman" w:eastAsiaTheme="minorHAnsi" w:hAnsi="Times New Roman" w:cs="Times New Roman"/>
          <w:sz w:val="28"/>
          <w:szCs w:val="28"/>
          <w:lang w:eastAsia="en-US"/>
        </w:rPr>
        <w:t>е</w:t>
      </w:r>
      <w:r w:rsidR="00405F65" w:rsidRPr="004804AA">
        <w:rPr>
          <w:rFonts w:ascii="Times New Roman" w:eastAsiaTheme="minorHAnsi" w:hAnsi="Times New Roman" w:cs="Times New Roman"/>
          <w:sz w:val="28"/>
          <w:szCs w:val="28"/>
          <w:lang w:eastAsia="en-US"/>
        </w:rPr>
        <w:t xml:space="preserve"> в мире, где 41% населения моложе 18 лет</w:t>
      </w:r>
      <w:r w:rsidRPr="004804AA">
        <w:rPr>
          <w:rFonts w:ascii="Times New Roman" w:eastAsiaTheme="minorHAnsi" w:hAnsi="Times New Roman" w:cs="Times New Roman"/>
          <w:sz w:val="28"/>
          <w:szCs w:val="28"/>
          <w:lang w:eastAsia="en-US"/>
        </w:rPr>
        <w:t xml:space="preserve">, </w:t>
      </w:r>
      <w:r w:rsidR="00405F65" w:rsidRPr="004804AA">
        <w:rPr>
          <w:rFonts w:ascii="Times New Roman" w:eastAsiaTheme="minorHAnsi" w:hAnsi="Times New Roman" w:cs="Times New Roman"/>
          <w:sz w:val="28"/>
          <w:szCs w:val="28"/>
          <w:lang w:eastAsia="en-US"/>
        </w:rPr>
        <w:t xml:space="preserve">распространенность </w:t>
      </w:r>
      <w:r w:rsidR="00416B62">
        <w:rPr>
          <w:rFonts w:ascii="Times New Roman" w:eastAsiaTheme="minorHAnsi" w:hAnsi="Times New Roman" w:cs="Times New Roman"/>
          <w:sz w:val="28"/>
          <w:szCs w:val="28"/>
          <w:lang w:eastAsia="en-US"/>
        </w:rPr>
        <w:t xml:space="preserve">аномалий рефракции </w:t>
      </w:r>
      <w:r w:rsidRPr="004804AA">
        <w:rPr>
          <w:rFonts w:ascii="Times New Roman" w:eastAsiaTheme="minorHAnsi" w:hAnsi="Times New Roman" w:cs="Times New Roman"/>
          <w:sz w:val="28"/>
          <w:szCs w:val="28"/>
          <w:lang w:eastAsia="en-US"/>
        </w:rPr>
        <w:t>в возрастной группе от 5 до 15 лет с</w:t>
      </w:r>
      <w:r w:rsidR="00405F65" w:rsidRPr="004804AA">
        <w:rPr>
          <w:rFonts w:ascii="Times New Roman" w:eastAsiaTheme="minorHAnsi" w:hAnsi="Times New Roman" w:cs="Times New Roman"/>
          <w:sz w:val="28"/>
          <w:szCs w:val="28"/>
          <w:lang w:eastAsia="en-US"/>
        </w:rPr>
        <w:t>остав</w:t>
      </w:r>
      <w:r w:rsidR="00416B62">
        <w:rPr>
          <w:rFonts w:ascii="Times New Roman" w:eastAsiaTheme="minorHAnsi" w:hAnsi="Times New Roman" w:cs="Times New Roman"/>
          <w:sz w:val="28"/>
          <w:szCs w:val="28"/>
          <w:lang w:eastAsia="en-US"/>
        </w:rPr>
        <w:t xml:space="preserve">ила 12%. Наиболее частым видом была </w:t>
      </w:r>
      <w:r w:rsidR="00416B62">
        <w:rPr>
          <w:rFonts w:ascii="Times New Roman" w:eastAsiaTheme="minorHAnsi" w:hAnsi="Times New Roman" w:cs="Times New Roman"/>
          <w:sz w:val="28"/>
          <w:szCs w:val="28"/>
          <w:lang w:eastAsia="en-US"/>
        </w:rPr>
        <w:lastRenderedPageBreak/>
        <w:t xml:space="preserve">миопия – около 8%, астигматизм 3%, гиперметропия 1%. </w:t>
      </w:r>
      <w:r w:rsidR="00405F65"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{"citationID":"jOuwv2Aq","properties":{"formattedCitation":"[128]","plainCitation":"[128]","noteIndex":0},"citationItems":[{"id":1239,"uris":["http://zotero.org/users/local/XMo5Fvid/items/KTRD7PKI"],"itemData":{"id":1239,"type":"article-journal","abstract":"BACKGROUND: India is the second most populated country in the world with 41% of the population (492 million) under 18 years of age. While numerous studies have shown an increasing prevalence of myopia worldwide, there continues to be uncertainty about the magnitude of myopia in Indian school going population.\nDESIGN: Systematic review and meta-analysis.\nMETHODS: We systematically identified published literature of last four decades from 1980 to March 2020 and assessed them for methodological quality. Data were gathered into 5-year age groups from 5-15, in urban or rural populations, and standardized to definition of myopia as refractive error ≥ -0.50 dioptre. Random effects meta-analysis was done.\nRESULTS: We included data from 59 quality assessed studies, covering nearly 1,66,000 urban and 1,20,000 rural children. The overall crude prevalence of myopia over last four decades is 7.5% (95% CI, 6.5-8.5%) in 5-15-year age group. The prevalence of myopia is 8.5% (95% CI, 7.1-9.9%) in urban and 6.1% (95% CI, 4.5-7.7%) in rural children, with highest prevalence in urban 11-15-year age group [15.0% in last decade]. A significant increment in prevalence is noted in the last decade in rural children from 4.6% to 6.8%, reflecting changing rural environment.\nCONCLUSION: Myopia is an emerging public health problem in both urban and rural school going adolescents in India requiring urgent efforts.","container-title":"PloS One","DOI":"10.1371/journal.pone.0240750","ISSN":"1932-6203","issue":"10","journalAbbreviation":"PLoS One","language":"eng","note":"PMID: 33075102\nPMCID: PMC7571694","page":"e0240750","source":"PubMed","title":"Prevalence of myopia in Indian school children: Meta-analysis of last four decades","title-short":"Prevalence of myopia in Indian school children","volume":"15","author":[{"family":"Agarwal","given":"Divya"},{"family":"Saxena","given":"Rohit"},{"family":"Gupta","given":"Vivek"},{"family":"Mani","given":"Kalaivani"},{"family":"Dhiman","given":"Rebika"},{"family":"Bhardawaj","given":"Amit"},{"family":"Vashist","given":"Praveen"}],"issued":{"date-parts":[["2020"]]}}}],"schema":"https://github.com/citation-style-language/schema/raw/master/csl-citation.json"} </w:instrText>
      </w:r>
      <w:r w:rsidR="00405F65"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[128]</w:t>
      </w:r>
      <w:r w:rsidR="00405F65" w:rsidRPr="004804AA">
        <w:rPr>
          <w:rFonts w:ascii="Times New Roman" w:eastAsiaTheme="minorHAnsi" w:hAnsi="Times New Roman" w:cs="Times New Roman"/>
          <w:sz w:val="28"/>
          <w:szCs w:val="28"/>
          <w:lang w:eastAsia="en-US"/>
        </w:rPr>
        <w:fldChar w:fldCharType="end"/>
      </w:r>
      <w:r w:rsidR="00891764">
        <w:rPr>
          <w:rFonts w:ascii="Times New Roman" w:eastAsiaTheme="minorHAnsi" w:hAnsi="Times New Roman" w:cs="Times New Roman"/>
          <w:sz w:val="28"/>
          <w:szCs w:val="28"/>
          <w:lang w:eastAsia="en-US"/>
        </w:rPr>
        <w:t>.</w:t>
      </w:r>
      <w:r w:rsidR="00187874" w:rsidRPr="004804AA">
        <w:rPr>
          <w:rFonts w:ascii="Times New Roman" w:eastAsiaTheme="minorHAnsi" w:hAnsi="Times New Roman" w:cs="Times New Roman"/>
          <w:sz w:val="28"/>
          <w:szCs w:val="28"/>
          <w:lang w:eastAsia="en-US"/>
        </w:rPr>
        <w:t xml:space="preserve"> </w:t>
      </w:r>
      <w:r w:rsidR="000A3C78" w:rsidRPr="004804AA">
        <w:rPr>
          <w:rFonts w:ascii="Times New Roman" w:eastAsiaTheme="minorHAnsi" w:hAnsi="Times New Roman" w:cs="Times New Roman"/>
          <w:sz w:val="28"/>
          <w:szCs w:val="28"/>
          <w:lang w:eastAsia="en-US"/>
        </w:rPr>
        <w:t xml:space="preserve">Обследование школьников </w:t>
      </w:r>
      <w:r w:rsidR="00405F65" w:rsidRPr="004804AA">
        <w:rPr>
          <w:rFonts w:ascii="Times New Roman" w:eastAsiaTheme="minorHAnsi" w:hAnsi="Times New Roman" w:cs="Times New Roman"/>
          <w:sz w:val="28"/>
          <w:szCs w:val="28"/>
          <w:lang w:eastAsia="en-US"/>
        </w:rPr>
        <w:t>Бутан</w:t>
      </w:r>
      <w:r w:rsidR="000A3C78" w:rsidRPr="004804AA">
        <w:rPr>
          <w:rFonts w:ascii="Times New Roman" w:eastAsiaTheme="minorHAnsi" w:hAnsi="Times New Roman" w:cs="Times New Roman"/>
          <w:sz w:val="28"/>
          <w:szCs w:val="28"/>
          <w:lang w:eastAsia="en-US"/>
        </w:rPr>
        <w:t>а</w:t>
      </w:r>
      <w:r w:rsidR="00405F65" w:rsidRPr="004804AA">
        <w:rPr>
          <w:rFonts w:ascii="Times New Roman" w:eastAsiaTheme="minorHAnsi" w:hAnsi="Times New Roman" w:cs="Times New Roman"/>
          <w:sz w:val="28"/>
          <w:szCs w:val="28"/>
          <w:lang w:eastAsia="en-US"/>
        </w:rPr>
        <w:t xml:space="preserve"> </w:t>
      </w:r>
      <w:r w:rsidR="000A3C78" w:rsidRPr="004804AA">
        <w:rPr>
          <w:rFonts w:ascii="Times New Roman" w:eastAsiaTheme="minorHAnsi" w:hAnsi="Times New Roman" w:cs="Times New Roman"/>
          <w:sz w:val="28"/>
          <w:szCs w:val="28"/>
          <w:lang w:eastAsia="en-US"/>
        </w:rPr>
        <w:t xml:space="preserve">в </w:t>
      </w:r>
      <w:r w:rsidR="00405F65" w:rsidRPr="004804AA">
        <w:rPr>
          <w:rFonts w:ascii="Times New Roman" w:eastAsiaTheme="minorHAnsi" w:hAnsi="Times New Roman" w:cs="Times New Roman"/>
          <w:sz w:val="28"/>
          <w:szCs w:val="28"/>
          <w:lang w:eastAsia="en-US"/>
        </w:rPr>
        <w:t>возраст</w:t>
      </w:r>
      <w:r w:rsidR="000A3C78" w:rsidRPr="004804AA">
        <w:rPr>
          <w:rFonts w:ascii="Times New Roman" w:eastAsiaTheme="minorHAnsi" w:hAnsi="Times New Roman" w:cs="Times New Roman"/>
          <w:sz w:val="28"/>
          <w:szCs w:val="28"/>
          <w:lang w:eastAsia="en-US"/>
        </w:rPr>
        <w:t>е</w:t>
      </w:r>
      <w:r w:rsidR="00405F65" w:rsidRPr="004804AA">
        <w:rPr>
          <w:rFonts w:ascii="Times New Roman" w:eastAsiaTheme="minorHAnsi" w:hAnsi="Times New Roman" w:cs="Times New Roman"/>
          <w:sz w:val="28"/>
          <w:szCs w:val="28"/>
          <w:lang w:eastAsia="en-US"/>
        </w:rPr>
        <w:t xml:space="preserve"> от 10 до 15 лет </w:t>
      </w:r>
      <w:r w:rsidR="000A3C78" w:rsidRPr="004804AA">
        <w:rPr>
          <w:rFonts w:ascii="Times New Roman" w:eastAsiaTheme="minorHAnsi" w:hAnsi="Times New Roman" w:cs="Times New Roman"/>
          <w:sz w:val="28"/>
          <w:szCs w:val="28"/>
          <w:lang w:eastAsia="en-US"/>
        </w:rPr>
        <w:t xml:space="preserve">установило </w:t>
      </w:r>
      <w:r w:rsidR="00405F65" w:rsidRPr="004804AA">
        <w:rPr>
          <w:rFonts w:ascii="Times New Roman" w:eastAsiaTheme="minorHAnsi" w:hAnsi="Times New Roman" w:cs="Times New Roman"/>
          <w:sz w:val="28"/>
          <w:szCs w:val="28"/>
          <w:lang w:eastAsia="en-US"/>
        </w:rPr>
        <w:t>распространенность нарушени</w:t>
      </w:r>
      <w:r w:rsidR="000A3C78" w:rsidRPr="004804AA">
        <w:rPr>
          <w:rFonts w:ascii="Times New Roman" w:eastAsiaTheme="minorHAnsi" w:hAnsi="Times New Roman" w:cs="Times New Roman"/>
          <w:sz w:val="28"/>
          <w:szCs w:val="28"/>
          <w:lang w:eastAsia="en-US"/>
        </w:rPr>
        <w:t xml:space="preserve">й рефракции на уровне </w:t>
      </w:r>
      <w:r w:rsidR="00405F65" w:rsidRPr="004804AA">
        <w:rPr>
          <w:rFonts w:ascii="Times New Roman" w:eastAsiaTheme="minorHAnsi" w:hAnsi="Times New Roman" w:cs="Times New Roman"/>
          <w:sz w:val="28"/>
          <w:szCs w:val="28"/>
          <w:lang w:eastAsia="en-US"/>
        </w:rPr>
        <w:t>1</w:t>
      </w:r>
      <w:r w:rsidR="000A3C78" w:rsidRPr="004804AA">
        <w:rPr>
          <w:rFonts w:ascii="Times New Roman" w:eastAsiaTheme="minorHAnsi" w:hAnsi="Times New Roman" w:cs="Times New Roman"/>
          <w:sz w:val="28"/>
          <w:szCs w:val="28"/>
          <w:lang w:eastAsia="en-US"/>
        </w:rPr>
        <w:t>5</w:t>
      </w:r>
      <w:r w:rsidR="00405F65" w:rsidRPr="004804AA">
        <w:rPr>
          <w:rFonts w:ascii="Times New Roman" w:eastAsiaTheme="minorHAnsi" w:hAnsi="Times New Roman" w:cs="Times New Roman"/>
          <w:sz w:val="28"/>
          <w:szCs w:val="28"/>
          <w:lang w:eastAsia="en-US"/>
        </w:rPr>
        <w:t xml:space="preserve">,9%, </w:t>
      </w:r>
      <w:r w:rsidR="000A3C78" w:rsidRPr="004804AA">
        <w:rPr>
          <w:rFonts w:ascii="Times New Roman" w:eastAsiaTheme="minorHAnsi" w:hAnsi="Times New Roman" w:cs="Times New Roman"/>
          <w:sz w:val="28"/>
          <w:szCs w:val="28"/>
          <w:lang w:eastAsia="en-US"/>
        </w:rPr>
        <w:t>что являлось основной причиной нарушения зрения в этой когорте детей. П</w:t>
      </w:r>
      <w:r w:rsidR="00405F65" w:rsidRPr="004804AA">
        <w:rPr>
          <w:rFonts w:ascii="Times New Roman" w:eastAsiaTheme="minorHAnsi" w:hAnsi="Times New Roman" w:cs="Times New Roman"/>
          <w:sz w:val="28"/>
          <w:szCs w:val="28"/>
          <w:lang w:eastAsia="en-US"/>
        </w:rPr>
        <w:t>ри этом распространенность миопии составила 6,64%, увеличившись с 2,78% в возрасте 10 лет до 10,8% в возрасте 15 лет. Астигматизм</w:t>
      </w:r>
      <w:r w:rsidR="000A3C78" w:rsidRPr="004804AA">
        <w:rPr>
          <w:rFonts w:ascii="Times New Roman" w:eastAsiaTheme="minorHAnsi" w:hAnsi="Times New Roman" w:cs="Times New Roman"/>
          <w:sz w:val="28"/>
          <w:szCs w:val="28"/>
          <w:lang w:eastAsia="en-US"/>
        </w:rPr>
        <w:t xml:space="preserve"> </w:t>
      </w:r>
      <w:r w:rsidR="00405F65" w:rsidRPr="004804AA">
        <w:rPr>
          <w:rFonts w:ascii="Times New Roman" w:eastAsiaTheme="minorHAnsi" w:hAnsi="Times New Roman" w:cs="Times New Roman"/>
          <w:sz w:val="28"/>
          <w:szCs w:val="28"/>
          <w:lang w:eastAsia="en-US"/>
        </w:rPr>
        <w:t>присутствовал у 9,75% детей</w:t>
      </w:r>
      <w:r w:rsidR="00891764">
        <w:rPr>
          <w:rFonts w:ascii="Times New Roman" w:eastAsiaTheme="minorHAnsi" w:hAnsi="Times New Roman" w:cs="Times New Roman"/>
          <w:sz w:val="28"/>
          <w:szCs w:val="28"/>
          <w:lang w:eastAsia="en-US"/>
        </w:rPr>
        <w:t xml:space="preserve"> </w:t>
      </w:r>
      <w:r w:rsidR="00405F65"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{"citationID":"Rd5ryDCt","properties":{"formattedCitation":"[129]","plainCitation":"[129]","noteIndex":0},"citationItems":[{"id":1248,"uris":["http://zotero.org/users/local/XMo5Fvid/items/GWNCQ3YJ"],"itemData":{"id":1248,"type":"article-journal","abstract":"PURPOSE: To estimate the nationwide prevalence of visual impairment and associated refractive error in school children in Bhutan.\nMETHODS: The sample of this prospective cross-sectional national survey comprised of randomly selected classes in levels IV-IX (age 10 to 15 years) from schools throughout Bhutan. The examination included measurement of visual acuity (VA), evaluation of ocular motility, refraction under cycloplegia, examination of the external eye, media and fundus. The principal cause of impairment was determined for eyes with uncorrected VA ≤6/12. The main outcome measures were distance VA and cycloplegic refractive error.\nRESULTS: With a sampling frame of 1967 class-based clusters from 190 schools, 160 classes in 103 schools were randomly selected; 4985 (98.5%) of 5060 enumerated children were examined. The prevalence of uncorrected, presenting, and best-corrected visual impairment (VA≤6/12) in the better eye was 14.5%, 12.8%, and 0.34%, respectively. Refractive error was the principal cause (94.2%) of impaired vision and 88% of children who could achieve VA ≥6/9 with best correction were without necessary spectacles. The prevalence of myopia (≤ -0.5 D) was 6.64% and was associated with female gender (P = 0.004), urban schooling (P = 0.002), and greater parental education (P&lt;0.001). The prevalence of hyperopia (≥ +2.0 D) was 2.17% and was significantly associated with lower class-level (P = 0.033), and female gender (P = 0.025). The overall prevalence of astigmatism (≥ 0.75 D) was 9.75%.\nCONCLUSIONS: Reduced vision because of uncorrected refractive error is a public health problem among school-age children in Bhutan. Effective school eye health strategies are needed to eliminate this easily treatable cause of visual impairment.","container-title":"PloS One","DOI":"10.1371/journal.pone.0239117","ISSN":"1932-6203","issue":"9","journalAbbreviation":"PLoS One","language":"eng","note":"PMID: 32925975\nPMCID: PMC7489552","page":"e0239117","source":"PubMed","title":"Visual impairment and refractive error in school children in Bhutan: The findings from the Bhutan School Sight Survey (BSSS 2019)","title-short":"Visual impairment and refractive error in school children in Bhutan","volume":"15","author":[{"family":"Sharma","given":"Indra Prasad"},{"family":"Lepcha","given":"Nor Tshering"},{"family":"Lhamo","given":"Tshering"},{"family":"Ellwein","given":"Leon B."},{"family":"Pokharel","given":"Gopal Prasad"},{"family":"Das","given":"Taraprasad"},{"family":"Sapkota","given":"Yuddha Dhoj"},{"family":"Dorji","given":"Tandin"},{"family":"Peldon","given":"Sonam"}],"issued":{"date-parts":[["2020"]]}}}],"schema":"https://github.com/citation-style-language/schema/raw/master/csl-citation.json"} </w:instrText>
      </w:r>
      <w:r w:rsidR="00405F65"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[129]</w:t>
      </w:r>
      <w:r w:rsidR="00405F65" w:rsidRPr="004804AA">
        <w:rPr>
          <w:rFonts w:ascii="Times New Roman" w:eastAsiaTheme="minorHAnsi" w:hAnsi="Times New Roman" w:cs="Times New Roman"/>
          <w:sz w:val="28"/>
          <w:szCs w:val="28"/>
          <w:lang w:eastAsia="en-US"/>
        </w:rPr>
        <w:fldChar w:fldCharType="end"/>
      </w:r>
      <w:r w:rsidR="00891764">
        <w:rPr>
          <w:rFonts w:ascii="Times New Roman" w:eastAsiaTheme="minorHAnsi" w:hAnsi="Times New Roman" w:cs="Times New Roman"/>
          <w:sz w:val="28"/>
          <w:szCs w:val="28"/>
          <w:lang w:eastAsia="en-US"/>
        </w:rPr>
        <w:t>.</w:t>
      </w:r>
    </w:p>
    <w:p w14:paraId="21F65F11" w14:textId="0B283FE0" w:rsidR="00DA298B" w:rsidRPr="004804AA" w:rsidRDefault="006C0A33" w:rsidP="00F51445">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В России в структуре заболеваний глаза и придаточного аппарата среди детского населения, также лидирует миопия - 34% (2,1 млн случаев, 4501,2 на 100 тыс. детского населения)</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{"citationID":"R8ImXo8z","properties":{"formattedCitation":"[130]","plainCitation":"[130]","noteIndex":0},"citationItems":[{"id":958,"uris":["http://zotero.org/users/local/XMo5Fvid/items/ULL8CQ99"],"itemData":{"id":958,"type":"article-journal","container-title":"Вестник офтальмологии","issue":"6","page":"8-12","title":"Организация офтальмологической помощи населению Российской Федерации.","volume":"130","author":[{"literal":"Нероев, В. В."}],"issued":{"date-parts":[["2014"]]}}}],"schema":"https://github.com/citation-style-language/schema/raw/master/csl-citation.json"}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[130]</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Pr="004804AA">
        <w:rPr>
          <w:rFonts w:ascii="Times New Roman" w:hAnsi="Times New Roman" w:cs="Times New Roman"/>
          <w:sz w:val="28"/>
          <w:szCs w:val="28"/>
        </w:rPr>
        <w:t xml:space="preserve"> По данным </w:t>
      </w:r>
      <w:r w:rsidR="00660EFC" w:rsidRPr="004804AA">
        <w:rPr>
          <w:rFonts w:ascii="Times New Roman" w:hAnsi="Times New Roman" w:cs="Times New Roman"/>
          <w:sz w:val="28"/>
          <w:szCs w:val="28"/>
        </w:rPr>
        <w:t>С. И.</w:t>
      </w:r>
      <w:r w:rsidRPr="004804AA">
        <w:rPr>
          <w:rFonts w:ascii="Times New Roman" w:hAnsi="Times New Roman" w:cs="Times New Roman"/>
          <w:sz w:val="28"/>
          <w:szCs w:val="28"/>
        </w:rPr>
        <w:t xml:space="preserve"> Шиллер (2012) за десятилетний период (1999-2009</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t>гг.) произошел значительный рост показателей первичной заболеваемости и распространенности болезней глаз: с 49,0 до 175,6 (в 3,58 раз) на 1000 детского городского населения; с 18,7 до 64,7 (в 3,46 раза) и на 1000 детского сельского населения. Рост распространенности миопии среди школьников с первых по одиннадцатые классы составляет от 1,7 до 5,2 раз</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{"citationID":"5VdKsJY8","properties":{"formattedCitation":"[131]","plainCitation":"[131]","noteIndex":0},"citationItems":[{"id":957,"uris":["http://zotero.org/users/local/XMo5Fvid/items/SAL5S6Q9"],"itemData":{"id":957,"type":"thesis","event-place":"Казань, РФ","genre":"Дисс.","publisher":"Казанский государственный медицинский университет","publisher-place":"Казань, РФ","title":"Медико-социальные аспекты профилактики миопии среди школьников, обучающихся по инновационным программам","author":[{"literal":"Шиллер, С. И."}],"issued":{"date-parts":[["2012"]]}}}],"schema":"https://github.com/citation-style-language/schema/raw/master/csl-citation.json"}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[131]</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F51445">
        <w:rPr>
          <w:rFonts w:ascii="Times New Roman" w:hAnsi="Times New Roman" w:cs="Times New Roman"/>
          <w:sz w:val="28"/>
          <w:szCs w:val="28"/>
        </w:rPr>
        <w:t xml:space="preserve"> </w:t>
      </w:r>
      <w:r w:rsidRPr="004804AA">
        <w:rPr>
          <w:rFonts w:ascii="Times New Roman" w:hAnsi="Times New Roman" w:cs="Times New Roman"/>
          <w:sz w:val="28"/>
          <w:szCs w:val="28"/>
        </w:rPr>
        <w:t>По данным Е.С. Либман (2005) высокая осложненная близорукость занимает 1 - 2 ранговое место в структуре инвалидности по зрению в разных регионах страны и составляет 18 - 26% в структуре глазной патологии</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{"citationID":"EqC6FELT","properties":{"formattedCitation":"[132]","plainCitation":"[132]","noteIndex":0},"citationItems":[{"id":962,"uris":["http://zotero.org/users/local/XMo5Fvid/items/QDGM629S"],"itemData":{"id":962,"type":"article-journal","container-title":"Съезд офтальмологов России","issue":"8","page":"78-79","title":"Слепота и инвалидность по зрению в населении России.","author":[{"literal":"Либман, Е. С."},{"literal":"Е. В. Шахова"}],"issued":{"date-parts":[["2005"]]}}}],"schema":"https://github.com/citation-style-language/schema/raw/master/csl-citation.json"}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[132]</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F51445">
        <w:rPr>
          <w:rFonts w:ascii="Times New Roman" w:hAnsi="Times New Roman" w:cs="Times New Roman"/>
          <w:sz w:val="28"/>
          <w:szCs w:val="28"/>
        </w:rPr>
        <w:t xml:space="preserve"> </w:t>
      </w:r>
      <w:r w:rsidR="00BC49B8" w:rsidRPr="004804AA">
        <w:rPr>
          <w:rFonts w:ascii="Times New Roman" w:hAnsi="Times New Roman" w:cs="Times New Roman"/>
          <w:sz w:val="28"/>
          <w:szCs w:val="28"/>
        </w:rPr>
        <w:t xml:space="preserve">Согласно статистическим данным в некоторых регионах России уже у 2,4% детей диагностируют слабую степень миопии при поступлении в первый класс, а </w:t>
      </w:r>
      <w:r w:rsidR="00DA298B" w:rsidRPr="004804AA">
        <w:rPr>
          <w:rFonts w:ascii="Times New Roman" w:hAnsi="Times New Roman" w:cs="Times New Roman"/>
          <w:sz w:val="28"/>
          <w:szCs w:val="28"/>
        </w:rPr>
        <w:t>среди выпускников школ частота миопии достигла 26%, гимназий и лицеев — 50%, при этом на долю миопии высокой степени приходилось 10–12% всех случаев миопии. Предполагается, что реальная распространенность миопии среди школьников России может оказаться несколько выше этих значений</w:t>
      </w:r>
      <w:r w:rsidR="00891764">
        <w:rPr>
          <w:rFonts w:ascii="Times New Roman" w:hAnsi="Times New Roman" w:cs="Times New Roman"/>
          <w:sz w:val="28"/>
          <w:szCs w:val="28"/>
        </w:rPr>
        <w:t xml:space="preserve"> </w:t>
      </w:r>
      <w:r w:rsidR="00893414"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{"citationID":"IMO3Qtu3","properties":{"formattedCitation":"[133]","plainCitation":"[133]","noteIndex":0},"citationItems":[{"id":1373,"uris":["http://zotero.org/users/local/XMo5Fvid/items/KG6QLIK7"],"itemData":{"id":1373,"type":"article-journal","abstract":"В 2000 году среди выпускников школ частота миопии достигла 26 %, гимназий и лицеев — 50 %, при этом на долю миопии высокой степени приходилось 10–12 % всех случаев миопии. Предполагается, что реальная распространенность миопии среди школьников России может оказаться несколько выше этих значений. Проведено пилотное исследование, в котором в поперечном срезе оценивали распространенность миопии среди учащихся 1, 5 и 11-х классов, обучающихся в «обычных» общеобразовательных школах и гимназиях либо лицеях Москвы, Санкт-Петербурга, Ижевска и Иванова. Объективно в естественных условиях исследовали рефракцию у 3659 школьников. В течение всего периода обучения самым распространенным видом рефракции оставалась эмметропия. Распространенность близоруких среди учеников первого класса в среднем составила 2,4 %, среди учеников пятых классов — 19,7 %, среди учеников одиннадцатых классов — 38,6 %. В 5-х и 11-х классах близорукость встречалась чаще других рефракционных нарушений. У детей, обучающихся в гимназиях и лицеях, распространенность миопии была достоверно выше во всех возрастных группах (p &lt; 0,01). Уже в первом классе гимназий и лицеев близоруких детей было 7,5 %, в то время как в «обычных» школах лишь 1,4 %. В одиннадцатых классах гимназий и лицеев близоруких детей было 50,7 %, в «обычных» школах — 30,9 %. Это подтверждает влияние образования как аддитивного фактора на распространенность близорукости. Исследование распространенности миопии должно быть продолжено в разных регионах и разных муниципальных образованиях с целью последующей разработки рациональных программ профилактики развития и прогрессирования близорукости в школе.","container-title":"Офтальмология","DOI":"10.18008/1816-5095-2018-3-348-353","ISSN":"2500-0845","issue":"3","language":"ru","license":"Авторы,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3","page":"348-353","source":"www.ophthalmojournal.com","title":"Распространенность миопии у школьников некоторых регионов России","volume":"15","author":[{"family":"Проскурина","given":"О. В."},{"family":"Маркова","given":"Е. Ю."},{"family":"Бржеский","given":"В. В."},{"family":"Ефимова","given":"Е. Л."},{"family":"Ефимова","given":"М. Н."},{"family":"Хватова","given":"Н. В."},{"family":"Слышалова","given":"Н. Н."},{"family":"Егорова","given":"А. В."}],"issued":{"date-parts":[["2018",10,5]]}}}],"schema":"https://github.com/citation-style-language/schema/raw/master/csl-citation.json"} </w:instrText>
      </w:r>
      <w:r w:rsidR="00893414"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[133]</w:t>
      </w:r>
      <w:r w:rsidR="00893414"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00DA298B" w:rsidRPr="004804AA">
        <w:rPr>
          <w:rFonts w:ascii="Times New Roman" w:hAnsi="Times New Roman" w:cs="Times New Roman"/>
          <w:sz w:val="28"/>
          <w:szCs w:val="28"/>
        </w:rPr>
        <w:t xml:space="preserve"> </w:t>
      </w:r>
    </w:p>
    <w:p w14:paraId="01250AFD" w14:textId="0DEE0CB2" w:rsidR="006C0A33" w:rsidRPr="004804AA" w:rsidRDefault="006C0A3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Проведенные в последние десятилетия в Казахстане работы по выявлению</w:t>
      </w:r>
      <w:r w:rsidR="00820BF4">
        <w:rPr>
          <w:rFonts w:ascii="Times New Roman" w:hAnsi="Times New Roman" w:cs="Times New Roman"/>
          <w:sz w:val="28"/>
          <w:szCs w:val="28"/>
        </w:rPr>
        <w:t xml:space="preserve"> </w:t>
      </w:r>
      <w:r w:rsidRPr="004804AA">
        <w:rPr>
          <w:rFonts w:ascii="Times New Roman" w:hAnsi="Times New Roman" w:cs="Times New Roman"/>
          <w:sz w:val="28"/>
          <w:szCs w:val="28"/>
        </w:rPr>
        <w:t>снижения зрения у школьников показали, что доля детей со сниженным зрением занимала значительное место в структуре общей заболеваемости. Проведенные профилактические медосмотры в рамках «Года здоровья» в 2002 года показали, что из обследованных 1078421 школьник</w:t>
      </w:r>
      <w:r w:rsidR="00820BF4">
        <w:rPr>
          <w:rFonts w:ascii="Times New Roman" w:hAnsi="Times New Roman" w:cs="Times New Roman"/>
          <w:sz w:val="28"/>
          <w:szCs w:val="28"/>
        </w:rPr>
        <w:t>а</w:t>
      </w:r>
      <w:r w:rsidRPr="004804AA">
        <w:rPr>
          <w:rFonts w:ascii="Times New Roman" w:hAnsi="Times New Roman" w:cs="Times New Roman"/>
          <w:sz w:val="28"/>
          <w:szCs w:val="28"/>
        </w:rPr>
        <w:t xml:space="preserve"> 80000 детей были со сниженным зрением</w:t>
      </w:r>
      <w:r w:rsidR="00820BF4">
        <w:rPr>
          <w:rFonts w:ascii="Times New Roman" w:hAnsi="Times New Roman" w:cs="Times New Roman"/>
          <w:sz w:val="28"/>
          <w:szCs w:val="28"/>
        </w:rPr>
        <w:t xml:space="preserve"> (7,4%)</w:t>
      </w:r>
      <w:r w:rsidRPr="004804AA">
        <w:rPr>
          <w:rFonts w:ascii="Times New Roman" w:hAnsi="Times New Roman" w:cs="Times New Roman"/>
          <w:sz w:val="28"/>
          <w:szCs w:val="28"/>
        </w:rPr>
        <w:t xml:space="preserve">. </w:t>
      </w:r>
      <w:r w:rsidR="00820BF4">
        <w:rPr>
          <w:rFonts w:ascii="Times New Roman" w:hAnsi="Times New Roman" w:cs="Times New Roman"/>
          <w:sz w:val="28"/>
          <w:szCs w:val="28"/>
        </w:rPr>
        <w:t>В 2006 году при</w:t>
      </w:r>
      <w:r w:rsidRPr="004804AA">
        <w:rPr>
          <w:rFonts w:ascii="Times New Roman" w:hAnsi="Times New Roman" w:cs="Times New Roman"/>
          <w:sz w:val="28"/>
          <w:szCs w:val="28"/>
        </w:rPr>
        <w:t xml:space="preserve"> обследован</w:t>
      </w:r>
      <w:r w:rsidR="00820BF4">
        <w:rPr>
          <w:rFonts w:ascii="Times New Roman" w:hAnsi="Times New Roman" w:cs="Times New Roman"/>
          <w:sz w:val="28"/>
          <w:szCs w:val="28"/>
        </w:rPr>
        <w:t>ии</w:t>
      </w:r>
      <w:r w:rsidRPr="004804AA">
        <w:rPr>
          <w:rFonts w:ascii="Times New Roman" w:hAnsi="Times New Roman" w:cs="Times New Roman"/>
          <w:sz w:val="28"/>
          <w:szCs w:val="28"/>
        </w:rPr>
        <w:t xml:space="preserve"> 12884 школьников Алматинской области сниженное зрение выявлено в 13,9 % случаев. В 39% причиной снижения зрения была миопия</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{"citationID":"y5obClX9","properties":{"formattedCitation":"[48]","plainCitation":"[48]","noteIndex":0},"citationItems":[{"id":961,"uris":["http://zotero.org/users/local/XMo5Fvid/items/Z8ZLEEYH"],"itemData":{"id":961,"type":"article-journal","container-title":"Материалы 5-й межд. конференции","page":"19-22","title":"Причины снижения зрения у детей 12 лет по данным республиканского декадника","author":[{"family":"Аубакирова","given":"АЖ"},{"family":"Кульжанов","given":"МК"},{"family":"Токсанбаева","given":"ГК"},{"family":"Джанабаев","given":"ЧД"}],"issued":{"date-parts":[["2006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[48]</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Pr="004804AA">
        <w:rPr>
          <w:rFonts w:ascii="Times New Roman" w:hAnsi="Times New Roman" w:cs="Times New Roman"/>
          <w:sz w:val="28"/>
          <w:szCs w:val="28"/>
        </w:rPr>
        <w:t xml:space="preserve"> </w:t>
      </w:r>
    </w:p>
    <w:p w14:paraId="5CA0FEF3" w14:textId="37A5ED16" w:rsidR="002A3113" w:rsidRPr="004804AA" w:rsidRDefault="006C0A3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В соответствии с официальными статистическими данным</w:t>
      </w:r>
      <w:r w:rsidR="00E96706">
        <w:rPr>
          <w:rFonts w:ascii="Times New Roman" w:hAnsi="Times New Roman" w:cs="Times New Roman"/>
          <w:sz w:val="28"/>
          <w:szCs w:val="28"/>
        </w:rPr>
        <w:t>и</w:t>
      </w:r>
      <w:r w:rsidRPr="004804AA">
        <w:rPr>
          <w:rFonts w:ascii="Times New Roman" w:hAnsi="Times New Roman" w:cs="Times New Roman"/>
          <w:sz w:val="28"/>
          <w:szCs w:val="28"/>
        </w:rPr>
        <w:t xml:space="preserve">, </w:t>
      </w:r>
      <w:r w:rsidR="00BC49B8" w:rsidRPr="004804AA">
        <w:rPr>
          <w:rFonts w:ascii="Times New Roman" w:hAnsi="Times New Roman" w:cs="Times New Roman"/>
          <w:sz w:val="28"/>
          <w:szCs w:val="28"/>
        </w:rPr>
        <w:t xml:space="preserve">уровень </w:t>
      </w:r>
      <w:r w:rsidRPr="004804AA">
        <w:rPr>
          <w:rFonts w:ascii="Times New Roman" w:hAnsi="Times New Roman" w:cs="Times New Roman"/>
          <w:sz w:val="28"/>
          <w:szCs w:val="28"/>
        </w:rPr>
        <w:t>близорукост</w:t>
      </w:r>
      <w:r w:rsidR="00BC49B8" w:rsidRPr="004804AA">
        <w:rPr>
          <w:rFonts w:ascii="Times New Roman" w:hAnsi="Times New Roman" w:cs="Times New Roman"/>
          <w:sz w:val="28"/>
          <w:szCs w:val="28"/>
        </w:rPr>
        <w:t>и в Республике</w:t>
      </w:r>
      <w:r w:rsidRPr="004804AA">
        <w:rPr>
          <w:rFonts w:ascii="Times New Roman" w:hAnsi="Times New Roman" w:cs="Times New Roman"/>
          <w:sz w:val="28"/>
          <w:szCs w:val="28"/>
        </w:rPr>
        <w:t xml:space="preserve"> составляет </w:t>
      </w:r>
      <w:r w:rsidR="00636689" w:rsidRPr="004804AA">
        <w:rPr>
          <w:rFonts w:ascii="Times New Roman" w:hAnsi="Times New Roman" w:cs="Times New Roman"/>
          <w:sz w:val="28"/>
          <w:szCs w:val="28"/>
        </w:rPr>
        <w:t>20–25</w:t>
      </w:r>
      <w:r w:rsidRPr="004804AA">
        <w:rPr>
          <w:rFonts w:ascii="Times New Roman" w:hAnsi="Times New Roman" w:cs="Times New Roman"/>
          <w:sz w:val="28"/>
          <w:szCs w:val="28"/>
        </w:rPr>
        <w:t xml:space="preserve">% в структуре всех глазных болезней, миопией страдает каждый 10-й ребенок, каждый 5-й подросток, </w:t>
      </w:r>
      <w:r w:rsidR="00E96706">
        <w:rPr>
          <w:rFonts w:ascii="Times New Roman" w:hAnsi="Times New Roman" w:cs="Times New Roman"/>
          <w:sz w:val="28"/>
          <w:szCs w:val="28"/>
        </w:rPr>
        <w:t>но</w:t>
      </w:r>
      <w:r w:rsidRPr="004804AA">
        <w:rPr>
          <w:rFonts w:ascii="Times New Roman" w:hAnsi="Times New Roman" w:cs="Times New Roman"/>
          <w:sz w:val="28"/>
          <w:szCs w:val="28"/>
        </w:rPr>
        <w:t xml:space="preserve"> по данным активных медицинских осмотров распространенность миопии в 3,5 раза </w:t>
      </w:r>
      <w:r w:rsidR="00E96706">
        <w:rPr>
          <w:rFonts w:ascii="Times New Roman" w:hAnsi="Times New Roman" w:cs="Times New Roman"/>
          <w:sz w:val="28"/>
          <w:szCs w:val="28"/>
        </w:rPr>
        <w:t>выше</w:t>
      </w:r>
      <w:r w:rsidRPr="004804AA">
        <w:rPr>
          <w:rFonts w:ascii="Times New Roman" w:hAnsi="Times New Roman" w:cs="Times New Roman"/>
          <w:sz w:val="28"/>
          <w:szCs w:val="28"/>
        </w:rPr>
        <w:t xml:space="preserve"> официально зарегистрированного количеств</w:t>
      </w:r>
      <w:r w:rsidR="00E96706">
        <w:rPr>
          <w:rFonts w:ascii="Times New Roman" w:hAnsi="Times New Roman" w:cs="Times New Roman"/>
          <w:sz w:val="28"/>
          <w:szCs w:val="28"/>
        </w:rPr>
        <w:t>а</w:t>
      </w:r>
      <w:r w:rsidRPr="004804AA">
        <w:rPr>
          <w:rFonts w:ascii="Times New Roman" w:hAnsi="Times New Roman" w:cs="Times New Roman"/>
          <w:sz w:val="28"/>
          <w:szCs w:val="28"/>
        </w:rPr>
        <w:t xml:space="preserve">. </w:t>
      </w:r>
      <w:r w:rsidR="00922F4A">
        <w:rPr>
          <w:rFonts w:ascii="Times New Roman" w:hAnsi="Times New Roman" w:cs="Times New Roman"/>
          <w:sz w:val="28"/>
          <w:szCs w:val="28"/>
        </w:rPr>
        <w:t>На основании</w:t>
      </w:r>
      <w:r w:rsidRPr="004804AA">
        <w:rPr>
          <w:rFonts w:ascii="Times New Roman" w:hAnsi="Times New Roman" w:cs="Times New Roman"/>
          <w:sz w:val="28"/>
          <w:szCs w:val="28"/>
        </w:rPr>
        <w:t xml:space="preserve"> данны</w:t>
      </w:r>
      <w:r w:rsidR="00922F4A">
        <w:rPr>
          <w:rFonts w:ascii="Times New Roman" w:hAnsi="Times New Roman" w:cs="Times New Roman"/>
          <w:sz w:val="28"/>
          <w:szCs w:val="28"/>
        </w:rPr>
        <w:t>х</w:t>
      </w:r>
      <w:r w:rsidRPr="004804AA">
        <w:rPr>
          <w:rFonts w:ascii="Times New Roman" w:hAnsi="Times New Roman" w:cs="Times New Roman"/>
          <w:sz w:val="28"/>
          <w:szCs w:val="28"/>
        </w:rPr>
        <w:t xml:space="preserve"> профилактических осмотров школьников в 2015г. заболевания органа зрения вышли на первое место среди всей патологии школьного возраста. По прогнозам, в ближайшие 3-5 лет число детей с миопией увеличится в 2 раза</w:t>
      </w:r>
      <w:r w:rsidR="00891764">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{"citationID":"pyWLaTxw","properties":{"formattedCitation":"[134]","plainCitation":"[134]","noteIndex":0},"citationItems":[{"id":964,"uris":["http://zotero.org/users/local/XMo5Fvid/items/VXBCVI8W"],"itemData":{"id":964,"type":"document","publisher":"Министерство национальной экономики  Республики Казахстан  Комитет по статистике","title":"Статистический сборник. Здоровье населения Республики Казахстан и деятельность организаций здравоохранения в 2017 г.","issued":{"date-parts":[["2018"]]}}}],"schema":"https://github.com/citation-style-language/schema/raw/master/csl-citation.json"}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[134]</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r w:rsidRPr="004804AA">
        <w:rPr>
          <w:rFonts w:ascii="Times New Roman" w:hAnsi="Times New Roman" w:cs="Times New Roman"/>
          <w:sz w:val="28"/>
          <w:szCs w:val="28"/>
        </w:rPr>
        <w:t xml:space="preserve"> В 2005 году впервые выявленная миопия в структуре аномалий рефракции по отчетным данным офтальмологов регионов республики составляли 58,8% от общей заболеваемости офтальмопатологией, что в 1,3 </w:t>
      </w:r>
      <w:r w:rsidRPr="004804AA">
        <w:rPr>
          <w:rFonts w:ascii="Times New Roman" w:hAnsi="Times New Roman" w:cs="Times New Roman"/>
          <w:sz w:val="28"/>
          <w:szCs w:val="28"/>
        </w:rPr>
        <w:lastRenderedPageBreak/>
        <w:t xml:space="preserve">раза выше данных десятилетней давности. Наиболее высокие показатели, превышающие </w:t>
      </w:r>
      <w:r w:rsidR="00EF7D69" w:rsidRPr="004804AA">
        <w:rPr>
          <w:rFonts w:ascii="Times New Roman" w:hAnsi="Times New Roman" w:cs="Times New Roman"/>
          <w:sz w:val="28"/>
          <w:szCs w:val="28"/>
        </w:rPr>
        <w:t>среднереспубликанский</w:t>
      </w:r>
      <w:r w:rsidRPr="004804AA">
        <w:rPr>
          <w:rFonts w:ascii="Times New Roman" w:hAnsi="Times New Roman" w:cs="Times New Roman"/>
          <w:sz w:val="28"/>
          <w:szCs w:val="28"/>
        </w:rPr>
        <w:t xml:space="preserve"> уровень в среднем в 2 раза в Павлодарской, Мангыстауской областях и г.</w:t>
      </w:r>
      <w:r w:rsidR="00DC6BC8">
        <w:rPr>
          <w:rFonts w:ascii="Times New Roman" w:hAnsi="Times New Roman" w:cs="Times New Roman"/>
          <w:sz w:val="28"/>
          <w:szCs w:val="28"/>
        </w:rPr>
        <w:t>Астана</w:t>
      </w:r>
      <w:r w:rsidRPr="004804AA">
        <w:rPr>
          <w:rFonts w:ascii="Times New Roman" w:hAnsi="Times New Roman" w:cs="Times New Roman"/>
          <w:sz w:val="28"/>
          <w:szCs w:val="28"/>
        </w:rPr>
        <w:t>. Самый низкий показатель заболеваемости миопией отмечен в К</w:t>
      </w:r>
      <w:r w:rsidR="00615B40" w:rsidRPr="004804AA">
        <w:rPr>
          <w:rFonts w:ascii="Times New Roman" w:hAnsi="Times New Roman" w:cs="Times New Roman"/>
          <w:sz w:val="28"/>
          <w:szCs w:val="28"/>
        </w:rPr>
        <w:t>ы</w:t>
      </w:r>
      <w:r w:rsidRPr="004804AA">
        <w:rPr>
          <w:rFonts w:ascii="Times New Roman" w:hAnsi="Times New Roman" w:cs="Times New Roman"/>
          <w:sz w:val="28"/>
          <w:szCs w:val="28"/>
        </w:rPr>
        <w:t xml:space="preserve">зылординской, Карагандинской и Южно-Казахстанской области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{"citationID":"xMSwbp0b","properties":{"formattedCitation":"[50]","plainCitation":"[50]","noteIndex":0},"citationItems":[{"id":959,"uris":["http://zotero.org/users/local/XMo5Fvid/items/V65P8BKH"],"itemData":{"id":959,"type":"article-journal","container-title":"Қазақстан Офтальмологиялық журналы","page":"12 - 14","title":"Эффективность профилактики и лечения близорукости у детей в условиях школы","author":[{"family":"Аубакирова","given":"AЖ"},{"family":"Токсамбаева","given":"ГК"},{"family":"Аужанова","given":"РМ"}],"issued":{"date-parts":[["2010"]]}},"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[50]</w:t>
      </w:r>
      <w:r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3971E90D" w14:textId="18E6327D" w:rsidR="003B5DFD" w:rsidRPr="004804AA" w:rsidRDefault="00AE0E7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Таким образом, </w:t>
      </w:r>
      <w:r w:rsidR="00EF7D69" w:rsidRPr="004804AA">
        <w:rPr>
          <w:rFonts w:ascii="Times New Roman" w:hAnsi="Times New Roman" w:cs="Times New Roman"/>
          <w:sz w:val="28"/>
          <w:szCs w:val="28"/>
        </w:rPr>
        <w:t xml:space="preserve">в последние десятилетия наблюдается бурный рост распространенности и тяжести миопии. Эта тенденция охватывает </w:t>
      </w:r>
      <w:r w:rsidR="00F51445">
        <w:rPr>
          <w:rFonts w:ascii="Times New Roman" w:hAnsi="Times New Roman" w:cs="Times New Roman"/>
          <w:sz w:val="28"/>
          <w:szCs w:val="28"/>
        </w:rPr>
        <w:t>многие</w:t>
      </w:r>
      <w:r w:rsidR="00EF7D69" w:rsidRPr="004804AA">
        <w:rPr>
          <w:rFonts w:ascii="Times New Roman" w:hAnsi="Times New Roman" w:cs="Times New Roman"/>
          <w:sz w:val="28"/>
          <w:szCs w:val="28"/>
        </w:rPr>
        <w:t xml:space="preserve"> регионы мира, включая странны постсоветского пространства и достиг</w:t>
      </w:r>
      <w:r w:rsidR="00F51445">
        <w:rPr>
          <w:rFonts w:ascii="Times New Roman" w:hAnsi="Times New Roman" w:cs="Times New Roman"/>
          <w:sz w:val="28"/>
          <w:szCs w:val="28"/>
        </w:rPr>
        <w:t>ая</w:t>
      </w:r>
      <w:r w:rsidR="00EF7D69" w:rsidRPr="004804AA">
        <w:rPr>
          <w:rFonts w:ascii="Times New Roman" w:hAnsi="Times New Roman" w:cs="Times New Roman"/>
          <w:sz w:val="28"/>
          <w:szCs w:val="28"/>
        </w:rPr>
        <w:t xml:space="preserve"> масштабов эпидемии в Юго-Восточной Азии. </w:t>
      </w:r>
    </w:p>
    <w:p w14:paraId="05234C34" w14:textId="77B1D077" w:rsidR="006C0A33" w:rsidRDefault="006C0A33" w:rsidP="005C37DF">
      <w:pPr>
        <w:pStyle w:val="a4"/>
        <w:ind w:firstLine="709"/>
        <w:jc w:val="both"/>
        <w:rPr>
          <w:rFonts w:ascii="Times New Roman" w:hAnsi="Times New Roman" w:cs="Times New Roman"/>
          <w:sz w:val="28"/>
          <w:szCs w:val="28"/>
        </w:rPr>
      </w:pPr>
    </w:p>
    <w:p w14:paraId="75FDE3A6" w14:textId="75E892CF" w:rsidR="00636689" w:rsidRPr="0011509B" w:rsidRDefault="00636689" w:rsidP="005C37DF">
      <w:pPr>
        <w:pStyle w:val="a4"/>
        <w:ind w:firstLine="709"/>
        <w:jc w:val="both"/>
        <w:rPr>
          <w:rFonts w:ascii="Times New Roman" w:hAnsi="Times New Roman" w:cs="Times New Roman"/>
          <w:b/>
          <w:bCs/>
          <w:sz w:val="28"/>
          <w:szCs w:val="28"/>
        </w:rPr>
      </w:pPr>
      <w:r w:rsidRPr="0011509B">
        <w:rPr>
          <w:rFonts w:ascii="Times New Roman" w:hAnsi="Times New Roman" w:cs="Times New Roman"/>
          <w:b/>
          <w:bCs/>
          <w:sz w:val="28"/>
          <w:szCs w:val="28"/>
        </w:rPr>
        <w:t xml:space="preserve">1.3 </w:t>
      </w:r>
      <w:r w:rsidR="0011509B" w:rsidRPr="0011509B">
        <w:rPr>
          <w:rFonts w:ascii="Times New Roman" w:hAnsi="Times New Roman" w:cs="Times New Roman"/>
          <w:b/>
          <w:bCs/>
          <w:sz w:val="28"/>
          <w:szCs w:val="28"/>
        </w:rPr>
        <w:t>Обзор ф</w:t>
      </w:r>
      <w:r w:rsidRPr="0011509B">
        <w:rPr>
          <w:rFonts w:ascii="Times New Roman" w:hAnsi="Times New Roman" w:cs="Times New Roman"/>
          <w:b/>
          <w:bCs/>
          <w:sz w:val="28"/>
          <w:szCs w:val="28"/>
        </w:rPr>
        <w:t>актор</w:t>
      </w:r>
      <w:r w:rsidR="0011509B" w:rsidRPr="0011509B">
        <w:rPr>
          <w:rFonts w:ascii="Times New Roman" w:hAnsi="Times New Roman" w:cs="Times New Roman"/>
          <w:b/>
          <w:bCs/>
          <w:sz w:val="28"/>
          <w:szCs w:val="28"/>
        </w:rPr>
        <w:t>ов</w:t>
      </w:r>
      <w:r w:rsidRPr="0011509B">
        <w:rPr>
          <w:rFonts w:ascii="Times New Roman" w:hAnsi="Times New Roman" w:cs="Times New Roman"/>
          <w:b/>
          <w:bCs/>
          <w:sz w:val="28"/>
          <w:szCs w:val="28"/>
        </w:rPr>
        <w:t xml:space="preserve"> риска </w:t>
      </w:r>
      <w:r w:rsidR="0011509B" w:rsidRPr="0011509B">
        <w:rPr>
          <w:rFonts w:ascii="Times New Roman" w:hAnsi="Times New Roman" w:cs="Times New Roman"/>
          <w:b/>
          <w:bCs/>
          <w:sz w:val="28"/>
          <w:szCs w:val="28"/>
        </w:rPr>
        <w:t xml:space="preserve">развития </w:t>
      </w:r>
      <w:r w:rsidR="00CA746D" w:rsidRPr="0011509B">
        <w:rPr>
          <w:rFonts w:ascii="Times New Roman" w:hAnsi="Times New Roman" w:cs="Times New Roman"/>
          <w:b/>
          <w:bCs/>
          <w:sz w:val="28"/>
          <w:szCs w:val="28"/>
        </w:rPr>
        <w:t>миопии</w:t>
      </w:r>
      <w:r w:rsidR="007A02F3">
        <w:rPr>
          <w:rFonts w:ascii="Times New Roman" w:hAnsi="Times New Roman" w:cs="Times New Roman"/>
          <w:b/>
          <w:bCs/>
          <w:sz w:val="28"/>
          <w:szCs w:val="28"/>
        </w:rPr>
        <w:t xml:space="preserve"> у детей</w:t>
      </w:r>
    </w:p>
    <w:p w14:paraId="545E8AEC" w14:textId="353A56D3" w:rsidR="00450E0A" w:rsidRPr="004804AA" w:rsidRDefault="00AE0E7D"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 xml:space="preserve">1.3.1. </w:t>
      </w:r>
      <w:r w:rsidR="00CE1F24" w:rsidRPr="004804AA">
        <w:rPr>
          <w:rFonts w:ascii="Times New Roman" w:eastAsiaTheme="minorHAnsi" w:hAnsi="Times New Roman" w:cs="Times New Roman"/>
          <w:sz w:val="28"/>
          <w:szCs w:val="28"/>
          <w:lang w:eastAsia="en-US"/>
        </w:rPr>
        <w:t>Образование</w:t>
      </w:r>
      <w:r w:rsidR="007F69CC" w:rsidRPr="004804AA">
        <w:rPr>
          <w:rFonts w:ascii="Times New Roman" w:eastAsiaTheme="minorHAnsi" w:hAnsi="Times New Roman" w:cs="Times New Roman"/>
          <w:sz w:val="28"/>
          <w:szCs w:val="28"/>
          <w:lang w:eastAsia="en-US"/>
        </w:rPr>
        <w:t xml:space="preserve"> и зрительная работа на близком расстоянии</w:t>
      </w:r>
    </w:p>
    <w:p w14:paraId="4F8D914B" w14:textId="09193330" w:rsidR="005D7661" w:rsidRPr="004804AA" w:rsidRDefault="001162D4" w:rsidP="005C37DF">
      <w:pPr>
        <w:spacing w:after="0" w:line="240" w:lineRule="auto"/>
        <w:ind w:firstLine="709"/>
        <w:jc w:val="both"/>
        <w:rPr>
          <w:rFonts w:ascii="Times New Roman" w:hAnsi="Times New Roman" w:cs="Times New Roman"/>
          <w:color w:val="1C1C1C"/>
          <w:sz w:val="28"/>
          <w:szCs w:val="28"/>
          <w:shd w:val="clear" w:color="auto" w:fill="FFFFFF"/>
        </w:rPr>
      </w:pPr>
      <w:r w:rsidRPr="004804AA">
        <w:rPr>
          <w:rFonts w:ascii="Times New Roman" w:eastAsiaTheme="minorHAnsi" w:hAnsi="Times New Roman" w:cs="Times New Roman"/>
          <w:sz w:val="28"/>
          <w:szCs w:val="28"/>
          <w:lang w:eastAsia="en-US"/>
        </w:rPr>
        <w:t xml:space="preserve">На сегодняшний день одним из определяющих факторов, </w:t>
      </w:r>
      <w:r w:rsidR="00636689" w:rsidRPr="004804AA">
        <w:rPr>
          <w:rFonts w:ascii="Times New Roman" w:eastAsiaTheme="minorHAnsi" w:hAnsi="Times New Roman" w:cs="Times New Roman"/>
          <w:sz w:val="28"/>
          <w:szCs w:val="28"/>
          <w:lang w:eastAsia="en-US"/>
        </w:rPr>
        <w:t>провоцирующи</w:t>
      </w:r>
      <w:r w:rsidR="007F69CC" w:rsidRPr="004804AA">
        <w:rPr>
          <w:rFonts w:ascii="Times New Roman" w:eastAsiaTheme="minorHAnsi" w:hAnsi="Times New Roman" w:cs="Times New Roman"/>
          <w:sz w:val="28"/>
          <w:szCs w:val="28"/>
          <w:lang w:eastAsia="en-US"/>
        </w:rPr>
        <w:t>х</w:t>
      </w:r>
      <w:r w:rsidR="00636689" w:rsidRPr="004804AA">
        <w:rPr>
          <w:rFonts w:ascii="Times New Roman" w:eastAsiaTheme="minorHAnsi" w:hAnsi="Times New Roman" w:cs="Times New Roman"/>
          <w:sz w:val="28"/>
          <w:szCs w:val="28"/>
          <w:lang w:eastAsia="en-US"/>
        </w:rPr>
        <w:t xml:space="preserve"> развитие миопии, считается процесс обучения.</w:t>
      </w:r>
      <w:r w:rsidR="00236B37" w:rsidRPr="004804AA">
        <w:rPr>
          <w:rFonts w:ascii="Times New Roman" w:hAnsi="Times New Roman" w:cs="Times New Roman"/>
          <w:sz w:val="28"/>
          <w:szCs w:val="28"/>
        </w:rPr>
        <w:t xml:space="preserve"> Большое влияние</w:t>
      </w:r>
      <w:r w:rsidR="00DC3EBA" w:rsidRPr="004804AA">
        <w:rPr>
          <w:rFonts w:ascii="Times New Roman" w:hAnsi="Times New Roman" w:cs="Times New Roman"/>
          <w:sz w:val="28"/>
          <w:szCs w:val="28"/>
        </w:rPr>
        <w:t xml:space="preserve"> на изучение образования, как важнейший фактор</w:t>
      </w:r>
      <w:r w:rsidR="00236B37" w:rsidRPr="004804AA">
        <w:rPr>
          <w:rFonts w:ascii="Times New Roman" w:hAnsi="Times New Roman" w:cs="Times New Roman"/>
          <w:sz w:val="28"/>
          <w:szCs w:val="28"/>
        </w:rPr>
        <w:t xml:space="preserve"> развити</w:t>
      </w:r>
      <w:r w:rsidR="00DC3EBA" w:rsidRPr="004804AA">
        <w:rPr>
          <w:rFonts w:ascii="Times New Roman" w:hAnsi="Times New Roman" w:cs="Times New Roman"/>
          <w:sz w:val="28"/>
          <w:szCs w:val="28"/>
        </w:rPr>
        <w:t>я</w:t>
      </w:r>
      <w:r w:rsidR="00236B37" w:rsidRPr="004804AA">
        <w:rPr>
          <w:rFonts w:ascii="Times New Roman" w:hAnsi="Times New Roman" w:cs="Times New Roman"/>
          <w:sz w:val="28"/>
          <w:szCs w:val="28"/>
        </w:rPr>
        <w:t xml:space="preserve"> близорукости оказали аккомодационные гипотезы ее происхождения, согласно которым в основе развития близорукости лежит длительное напряжение аккомодации под влиянием зрительной работы на близком расстоянии</w:t>
      </w:r>
      <w:r w:rsidR="00891764">
        <w:rPr>
          <w:rFonts w:ascii="Times New Roman" w:hAnsi="Times New Roman" w:cs="Times New Roman"/>
          <w:sz w:val="28"/>
          <w:szCs w:val="28"/>
        </w:rPr>
        <w:t xml:space="preserve"> </w:t>
      </w:r>
      <w:r w:rsidR="00430E3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{"citationID":"nBkdka99","properties":{"formattedCitation":"[135; 136]","plainCitation":"[135; 136]","noteIndex":0},"citationItems":[{"id":1467,"uris":["http://zotero.org/users/local/XMo5Fvid/items/AMLXA7H7"],"itemData":{"id":1467,"type":"webpage","abstract":"Год выпуска: 1999Автор: Аветисов Э.С.Жанр: ОфтальмологияФормат: PDFКачество: Отсканированные страницыОписание: В офтальмологической литературе достижения последних лет в изучении проблемы близорукости пока не получили достаточно полного и систематизированного освещения, если не считать статей на","container-title":"Библиотека BooksMed - книги и учебники по медицине","language":"ru","title":"Близорукость - Аветисов Э.С. - Практическое пособие","URL":"https://www.booksmed.com/oftalmologiya/2047-blizorukost-avetisov-yes-prakticheskoe-posobie.html","accessed":{"date-parts":[["2021",4,9]]}},"label":"page"},{"id":1550,"uris":["http://zotero.org/users/local/XMo5Fvid/items/7Z8RHARQ"],"itemData":{"id":1550,"type":"webpage","title":"Аккомодация. Руководство для врачей, 2012г. | sabar.eye-portal.ru","URL":"https://sabar.eye-portal.ru/accomodation-guidelines-for-doctors-2012","accessed":{"date-parts":[["2021",4,11]]}},"label":"page"}],"schema":"https://github.com/citation-style-language/schema/raw/master/csl-citation.json"} </w:instrText>
      </w:r>
      <w:r w:rsidR="00430E3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[135; 136]</w:t>
      </w:r>
      <w:r w:rsidR="00430E31" w:rsidRPr="004804AA">
        <w:rPr>
          <w:rFonts w:ascii="Times New Roman" w:hAnsi="Times New Roman" w:cs="Times New Roman"/>
          <w:sz w:val="28"/>
          <w:szCs w:val="28"/>
        </w:rPr>
        <w:fldChar w:fldCharType="end"/>
      </w:r>
      <w:r w:rsidR="00891764">
        <w:rPr>
          <w:rFonts w:ascii="Times New Roman" w:hAnsi="Times New Roman" w:cs="Times New Roman"/>
          <w:sz w:val="28"/>
          <w:szCs w:val="28"/>
        </w:rPr>
        <w:t>.</w:t>
      </w:r>
    </w:p>
    <w:p w14:paraId="37E0AA7A" w14:textId="4CE9A03E" w:rsidR="00CE1F24" w:rsidRPr="004804AA" w:rsidRDefault="00071DDB" w:rsidP="005C37DF">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2004 году д</w:t>
      </w:r>
      <w:r w:rsidR="00E81E00" w:rsidRPr="004804AA">
        <w:rPr>
          <w:rFonts w:ascii="Times New Roman" w:eastAsiaTheme="minorHAnsi" w:hAnsi="Times New Roman" w:cs="Times New Roman"/>
          <w:sz w:val="28"/>
          <w:szCs w:val="28"/>
          <w:lang w:eastAsia="en-US"/>
        </w:rPr>
        <w:t xml:space="preserve">атскими исследователями было представлено </w:t>
      </w:r>
      <w:r w:rsidR="00D645EA" w:rsidRPr="004804AA">
        <w:rPr>
          <w:rFonts w:ascii="Times New Roman" w:eastAsiaTheme="minorHAnsi" w:hAnsi="Times New Roman" w:cs="Times New Roman"/>
          <w:sz w:val="28"/>
          <w:szCs w:val="28"/>
          <w:lang w:eastAsia="en-US"/>
        </w:rPr>
        <w:t>исследование,</w:t>
      </w:r>
      <w:r w:rsidR="00E81E00" w:rsidRPr="004804AA">
        <w:rPr>
          <w:rFonts w:ascii="Times New Roman" w:eastAsiaTheme="minorHAnsi" w:hAnsi="Times New Roman" w:cs="Times New Roman"/>
          <w:sz w:val="28"/>
          <w:szCs w:val="28"/>
          <w:lang w:eastAsia="en-US"/>
        </w:rPr>
        <w:t xml:space="preserve"> которое</w:t>
      </w:r>
      <w:r w:rsidR="00CE1F24" w:rsidRPr="004804AA">
        <w:rPr>
          <w:rFonts w:ascii="Times New Roman" w:eastAsiaTheme="minorHAnsi" w:hAnsi="Times New Roman" w:cs="Times New Roman"/>
          <w:sz w:val="28"/>
          <w:szCs w:val="28"/>
          <w:lang w:eastAsia="en-US"/>
        </w:rPr>
        <w:t xml:space="preserve"> иллюстрирова</w:t>
      </w:r>
      <w:r w:rsidR="00E81E00" w:rsidRPr="004804AA">
        <w:rPr>
          <w:rFonts w:ascii="Times New Roman" w:eastAsiaTheme="minorHAnsi" w:hAnsi="Times New Roman" w:cs="Times New Roman"/>
          <w:sz w:val="28"/>
          <w:szCs w:val="28"/>
          <w:lang w:eastAsia="en-US"/>
        </w:rPr>
        <w:t>ло</w:t>
      </w:r>
      <w:r w:rsidR="00CE1F24" w:rsidRPr="004804AA">
        <w:rPr>
          <w:rFonts w:ascii="Times New Roman" w:eastAsiaTheme="minorHAnsi" w:hAnsi="Times New Roman" w:cs="Times New Roman"/>
          <w:sz w:val="28"/>
          <w:szCs w:val="28"/>
          <w:lang w:eastAsia="en-US"/>
        </w:rPr>
        <w:t xml:space="preserve"> влияние обучения</w:t>
      </w:r>
      <w:r w:rsidR="006E7C67" w:rsidRPr="004804AA">
        <w:rPr>
          <w:rFonts w:ascii="Times New Roman" w:eastAsiaTheme="minorHAnsi" w:hAnsi="Times New Roman" w:cs="Times New Roman"/>
          <w:sz w:val="28"/>
          <w:szCs w:val="28"/>
          <w:lang w:eastAsia="en-US"/>
        </w:rPr>
        <w:t xml:space="preserve"> на развитие близорукости. На основе исследований призывников с 1882г до 1964г </w:t>
      </w:r>
      <w:r w:rsidR="00CE1F24" w:rsidRPr="004804AA">
        <w:rPr>
          <w:rFonts w:ascii="Times New Roman" w:eastAsiaTheme="minorHAnsi" w:hAnsi="Times New Roman" w:cs="Times New Roman"/>
          <w:sz w:val="28"/>
          <w:szCs w:val="28"/>
          <w:lang w:eastAsia="en-US"/>
        </w:rPr>
        <w:t xml:space="preserve">было отмечено, что распространенность миопии среди </w:t>
      </w:r>
      <w:r w:rsidR="006E7C67" w:rsidRPr="004804AA">
        <w:rPr>
          <w:rFonts w:ascii="Times New Roman" w:eastAsiaTheme="minorHAnsi" w:hAnsi="Times New Roman" w:cs="Times New Roman"/>
          <w:sz w:val="28"/>
          <w:szCs w:val="28"/>
          <w:lang w:eastAsia="en-US"/>
        </w:rPr>
        <w:t>учащихся</w:t>
      </w:r>
      <w:r w:rsidR="00CE1F24" w:rsidRPr="004804AA">
        <w:rPr>
          <w:rFonts w:ascii="Times New Roman" w:eastAsiaTheme="minorHAnsi" w:hAnsi="Times New Roman" w:cs="Times New Roman"/>
          <w:sz w:val="28"/>
          <w:szCs w:val="28"/>
          <w:lang w:eastAsia="en-US"/>
        </w:rPr>
        <w:t xml:space="preserve"> в 10 раз выше, чем среди неквалифицированных рабочих</w:t>
      </w:r>
      <w:r w:rsidR="006E7C67" w:rsidRPr="004804AA">
        <w:rPr>
          <w:rFonts w:ascii="Times New Roman" w:eastAsiaTheme="minorHAnsi" w:hAnsi="Times New Roman" w:cs="Times New Roman"/>
          <w:sz w:val="28"/>
          <w:szCs w:val="28"/>
          <w:lang w:eastAsia="en-US"/>
        </w:rPr>
        <w:t>.</w:t>
      </w:r>
      <w:r w:rsidR="00CE1F24" w:rsidRPr="004804AA">
        <w:rPr>
          <w:rFonts w:ascii="Times New Roman" w:eastAsiaTheme="minorHAnsi" w:hAnsi="Times New Roman" w:cs="Times New Roman"/>
          <w:sz w:val="28"/>
          <w:szCs w:val="28"/>
          <w:lang w:eastAsia="en-US"/>
        </w:rPr>
        <w:t xml:space="preserve"> </w:t>
      </w:r>
    </w:p>
    <w:p w14:paraId="1C7C0888" w14:textId="0644622B" w:rsidR="005D7661" w:rsidRPr="004804AA" w:rsidRDefault="005D7661" w:rsidP="005C37DF">
      <w:pPr>
        <w:spacing w:after="0" w:line="240" w:lineRule="auto"/>
        <w:ind w:firstLine="709"/>
        <w:jc w:val="both"/>
        <w:rPr>
          <w:rFonts w:ascii="Times New Roman" w:hAnsi="Times New Roman" w:cs="Times New Roman"/>
          <w:sz w:val="28"/>
          <w:szCs w:val="28"/>
          <w:u w:val="single"/>
        </w:rPr>
      </w:pPr>
      <w:r w:rsidRPr="004804AA">
        <w:rPr>
          <w:rFonts w:ascii="Times New Roman" w:hAnsi="Times New Roman" w:cs="Times New Roman"/>
          <w:color w:val="1C1C1C"/>
          <w:sz w:val="28"/>
          <w:szCs w:val="28"/>
          <w:shd w:val="clear" w:color="auto" w:fill="FFFFFF"/>
        </w:rPr>
        <w:t>Среди различных основополагающих доказательств, связывающих миопию с образованием и близорукостью - более высокие показатели распространенности миопии, которые совпадали с введением школьного образования среди эскимосов</w:t>
      </w:r>
      <w:r w:rsidR="00891764">
        <w:rPr>
          <w:rFonts w:ascii="Times New Roman" w:hAnsi="Times New Roman" w:cs="Times New Roman"/>
          <w:color w:val="1C1C1C"/>
          <w:sz w:val="28"/>
          <w:szCs w:val="28"/>
          <w:shd w:val="clear" w:color="auto" w:fill="FFFFFF"/>
        </w:rPr>
        <w:t xml:space="preserve"> </w:t>
      </w:r>
      <w:r w:rsidRPr="004804AA">
        <w:rPr>
          <w:rFonts w:ascii="Times New Roman" w:hAnsi="Times New Roman" w:cs="Times New Roman"/>
          <w:color w:val="1C1C1C"/>
          <w:sz w:val="28"/>
          <w:szCs w:val="28"/>
          <w:shd w:val="clear" w:color="auto" w:fill="FFFFFF"/>
        </w:rPr>
        <w:fldChar w:fldCharType="begin"/>
      </w:r>
      <w:r w:rsidR="00A00EFF">
        <w:rPr>
          <w:rFonts w:ascii="Times New Roman" w:hAnsi="Times New Roman" w:cs="Times New Roman"/>
          <w:color w:val="1C1C1C"/>
          <w:sz w:val="28"/>
          <w:szCs w:val="28"/>
          <w:shd w:val="clear" w:color="auto" w:fill="FFFFFF"/>
        </w:rPr>
        <w:instrText xml:space="preserve"> ADDIN ZOTERO_ITEM CSL_CITATION {"citationID":"8kjExAsE","properties":{"formattedCitation":"[137]","plainCitation":"[137]","noteIndex":0},"citationItems":[{"id":1205,"uris":["http://zotero.org/users/local/XMo5Fvid/items/3EF74B8L"],"itemData":{"id":1205,"type":"article-journal","abstract":"There is considerable epidemiological evidence that the nearwork associated with formal education can cause myopia. The potential for nearwork and education, as aspects of common familial environment, to inflate resemblances among nuclear family members in ocular refraction, was therefore investigated in a sample of 957 persons aged 5 years and over, comprising approximately 80% of the population above that age in three communities on the west coast of Newfoundland. Refraction was evaluated using standard optometric methods, nearwork measured in hours/day as reported by each subject, education measured as last completed school grade in years. The effects of nearwork and education on refraction resemblances were evaluated by adjusting refraction for age and sex, then comparing correlations or regressions among relatives before and after further linear regression adjustment of refraction for nearwork and education. Reductions in sib-sib correlations and offspring-parent regressions were achieved in this way, suggesting that these environmental factors inflate familial resemblances in refraction. Patterns of resemblances among relatives after adjustment suggest that the effects of nearwork and education on refraction resemblances were not completely removed by the linear regression adjustment used.","container-title":"Clinical Genetics","DOI":"10.1111/j.1399-0004.1981.tb02065.x","ISSN":"0009-9163","issue":"6","journalAbbreviation":"Clin Genet","language":"eng","note":"PMID: 7296938","page":"462-472","source":"PubMed","title":"Nearwork and familial resemblances in ocular refraction: a population study in Newfoundland","title-short":"Nearwork and familial resemblances in ocular refraction","volume":"19","author":[{"family":"Bear","given":"J. C."},{"family":"Richler","given":"A."},{"family":"Burke","given":"G."}],"issued":{"date-parts":[["1981",6]]}}}],"schema":"https://github.com/citation-style-language/schema/raw/master/csl-citation.json"} </w:instrText>
      </w:r>
      <w:r w:rsidRPr="004804AA">
        <w:rPr>
          <w:rFonts w:ascii="Times New Roman" w:hAnsi="Times New Roman" w:cs="Times New Roman"/>
          <w:color w:val="1C1C1C"/>
          <w:sz w:val="28"/>
          <w:szCs w:val="28"/>
          <w:shd w:val="clear" w:color="auto" w:fill="FFFFFF"/>
        </w:rPr>
        <w:fldChar w:fldCharType="separate"/>
      </w:r>
      <w:r w:rsidR="00A00EFF" w:rsidRPr="00A00EFF">
        <w:rPr>
          <w:rFonts w:ascii="Times New Roman" w:hAnsi="Times New Roman" w:cs="Times New Roman"/>
          <w:sz w:val="28"/>
        </w:rPr>
        <w:t>[137]</w:t>
      </w:r>
      <w:r w:rsidRPr="004804AA">
        <w:rPr>
          <w:rFonts w:ascii="Times New Roman" w:hAnsi="Times New Roman" w:cs="Times New Roman"/>
          <w:color w:val="1C1C1C"/>
          <w:sz w:val="28"/>
          <w:szCs w:val="28"/>
          <w:shd w:val="clear" w:color="auto" w:fill="FFFFFF"/>
        </w:rPr>
        <w:fldChar w:fldCharType="end"/>
      </w:r>
      <w:r w:rsidR="00891764">
        <w:rPr>
          <w:rFonts w:ascii="Times New Roman" w:hAnsi="Times New Roman" w:cs="Times New Roman"/>
          <w:color w:val="1C1C1C"/>
          <w:sz w:val="28"/>
          <w:szCs w:val="28"/>
          <w:shd w:val="clear" w:color="auto" w:fill="FFFFFF"/>
        </w:rPr>
        <w:t>.</w:t>
      </w:r>
    </w:p>
    <w:p w14:paraId="7231A969" w14:textId="4303C3DB" w:rsidR="002B2506" w:rsidRPr="004804AA" w:rsidRDefault="002B2506"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1C1C1C"/>
          <w:sz w:val="28"/>
          <w:szCs w:val="28"/>
          <w:shd w:val="clear" w:color="auto" w:fill="FFFFFF"/>
        </w:rPr>
        <w:t xml:space="preserve">К такому же выводу пришли </w:t>
      </w:r>
      <w:r w:rsidRPr="004804AA">
        <w:rPr>
          <w:rFonts w:ascii="Times New Roman" w:hAnsi="Times New Roman" w:cs="Times New Roman"/>
          <w:color w:val="1C1C1C"/>
          <w:sz w:val="28"/>
          <w:szCs w:val="28"/>
          <w:shd w:val="clear" w:color="auto" w:fill="FFFFFF"/>
          <w:lang w:val="en-US"/>
        </w:rPr>
        <w:t>Plotnikov</w:t>
      </w:r>
      <w:r w:rsidRPr="004804AA">
        <w:rPr>
          <w:rFonts w:ascii="Times New Roman" w:hAnsi="Times New Roman" w:cs="Times New Roman"/>
          <w:color w:val="1C1C1C"/>
          <w:sz w:val="28"/>
          <w:szCs w:val="28"/>
          <w:shd w:val="clear" w:color="auto" w:fill="FFFFFF"/>
        </w:rPr>
        <w:t xml:space="preserve">, </w:t>
      </w:r>
      <w:r w:rsidRPr="004804AA">
        <w:rPr>
          <w:rFonts w:ascii="Times New Roman" w:hAnsi="Times New Roman" w:cs="Times New Roman"/>
          <w:color w:val="1C1C1C"/>
          <w:sz w:val="28"/>
          <w:szCs w:val="28"/>
          <w:shd w:val="clear" w:color="auto" w:fill="FFFFFF"/>
          <w:lang w:val="en-US"/>
        </w:rPr>
        <w:t>Williams</w:t>
      </w:r>
      <w:r w:rsidRPr="004804AA">
        <w:rPr>
          <w:rFonts w:ascii="Times New Roman" w:hAnsi="Times New Roman" w:cs="Times New Roman"/>
          <w:color w:val="1C1C1C"/>
          <w:sz w:val="28"/>
          <w:szCs w:val="28"/>
          <w:shd w:val="clear" w:color="auto" w:fill="FFFFFF"/>
        </w:rPr>
        <w:t xml:space="preserve"> и др, проанализировав данные после проведенной в 1972</w:t>
      </w:r>
      <w:r w:rsidR="006E7C67" w:rsidRPr="004804AA">
        <w:rPr>
          <w:rFonts w:ascii="Times New Roman" w:hAnsi="Times New Roman" w:cs="Times New Roman"/>
          <w:color w:val="1C1C1C"/>
          <w:sz w:val="28"/>
          <w:szCs w:val="28"/>
          <w:shd w:val="clear" w:color="auto" w:fill="FFFFFF"/>
        </w:rPr>
        <w:t xml:space="preserve"> </w:t>
      </w:r>
      <w:r w:rsidRPr="004804AA">
        <w:rPr>
          <w:rFonts w:ascii="Times New Roman" w:hAnsi="Times New Roman" w:cs="Times New Roman"/>
          <w:color w:val="1C1C1C"/>
          <w:sz w:val="28"/>
          <w:szCs w:val="28"/>
          <w:shd w:val="clear" w:color="auto" w:fill="FFFFFF"/>
        </w:rPr>
        <w:t>году</w:t>
      </w:r>
      <w:r w:rsidR="006E7C67" w:rsidRPr="004804AA">
        <w:rPr>
          <w:rFonts w:ascii="Times New Roman" w:hAnsi="Times New Roman" w:cs="Times New Roman"/>
          <w:color w:val="1C1C1C"/>
          <w:sz w:val="28"/>
          <w:szCs w:val="28"/>
          <w:shd w:val="clear" w:color="auto" w:fill="FFFFFF"/>
        </w:rPr>
        <w:t xml:space="preserve"> в</w:t>
      </w:r>
      <w:r w:rsidRPr="004804AA">
        <w:rPr>
          <w:rFonts w:ascii="Times New Roman" w:hAnsi="Times New Roman" w:cs="Times New Roman"/>
          <w:color w:val="1C1C1C"/>
          <w:sz w:val="28"/>
          <w:szCs w:val="28"/>
          <w:shd w:val="clear" w:color="auto" w:fill="FFFFFF"/>
        </w:rPr>
        <w:t xml:space="preserve"> Уэльсе (Великобритания) образовательной реформы повышения возраста окончания школы </w:t>
      </w:r>
      <w:r w:rsidR="006E7C67" w:rsidRPr="004804AA">
        <w:rPr>
          <w:rFonts w:ascii="Times New Roman" w:hAnsi="Times New Roman" w:cs="Times New Roman"/>
          <w:color w:val="1C1C1C"/>
          <w:sz w:val="28"/>
          <w:szCs w:val="28"/>
          <w:shd w:val="clear" w:color="auto" w:fill="FFFFFF"/>
        </w:rPr>
        <w:t xml:space="preserve">- </w:t>
      </w:r>
      <w:r w:rsidRPr="004804AA">
        <w:rPr>
          <w:rFonts w:ascii="Times New Roman" w:hAnsi="Times New Roman" w:cs="Times New Roman"/>
          <w:color w:val="000000"/>
          <w:sz w:val="28"/>
          <w:szCs w:val="28"/>
          <w:shd w:val="clear" w:color="auto" w:fill="FFFFFF"/>
        </w:rPr>
        <w:t>ROSLA (</w:t>
      </w:r>
      <w:r w:rsidR="006E7C67" w:rsidRPr="004804AA">
        <w:rPr>
          <w:rFonts w:ascii="Times New Roman" w:hAnsi="Times New Roman" w:cs="Times New Roman"/>
          <w:color w:val="000000"/>
          <w:sz w:val="28"/>
          <w:szCs w:val="28"/>
          <w:shd w:val="clear" w:color="auto" w:fill="FFFFFF"/>
          <w:lang w:val="en-US"/>
        </w:rPr>
        <w:t>T</w:t>
      </w:r>
      <w:r w:rsidRPr="004804AA">
        <w:rPr>
          <w:rFonts w:ascii="Times New Roman" w:hAnsi="Times New Roman" w:cs="Times New Roman"/>
          <w:color w:val="000000"/>
          <w:sz w:val="28"/>
          <w:szCs w:val="28"/>
          <w:shd w:val="clear" w:color="auto" w:fill="FFFFFF"/>
        </w:rPr>
        <w:t xml:space="preserve">he raising of the school leaving age). Дополнительное обязательное школьное образование в связи с реформой </w:t>
      </w:r>
      <w:r w:rsidR="00090571" w:rsidRPr="004804AA">
        <w:rPr>
          <w:rFonts w:ascii="Times New Roman" w:hAnsi="Times New Roman" w:cs="Times New Roman"/>
          <w:color w:val="000000"/>
          <w:sz w:val="28"/>
          <w:szCs w:val="28"/>
          <w:shd w:val="clear" w:color="auto" w:fill="FFFFFF"/>
        </w:rPr>
        <w:t>ROSLA</w:t>
      </w:r>
      <w:r w:rsidRPr="004804AA">
        <w:rPr>
          <w:rFonts w:ascii="Times New Roman" w:hAnsi="Times New Roman" w:cs="Times New Roman"/>
          <w:color w:val="000000"/>
          <w:sz w:val="28"/>
          <w:szCs w:val="28"/>
          <w:shd w:val="clear" w:color="auto" w:fill="FFFFFF"/>
        </w:rPr>
        <w:t xml:space="preserve"> 1972 г. было связано с более отрицательной аномалией рефракции, в </w:t>
      </w:r>
      <w:r w:rsidR="006E7C67" w:rsidRPr="004804AA">
        <w:rPr>
          <w:rFonts w:ascii="Times New Roman" w:hAnsi="Times New Roman" w:cs="Times New Roman"/>
          <w:color w:val="000000"/>
          <w:sz w:val="28"/>
          <w:szCs w:val="28"/>
          <w:shd w:val="clear" w:color="auto" w:fill="FFFFFF"/>
        </w:rPr>
        <w:t>среднем на</w:t>
      </w:r>
      <w:r w:rsidRPr="004804AA">
        <w:rPr>
          <w:rFonts w:ascii="Times New Roman" w:hAnsi="Times New Roman" w:cs="Times New Roman"/>
          <w:color w:val="000000"/>
          <w:sz w:val="28"/>
          <w:szCs w:val="28"/>
          <w:shd w:val="clear" w:color="auto" w:fill="FFFFFF"/>
        </w:rPr>
        <w:t xml:space="preserve"> 0,29</w:t>
      </w:r>
      <w:r w:rsidR="006E7C67" w:rsidRPr="004804AA">
        <w:rPr>
          <w:rFonts w:ascii="Times New Roman" w:hAnsi="Times New Roman" w:cs="Times New Roman"/>
          <w:color w:val="000000"/>
          <w:sz w:val="28"/>
          <w:szCs w:val="28"/>
          <w:shd w:val="clear" w:color="auto" w:fill="FFFFFF"/>
        </w:rPr>
        <w:t xml:space="preserve"> диоптрий</w:t>
      </w:r>
      <w:r w:rsidR="00891764">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{"citationID":"RhlIfm9G","properties":{"formattedCitation":"[138]","plainCitation":"[138]","noteIndex":0},"citationItems":[{"id":1262,"uris":["http://zotero.org/users/local/XMo5Fvid/items/RK2STGRK"],"itemData":{"id":1262,"type":"article-journal","abstract":"Purpose: Cross-sectional and longitudinal studies have consistently reported an association between education and myopia. However, conventional observational studies are at risk of bias due to confounding by factors such as socioeconomic position and parental educational attainment. The current study aimed to estimate the causal effect of education on refractive error using regression discontinuity analysis.\nMethods: Regression discontinuity analysis was applied to assess the influence on refractive error of the raising of the school leaving age (ROSLA) from 15 to 16 years introduced in England and Wales in 1972. For comparison, a conventional ordinary least squares (OLS) analysis was performed. The analysis sample comprised 21,548 UK Biobank participants born in a nine-year interval centered on September 1957, the date of birth of those first affected by ROSLA.\nResults: In OLS analysis, the ROSLA 1972 reform was associated with a -0.29 D (95% confidence interval [CI]: -0.36 to -0.21, P &lt; 0.001) more negative refractive error. In other words, the refractive error of the study sample became more negative by -0.29 D during the transition from a minimum school leaving age of 15 to 16 years of age. Regression discontinuity analysis estimated the causal effect of the ROSLA 1972 reform on refractive error as -0.77 D (95% CI: -1.53 to -0.02, P = 0.04).\nConclusions: Additional compulsory schooling due to the ROSLA 1972 reform was associated with a more negative refractive error, providing additional support for a causal relationship between education and myopia.","container-title":"Investigative Ophthalmology &amp; Visual Science","DOI":"10.1167/iovs.61.11.7","ISSN":"1552-5783","issue":"11","journalAbbreviation":"Invest Ophthalmol Vis Sci","language":"eng","note":"PMID: 32886096\nPMCID: PMC7476669","page":"7","source":"PubMed","title":"Effect of Education on Myopia: Evidence from the United Kingdom ROSLA 1972 Reform","title-short":"Effect of Education on Myopia","volume":"61","author":[{"family":"Plotnikov","given":"Denis"},{"family":"Williams","given":"Cathy"},{"family":"Atan","given":"Denize"},{"family":"Davies","given":"Neil M."},{"family":"Ghorbani Mojarrad","given":"Neema"},{"family":"Guggenheim","given":"Jeremy A."},{"literal":"UK Biobank Eye and Vision Consortium"}],"issued":{"date-parts":[["2020",9,1]]}}}],"schema":"https://github.com/citation-style-language/schema/raw/master/csl-citation.json"} </w:instrText>
      </w:r>
      <w:r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[138]</w:t>
      </w:r>
      <w:r w:rsidRPr="004804AA">
        <w:rPr>
          <w:rFonts w:ascii="Times New Roman" w:hAnsi="Times New Roman" w:cs="Times New Roman"/>
          <w:color w:val="000000"/>
          <w:sz w:val="28"/>
          <w:szCs w:val="28"/>
          <w:shd w:val="clear" w:color="auto" w:fill="FFFFFF"/>
        </w:rPr>
        <w:fldChar w:fldCharType="end"/>
      </w:r>
      <w:r w:rsidR="00891764">
        <w:rPr>
          <w:rFonts w:ascii="Times New Roman" w:hAnsi="Times New Roman" w:cs="Times New Roman"/>
          <w:color w:val="000000"/>
          <w:sz w:val="28"/>
          <w:szCs w:val="28"/>
          <w:shd w:val="clear" w:color="auto" w:fill="FFFFFF"/>
        </w:rPr>
        <w:t>.</w:t>
      </w:r>
    </w:p>
    <w:p w14:paraId="3FFF411F" w14:textId="6798A5B3" w:rsidR="002C0804" w:rsidRPr="004804AA" w:rsidRDefault="00626A84"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В ходе</w:t>
      </w:r>
      <w:r w:rsidR="001162D4" w:rsidRPr="004804AA">
        <w:rPr>
          <w:rFonts w:ascii="Times New Roman" w:eastAsiaTheme="minorHAnsi" w:hAnsi="Times New Roman" w:cs="Times New Roman"/>
          <w:sz w:val="28"/>
          <w:szCs w:val="28"/>
          <w:lang w:eastAsia="en-US"/>
        </w:rPr>
        <w:t xml:space="preserve"> метаанализа популяционных кросс-секционных исследований </w:t>
      </w:r>
      <w:bookmarkStart w:id="3" w:name="_Hlk68517134"/>
      <w:r w:rsidR="001162D4" w:rsidRPr="004804AA">
        <w:rPr>
          <w:rFonts w:ascii="Times New Roman" w:eastAsiaTheme="minorHAnsi" w:hAnsi="Times New Roman" w:cs="Times New Roman"/>
          <w:sz w:val="28"/>
          <w:szCs w:val="28"/>
          <w:lang w:eastAsia="en-US"/>
        </w:rPr>
        <w:t>Консорциума European Eye Epidemiology</w:t>
      </w:r>
      <w:bookmarkEnd w:id="3"/>
      <w:r w:rsidR="001162D4" w:rsidRPr="004804AA">
        <w:rPr>
          <w:rFonts w:ascii="Times New Roman" w:eastAsiaTheme="minorHAnsi" w:hAnsi="Times New Roman" w:cs="Times New Roman"/>
          <w:sz w:val="28"/>
          <w:szCs w:val="28"/>
          <w:lang w:eastAsia="en-US"/>
        </w:rPr>
        <w:t xml:space="preserve">, </w:t>
      </w:r>
      <w:r w:rsidR="00D0476D" w:rsidRPr="004804AA">
        <w:rPr>
          <w:rFonts w:ascii="Times New Roman" w:eastAsiaTheme="minorHAnsi" w:hAnsi="Times New Roman" w:cs="Times New Roman"/>
          <w:sz w:val="28"/>
          <w:szCs w:val="28"/>
          <w:lang w:eastAsia="en-US"/>
        </w:rPr>
        <w:t>наблюда</w:t>
      </w:r>
      <w:r w:rsidRPr="004804AA">
        <w:rPr>
          <w:rFonts w:ascii="Times New Roman" w:eastAsiaTheme="minorHAnsi" w:hAnsi="Times New Roman" w:cs="Times New Roman"/>
          <w:sz w:val="28"/>
          <w:szCs w:val="28"/>
          <w:lang w:eastAsia="en-US"/>
        </w:rPr>
        <w:t>л</w:t>
      </w:r>
      <w:r w:rsidR="00D0476D" w:rsidRPr="004804AA">
        <w:rPr>
          <w:rFonts w:ascii="Times New Roman" w:eastAsiaTheme="minorHAnsi" w:hAnsi="Times New Roman" w:cs="Times New Roman"/>
          <w:sz w:val="28"/>
          <w:szCs w:val="28"/>
          <w:lang w:eastAsia="en-US"/>
        </w:rPr>
        <w:t>ся значительный когортный эффект увеличения распространенности миопии в последние десятилетия рождения</w:t>
      </w:r>
      <w:r w:rsidRPr="004804AA">
        <w:rPr>
          <w:rFonts w:ascii="Times New Roman" w:eastAsiaTheme="minorHAnsi" w:hAnsi="Times New Roman" w:cs="Times New Roman"/>
          <w:sz w:val="28"/>
          <w:szCs w:val="28"/>
          <w:lang w:eastAsia="en-US"/>
        </w:rPr>
        <w:t xml:space="preserve">, </w:t>
      </w:r>
      <w:r w:rsidR="00D0476D" w:rsidRPr="004804AA">
        <w:rPr>
          <w:rFonts w:ascii="Times New Roman" w:eastAsiaTheme="minorHAnsi" w:hAnsi="Times New Roman" w:cs="Times New Roman"/>
          <w:sz w:val="28"/>
          <w:szCs w:val="28"/>
          <w:lang w:eastAsia="en-US"/>
        </w:rPr>
        <w:t xml:space="preserve">и </w:t>
      </w:r>
      <w:r w:rsidR="001162D4" w:rsidRPr="004804AA">
        <w:rPr>
          <w:rFonts w:ascii="Times New Roman" w:eastAsiaTheme="minorHAnsi" w:hAnsi="Times New Roman" w:cs="Times New Roman"/>
          <w:sz w:val="28"/>
          <w:szCs w:val="28"/>
          <w:lang w:eastAsia="en-US"/>
        </w:rPr>
        <w:t>образование было в значительной степени связано с миопией; для окончивших начальное, среднее и высшее образование стандартизованные по возрасту показатели распространенности составляли 25,4%, 29,1% и 36,6%, соответственно</w:t>
      </w:r>
      <w:r w:rsidR="00891764">
        <w:rPr>
          <w:rFonts w:ascii="Times New Roman" w:eastAsiaTheme="minorHAnsi" w:hAnsi="Times New Roman" w:cs="Times New Roman"/>
          <w:sz w:val="28"/>
          <w:szCs w:val="28"/>
          <w:lang w:eastAsia="en-US"/>
        </w:rPr>
        <w:t xml:space="preserve"> </w:t>
      </w:r>
      <w:r w:rsidR="00BE6543"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{"citationID":"UGaoXvui","properties":{"formattedCitation":"[29]","plainCitation":"[29]","noteIndex":0},"citationItems":[{"id":1304,"uris":["http://zotero.org/users/local/XMo5Fvid/items/4XSFV7MV"],"itemData":{"id":1304,"type":"article-journal","abstract":"PURPOSE: To investigate whether myopia is becoming more common across Europe and explore whether increasing education levels, an important environmental risk factor for myopia, might explain any temporal trend.\nDESIGN: Meta-analysis of population-based, cross-sectional studies from the European Eye Epidemiology (E(3)) Consortium.\nPARTICIPANTS: The E(3) Consortium is a collaborative network of epidemiological studies of common eye diseases in adults across Europe. Refractive data were available for 61 946 participants from 15 population-based studies performed between 1990 and 2013; participants had a range of median ages from 44 to 78 years.\nMETHODS: Noncycloplegic refraction, year of birth, and highest educational level achieved were obtained for all participants. Myopia was defined as a mean spherical equivalent ≤-0.75 diopters. A random-effects meta-analysis of age-specific myopia prevalence was performed, with sequential analyses stratified by year of birth and highest level of educational attainment.\nMAIN OUTCOME MEASURES: Variation in age-specific myopia prevalence for differing years of birth and educational level.\nRESULTS: There was a significant cohort effect for increasing myopia prevalence across more recent birth decades; age-standardized myopia prevalence increased from 17.8% (95% confidence interval [CI], 17.6-18.1) to 23.5% (95% CI, 23.2-23.7) in those born between 1910 and 1939 compared with 1940 and 1979 (P = 0.03). Education was significantly associated with myopia; for those completing primary, secondary, and higher education, the age-standardized prevalences were 25.4% (CI, 25.0-25.8), 29.1% (CI, 28.8-29.5), and 36.6% (CI, 36.1-37.2), respectively. Although more recent birth cohorts were more educated, this did not fully explain the cohort effect. Compared with the reference risk of participants born in the 1920s with only primary education, higher education or being born in the 1960s doubled the myopia prevalence ratio-2.43 (CI, 1.26-4.17) and 2.62 (CI, 1.31-5.00), respectively-whereas individuals born in the 1960s and completing higher education had approximately 4 times the reference risk: a prevalence ratio of 3.76 (CI, 2.21-6.57).\nCONCLUSIONS: Myopia is becoming more common in Europe; although education levels have increased and are associated with myopia, higher education seems to be an additive rather than explanatory factor. Increasing levels of myopia carry significant clinical and economic implications, with more people at risk of the sight-threatening complications associated with high myopia.","container-title":"Ophthalmology","DOI":"10.1016/j.ophtha.2015.03.018","ISSN":"1549-4713","issue":"7","journalAbbreviation":"Ophthalmology","language":"eng","note":"PMID: 25983215\nPMCID: PMC4504030","page":"1489-1497","source":"PubMed","title":"Increasing Prevalence of Myopia in Europe and the Impact of Education","volume":"122","author":[{"family":"Williams","given":"Katie M."},{"family":"Bertelsen","given":"Geir"},{"family":"Cumberland","given":"Phillippa"},{"family":"Wolfram","given":"Christian"},{"family":"Verhoeven","given":"Virginie J. M."},{"family":"Anastasopoulos","given":"Eleftherios"},{"family":"Buitendijk","given":"Gabriëlle H. S."},{"family":"Cougnard-Grégoire","given":"Audrey"},{"family":"Creuzot-Garcher","given":"Catherine"},{"family":"Erke","given":"Maja Gran"},{"family":"Hogg","given":"Ruth"},{"family":"Höhn","given":"René"},{"family":"Hysi","given":"Pirro"},{"family":"Khawaja","given":"Anthony P."},{"family":"Korobelnik","given":"Jean-François"},{"family":"Ried","given":"Janina"},{"family":"Vingerling","given":"Johannes R."},{"family":"Bron","given":"Alain"},{"family":"Dartigues","given":"Jean-François"},{"family":"Fletcher","given":"Astrid"},{"family":"Hofman","given":"Albert"},{"family":"Kuijpers","given":"Robert W. A. M."},{"family":"Luben","given":"Robert N."},{"family":"Oxele","given":"Konrad"},{"family":"Topouzis","given":"Fotis"},{"family":"Hanno","given":"Therese","non-dropping-particle":"von"},{"family":"Mirshahi","given":"Alireza"},{"family":"Foster","given":"Paul J."},{"family":"Duijn","given":"Cornelia M.","non-dropping-particle":"van"},{"family":"Pfeiffer","given":"Norbert"},{"family":"Delcourt","given":"Cécile"},{"family":"Klaver","given":"Caroline C. W."},{"family":"Rahi","given":"Jugnoo"},{"family":"Hammond","given":"Christopher J."},{"literal":"European Eye Epidemiology (E(3)) Consortium"}],"issued":{"date-parts":[["2015",7]]}}}],"schema":"https://github.com/citation-style-language/schema/raw/master/csl-citation.json"} </w:instrText>
      </w:r>
      <w:r w:rsidR="00BE6543"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[29]</w:t>
      </w:r>
      <w:r w:rsidR="00BE6543" w:rsidRPr="004804AA">
        <w:rPr>
          <w:rFonts w:ascii="Times New Roman" w:eastAsiaTheme="minorHAnsi" w:hAnsi="Times New Roman" w:cs="Times New Roman"/>
          <w:sz w:val="28"/>
          <w:szCs w:val="28"/>
          <w:lang w:eastAsia="en-US"/>
        </w:rPr>
        <w:fldChar w:fldCharType="end"/>
      </w:r>
      <w:r w:rsidR="00891764">
        <w:rPr>
          <w:rFonts w:ascii="Times New Roman" w:eastAsiaTheme="minorHAnsi" w:hAnsi="Times New Roman" w:cs="Times New Roman"/>
          <w:sz w:val="28"/>
          <w:szCs w:val="28"/>
          <w:lang w:eastAsia="en-US"/>
        </w:rPr>
        <w:t>.</w:t>
      </w:r>
      <w:r w:rsidR="00034B17">
        <w:rPr>
          <w:rFonts w:ascii="Times New Roman" w:eastAsiaTheme="minorHAnsi" w:hAnsi="Times New Roman" w:cs="Times New Roman"/>
          <w:sz w:val="28"/>
          <w:szCs w:val="28"/>
          <w:lang w:eastAsia="en-US"/>
        </w:rPr>
        <w:t xml:space="preserve"> </w:t>
      </w:r>
      <w:r w:rsidR="002C0804" w:rsidRPr="004804AA">
        <w:rPr>
          <w:rFonts w:ascii="Times New Roman" w:eastAsiaTheme="minorHAnsi" w:hAnsi="Times New Roman" w:cs="Times New Roman"/>
          <w:sz w:val="28"/>
          <w:szCs w:val="28"/>
          <w:lang w:eastAsia="en-US"/>
        </w:rPr>
        <w:t>Эти и другие исследование убедительно доказали, что на</w:t>
      </w:r>
      <w:r w:rsidR="002C0804" w:rsidRPr="004804AA">
        <w:rPr>
          <w:rFonts w:ascii="Times New Roman" w:hAnsi="Times New Roman" w:cs="Times New Roman"/>
          <w:color w:val="000000"/>
          <w:sz w:val="28"/>
          <w:szCs w:val="28"/>
          <w:shd w:val="clear" w:color="auto" w:fill="FFFFFF"/>
        </w:rPr>
        <w:t xml:space="preserve"> развитие миопии влияет образ жизни, окружающая среда и особенно работа, выполняемая на близком расстоянии</w:t>
      </w:r>
      <w:r w:rsidR="00891764">
        <w:rPr>
          <w:rFonts w:ascii="Times New Roman" w:hAnsi="Times New Roman" w:cs="Times New Roman"/>
          <w:color w:val="000000"/>
          <w:sz w:val="28"/>
          <w:szCs w:val="28"/>
          <w:shd w:val="clear" w:color="auto" w:fill="FFFFFF"/>
        </w:rPr>
        <w:t xml:space="preserve"> </w:t>
      </w:r>
      <w:r w:rsidR="002C0804"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{"citationID":"4KB964ju","properties":{"formattedCitation":"[139; 140]","plainCitation":"[139; 140]","noteIndex":0},"citationItems":[{"id":1399,"uris":["http://zotero.org/users/local/XMo5Fvid/items/UAK5TBU9"],"itemData":{"id":1399,"type":"article-journal","container-title":"Lancet (London, England)","DOI":"10.1016/S0140-6736(05)71520-8","ISSN":"0140-6736","issue":"9253","journalAbbreviation":"Lancet","language":"eng","note":"PMID: 11211020","page":"390","source":"PubMed","title":"Nearwork and myopia in young children","volume":"357","author":[{"family":"Saw","given":"S. M."},{"family":"Hong","given":"C. Y."},{"family":"Chia","given":"K. S."},{"family":"Stone","given":"R. A."},{"family":"Tan","given":"D."}],"issued":{"date-parts":[["2001",2,3]]}},"label":"page"},{"id":1441,"uris":["http://zotero.org/users/local/XMo5Fvid/items/E4CUJPNE"],"itemData":{"id":1441,"type":"article-journal","abstract":"PURPOSE: To determine the relationship of nearwork and myopia in young elementary school-age children in Singapore.\nMETHODS: A cross-sectional study of 1005 school children aged 7 to 9 years was conducted in two schools in Singapore. Cycloplegic autorefraction, keratometry, and biometry measurements were performed. In addition, the parents completed a detailed questionnaire on nearwork activity (books read per week, reading in hours per day and diopter hours [addition of three times reading, two times computer use, and two times video games use in hours per day]). Other risk factors, such as parental myopia, socioeconomic status, and light exposure history, were assessed.\nRESULTS: In addition to socioeconomic factors, several nearwork indices were associated with myopia in these young children. The multivariate adjusted odds ratio of higher myopia (at least -3.0 D) for children who read more than two books per week was 3.05 (95% confidence interval [CI], 1.80-5.18). However, the odds ratios of higher myopia for children who read more than 2 hours per day or with more than 8 diopter hours (1.50; 95% CI, 0.87-2.55 and 1.04; 95% CI, 0.61-1.78, respectively) were not significant, after controlling for several factors.\nCONCLUSIONS: Children aged 7 to 9 years with a greater current reading exposure were more likely to be myopic. This association of reading and myopia in a young age cohort was greater than the strength of the reading association generally found in older myopic subjects. Whether these results identify an association of early-onset myopia with nearwork activity or other potentially confounding factors is discussed.","container-title":"Investigative Ophthalmology &amp; Visual Science","ISSN":"0146-0404","issue":"2","journalAbbreviation":"Invest Ophthalmol Vis Sci","language":"eng","note":"PMID: 11818374","page":"332-339","source":"PubMed","title":"Nearwork in early-onset myopia","volume":"43","author":[{"family":"Saw","given":"Seang-Mei"},{"family":"Chua","given":"Wei-Han"},{"family":"Hong","given":"Ching-Ye"},{"family":"Wu","given":"Hui-Min"},{"family":"Chan","given":"Wai-Ying"},{"family":"Chia","given":"Kee-Seng"},{"family":"Stone","given":"Richard A."},{"family":"Tan","given":"Donald"}],"issued":{"date-parts":[["2002",2]]}},"label":"page"}],"schema":"https://github.com/citation-style-language/schema/raw/master/csl-citation.json"} </w:instrText>
      </w:r>
      <w:r w:rsidR="002C0804"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[139; 140]</w:t>
      </w:r>
      <w:r w:rsidR="002C0804" w:rsidRPr="004804AA">
        <w:rPr>
          <w:rFonts w:ascii="Times New Roman" w:hAnsi="Times New Roman" w:cs="Times New Roman"/>
          <w:color w:val="000000"/>
          <w:sz w:val="28"/>
          <w:szCs w:val="28"/>
          <w:shd w:val="clear" w:color="auto" w:fill="FFFFFF"/>
        </w:rPr>
        <w:fldChar w:fldCharType="end"/>
      </w:r>
      <w:r w:rsidR="00891764">
        <w:rPr>
          <w:rFonts w:ascii="Times New Roman" w:hAnsi="Times New Roman" w:cs="Times New Roman"/>
          <w:color w:val="000000"/>
          <w:sz w:val="28"/>
          <w:szCs w:val="28"/>
          <w:shd w:val="clear" w:color="auto" w:fill="FFFFFF"/>
        </w:rPr>
        <w:t>.</w:t>
      </w:r>
    </w:p>
    <w:p w14:paraId="0429E7C6" w14:textId="0845F631" w:rsidR="00636689" w:rsidRPr="004804AA" w:rsidRDefault="00470D7E"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С</w:t>
      </w:r>
      <w:r w:rsidR="00636689" w:rsidRPr="004804AA">
        <w:rPr>
          <w:rFonts w:ascii="Times New Roman" w:hAnsi="Times New Roman" w:cs="Times New Roman"/>
          <w:sz w:val="28"/>
          <w:szCs w:val="28"/>
        </w:rPr>
        <w:t>овременный рост близорукости отражает глобальную тенденцию к тому, что дети во многих странах стали уделять больше времени чтению, учебе и в последние десятилетия компьютерам и смартфонам. Это особенно актуально в странах Восточной Азии, где большое значение придается образовательным показателям, заставляющим детей тратить больше времени на учебу. Отчет Организации экономического сотрудничества и развития за 2014 год показал, что в среднем 15-летний подросток в Шанхае тратит 14 часов в неделю на домашнюю работу по сравнению с 5 часами в Великобритании и 6 часами в Соединенных Штатах</w:t>
      </w:r>
      <w:r w:rsidR="00CD3E72">
        <w:rPr>
          <w:rFonts w:ascii="Times New Roman" w:hAnsi="Times New Roman" w:cs="Times New Roman"/>
          <w:sz w:val="28"/>
          <w:szCs w:val="28"/>
        </w:rPr>
        <w:t xml:space="preserve"> </w:t>
      </w:r>
      <w:r w:rsidR="00636689"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{"citationID":"rJPhGFY3","properties":{"formattedCitation":"[141]","plainCitation":"[141]","noteIndex":0},"citationItems":[{"id":913,"uris":["http://zotero.org/users/local/XMo5Fvid/items/2N63PYSC"],"itemData":{"id":913,"type":"report","abstract":"While most 15-year-old students spend part of their after-school time doing homework, the amount of time they spend on it shrank between 2003 and 2012. Socio-economically advantaged students and students who attend socio-economically advantaged schools tend to spend more time doing homework. While the amount of homework assigned is associated with mathematics performance among students and schools, other factors are more important in determining the performance of school systems as a whole.","collection-title":"PISA in Focus","language":"en","number":"46","publisher":"OECD Publishing","source":"ideas.repec.org","title":"Does Homework Perpetuate Inequities in Education?","URL":"https://ideas.repec.org/p/oec/eduddd/46-en.html","author":[{"family":"Oecd","given":""}],"accessed":{"date-parts":[["2019",9,8]]},"issued":{"date-parts":[["2014",12,1]]}}}],"schema":"https://github.com/citation-style-language/schema/raw/master/csl-citation.json"} </w:instrText>
      </w:r>
      <w:r w:rsidR="00636689"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[141]</w:t>
      </w:r>
      <w:r w:rsidR="00636689"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EF6738">
        <w:rPr>
          <w:rFonts w:ascii="Times New Roman" w:hAnsi="Times New Roman" w:cs="Times New Roman"/>
          <w:sz w:val="28"/>
          <w:szCs w:val="28"/>
        </w:rPr>
        <w:t xml:space="preserve"> </w:t>
      </w:r>
      <w:r w:rsidR="00AB5CDF" w:rsidRPr="004804AA">
        <w:rPr>
          <w:rFonts w:ascii="Times New Roman" w:hAnsi="Times New Roman" w:cs="Times New Roman"/>
          <w:sz w:val="28"/>
          <w:szCs w:val="28"/>
        </w:rPr>
        <w:t>Это подтверждается многочисленными исследованиями, в которых успешные студенты имеют значительно более высокий риск миопии, чем студенты с более низкой успеваемостью</w:t>
      </w:r>
      <w:r w:rsidR="00CD3E72">
        <w:rPr>
          <w:rFonts w:ascii="Times New Roman" w:hAnsi="Times New Roman" w:cs="Times New Roman"/>
          <w:sz w:val="28"/>
          <w:szCs w:val="28"/>
        </w:rPr>
        <w:t xml:space="preserve"> </w:t>
      </w:r>
      <w:r w:rsidR="00AB5CD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{"citationID":"dXjWHqzC","properties":{"formattedCitation":"[92]","plainCitation":"[92]","noteIndex":0},"citationItems":[{"id":1260,"uris":["http://zotero.org/users/local/XMo5Fvid/items/GCL6FPGK"],"itemData":{"id":1260,"type":"article-journal","abstract":"PURPOSE: To examine prevalence of refractive errors and its associated factors, such as body stature and educational level, among 19-year-old males in Seoul, Korea.\nMETHODS: A population-based cross-sectional study was performed in male subjects (n = 23,616; age = 19 years) who were normally resident in Seoul for male compulsory conscripts during the study period (2010). Refractive examination was performed with cycloplegia. Height, weight, and educational level were examined. Myopia was defined as a spherical equivalent less than -0.5 diopters (D) and high myopia less than -6.0 D. The association of myopia with body stature and educational level was analyzed using logistic regression analysis.\nRESULTS: The prevalence of myopia in 19-year-old males in Seoul was 96.5%. The prevalence of high myopia was 21.61%. Body stature was not significantly associated with myopia. Four- to 6-year university students (odds ratio [OR] 1.69; P &lt; 0.001) and 2 to 3-year college students (OR 1.68; P &lt; 0.001) showed significantly higher risk for myopia than those with lower academic achievement (&lt; high school graduation).\nCONCLUSIONS: The 19-year-old male population in Seoul, Korea, demonstrated a very high myopic prevalence. Myopic refractive error was associated with academic achievement, not with body stature.","container-title":"Investigative Ophthalmology &amp; Visual Science","DOI":"10.1167/iovs.12-10106","ISSN":"1552-5783","issue":"9","journalAbbreviation":"Invest Ophthalmol Vis Sci","language":"eng","note":"PMID: 22836765","page":"5579-5583","source":"PubMed","title":"Prevalence of myopia and its association with body stature and educational level in 19-year-old male conscripts in seoul, South Korea","volume":"53","author":[{"family":"Jung","given":"Su-Kyung"},{"family":"Lee","given":"Jin Hae"},{"family":"Kakizaki","given":"Hirohiko"},{"family":"Jee","given":"Donghyun"}],"issued":{"date-parts":[["2012",8,15]]}}}],"schema":"https://github.com/citation-style-language/schema/raw/master/csl-citation.json"} </w:instrText>
      </w:r>
      <w:r w:rsidR="00AB5CD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[92]</w:t>
      </w:r>
      <w:r w:rsidR="00AB5CDF"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8D2ACB" w:rsidRPr="004804AA">
        <w:rPr>
          <w:rFonts w:ascii="Times New Roman" w:hAnsi="Times New Roman" w:cs="Times New Roman"/>
          <w:sz w:val="28"/>
          <w:szCs w:val="28"/>
        </w:rPr>
        <w:t xml:space="preserve"> Например, данные популяционного исследования школьников в Сингапуре, показали, что у тех, кто читает более двух книг в неделю, риск миопии высокой степени выше в 3,05 раза, чем у тех, кто читал меньше</w:t>
      </w:r>
      <w:r w:rsidR="00CD3E72">
        <w:rPr>
          <w:rFonts w:ascii="Times New Roman" w:hAnsi="Times New Roman" w:cs="Times New Roman"/>
          <w:sz w:val="28"/>
          <w:szCs w:val="28"/>
        </w:rPr>
        <w:t xml:space="preserve"> </w:t>
      </w:r>
      <w:r w:rsidR="008D2AC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{"citationID":"U1cGsZTw","properties":{"formattedCitation":"[139]","plainCitation":"[139]","noteIndex":0},"citationItems":[{"id":1399,"uris":["http://zotero.org/users/local/XMo5Fvid/items/UAK5TBU9"],"itemData":{"id":1399,"type":"article-journal","container-title":"Lancet (London, England)","DOI":"10.1016/S0140-6736(05)71520-8","ISSN":"0140-6736","issue":"9253","journalAbbreviation":"Lancet","language":"eng","note":"PMID: 11211020","page":"390","source":"PubMed","title":"Nearwork and myopia in young children","volume":"357","author":[{"family":"Saw","given":"S. M."},{"family":"Hong","given":"C. Y."},{"family":"Chia","given":"K. S."},{"family":"Stone","given":"R. A."},{"family":"Tan","given":"D."}],"issued":{"date-parts":[["2001",2,3]]}}}],"schema":"https://github.com/citation-style-language/schema/raw/master/csl-citation.json"} </w:instrText>
      </w:r>
      <w:r w:rsidR="008D2AC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[139]</w:t>
      </w:r>
      <w:r w:rsidR="008D2ACB"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4444F5" w:rsidRPr="004804AA">
        <w:rPr>
          <w:rFonts w:ascii="Times New Roman" w:hAnsi="Times New Roman" w:cs="Times New Roman"/>
          <w:sz w:val="28"/>
          <w:szCs w:val="28"/>
        </w:rPr>
        <w:t xml:space="preserve"> </w:t>
      </w:r>
    </w:p>
    <w:p w14:paraId="23C59F55" w14:textId="06ADD7E2" w:rsidR="004444F5" w:rsidRPr="004804AA" w:rsidRDefault="0093325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Кроме того, </w:t>
      </w:r>
      <w:r w:rsidR="005349BD" w:rsidRPr="004804AA">
        <w:rPr>
          <w:rFonts w:ascii="Times New Roman" w:hAnsi="Times New Roman" w:cs="Times New Roman"/>
          <w:sz w:val="28"/>
          <w:szCs w:val="28"/>
        </w:rPr>
        <w:t>Pi с соавторами выявил большую распространенность миопии среди детей в школах с усиленной академической нагрузкой, по сравнению с обычными школами: 32,68% и 9,78%, соответственно</w:t>
      </w:r>
      <w:r w:rsidR="00CD3E72">
        <w:rPr>
          <w:rFonts w:ascii="Times New Roman" w:hAnsi="Times New Roman" w:cs="Times New Roman"/>
          <w:sz w:val="28"/>
          <w:szCs w:val="28"/>
        </w:rPr>
        <w:t xml:space="preserve"> </w:t>
      </w:r>
      <w:r w:rsidR="005349BD"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{"citationID":"DXKflxdI","properties":{"formattedCitation":"[142]","plainCitation":"[142]","noteIndex":0},"citationItems":[{"id":1276,"uris":["http://zotero.org/users/local/XMo5Fvid/items/BSQ8UY5S"],"itemData":{"id":1276,"type":"article-journal","abstract":"OBJECTIVE: This study investigated the distribution pattern of refractive status and prevalence of refractive errors in school-age children in Western China to determine the possible environmental factors.\nMETHODS: A random sampling strategy in geographically defined clusters was used to identify children aged 6-15 years in Yongchuan, a socio-economically representative area in Western China. We carried out a door-to-door survey and actual eye examinations, including visual acuity measurements, stereopsis examination, anterior segment and eyeball movements, fundus examinations, and cycloplegic retinoscopy with 1% cyclopentolate.\nRESULTS: A total of 3469 children living in 2552 households were selected, and 3070 were examined. The distributions of refractive status were positively-skewed for 6-8-year-olds, and negatively-skewed for 9-12 and 13-15-year-olds. The prevalence of hyperopia (≥+2.00 D spherical equivalent [SE]), myopia (≤-0.50 D SE), and astigmatism (≥1.00 diopter of cylinder [DC]) were 3.26%, 13.75%, and 3.75%, respectively. As children's ages increased, the prevalence rate of hyperopia decreased (P&lt;0.001) and that of myopia increased significantly (P&lt;0.001). Children in academically challenging schools had a higher risk of myopia (P&lt;0.001) and astigmatism (≥1.00DC, P =0.04) than those in regular schools.\nCONCLUSION: The distribution of refractive status changes gradually from positively-skewed to negatively-skewed distributions as age increases, with 9-year-old being the critical age for the changes. Environmental factors and study intensity influence the occurrence and development of myopia.","container-title":"International Journal of Medical Sciences","DOI":"10.7150/ijms.7.342","ISSN":"1449-1907","issue":"6","journalAbbreviation":"Int J Med Sci","language":"eng","note":"PMID: 20975844\nPMCID: PMC2962262","page":"342-353","source":"PubMed","title":"Refractive status and prevalence of refractive errors in suburban school-age children","volume":"7","author":[{"family":"Pi","given":"Lian-Hong"},{"family":"Chen","given":"Lin"},{"family":"Liu","given":"Qin"},{"family":"Ke","given":"Ning"},{"family":"Fang","given":"Jing"},{"family":"Zhang","given":"Shu"},{"family":"Xiao","given":"Jun"},{"family":"Ye","given":"Wei-Jiang"},{"family":"Xiong","given":"Yan"},{"family":"Shi","given":"Hui"},{"family":"Yin","given":"Zheng-Qin"}],"issued":{"date-parts":[["2010",10,18]]}}}],"schema":"https://github.com/citation-style-language/schema/raw/master/csl-citation.json"} </w:instrText>
      </w:r>
      <w:r w:rsidR="005349BD"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[142]</w:t>
      </w:r>
      <w:r w:rsidR="005349BD"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034B17">
        <w:rPr>
          <w:rFonts w:ascii="Times New Roman" w:hAnsi="Times New Roman" w:cs="Times New Roman"/>
          <w:sz w:val="28"/>
          <w:szCs w:val="28"/>
        </w:rPr>
        <w:t xml:space="preserve"> </w:t>
      </w:r>
      <w:r w:rsidR="00B153C9" w:rsidRPr="004804AA">
        <w:rPr>
          <w:rFonts w:ascii="Times New Roman" w:hAnsi="Times New Roman" w:cs="Times New Roman"/>
          <w:sz w:val="28"/>
          <w:szCs w:val="28"/>
        </w:rPr>
        <w:t xml:space="preserve">Подобная </w:t>
      </w:r>
      <w:r w:rsidR="00034B17">
        <w:rPr>
          <w:rFonts w:ascii="Times New Roman" w:hAnsi="Times New Roman" w:cs="Times New Roman"/>
          <w:sz w:val="28"/>
          <w:szCs w:val="28"/>
        </w:rPr>
        <w:t xml:space="preserve">же </w:t>
      </w:r>
      <w:r w:rsidR="00B153C9" w:rsidRPr="004804AA">
        <w:rPr>
          <w:rFonts w:ascii="Times New Roman" w:hAnsi="Times New Roman" w:cs="Times New Roman"/>
          <w:sz w:val="28"/>
          <w:szCs w:val="28"/>
        </w:rPr>
        <w:t>тенденция на</w:t>
      </w:r>
      <w:r w:rsidR="004444F5" w:rsidRPr="004804AA">
        <w:rPr>
          <w:rFonts w:ascii="Times New Roman" w:hAnsi="Times New Roman" w:cs="Times New Roman"/>
          <w:sz w:val="28"/>
          <w:szCs w:val="28"/>
        </w:rPr>
        <w:t>шла</w:t>
      </w:r>
      <w:r w:rsidR="00B153C9" w:rsidRPr="004804AA">
        <w:rPr>
          <w:rFonts w:ascii="Times New Roman" w:hAnsi="Times New Roman" w:cs="Times New Roman"/>
          <w:sz w:val="28"/>
          <w:szCs w:val="28"/>
        </w:rPr>
        <w:t xml:space="preserve"> подтверждение и в работе европейских </w:t>
      </w:r>
      <w:r w:rsidR="004B598B" w:rsidRPr="004804AA">
        <w:rPr>
          <w:rFonts w:ascii="Times New Roman" w:hAnsi="Times New Roman" w:cs="Times New Roman"/>
          <w:sz w:val="28"/>
          <w:szCs w:val="28"/>
        </w:rPr>
        <w:t>исследователей</w:t>
      </w:r>
      <w:r w:rsidR="00CD3E72">
        <w:rPr>
          <w:rFonts w:ascii="Times New Roman" w:hAnsi="Times New Roman" w:cs="Times New Roman"/>
          <w:sz w:val="28"/>
          <w:szCs w:val="28"/>
        </w:rPr>
        <w:t xml:space="preserve"> </w:t>
      </w:r>
      <w:r w:rsidR="004B598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{"citationID":"GDPlMxPg","properties":{"formattedCitation":"[143]","plainCitation":"[143]","noteIndex":0},"citationItems":[{"id":1448,"uris":["http://zotero.org/users/local/XMo5Fvid/items/7XUTPVEZ"],"itemData":{"id":1448,"type":"article-journal","abstract":"BACKGROUND/AIMS: To investigate the influence of a period of sustained near work upon axial length in groups of emmetropes (EMM) and myopes.\nMETHODS: Forty young adult subjects (20 myopes and 20 emmetropes) were recruited for the study. Myopes were further classified as early onset (EOM), late onset (LOM), stable (SM) or progressing (PM) subgroups. Axial length was measured with the IOLMaster instrument before, immediately after and then again 10 min after a continuous 30 min near task of 5 D accommodation demand. Measures of distance objective refraction were also collected.\nRESULTS: Significant changes in axial length were observed immediately following the near task. EOM axial length elongated on average by 0.027±0.021 mm, LOM by 0.014±0.020 mm, EMM by 0.010±0.015 mm, PM by 0.031±0.022 mm and SM by 0.014±0.018 mm. At the conclusion of the 10 min regression period, axial length measures were not significantly different from baseline values.\nCONCLUSION: Axial elongation was observed following a prolonged near task. Both EOM and PM groups showed increases in axial length that were significantly greater than emmetropes.","container-title":"The British Journal of Ophthalmology","DOI":"10.1136/bjo.2010.180323","ISSN":"1468-2079","issue":"5","journalAbbreviation":"Br J Ophthalmol","language":"eng","note":"PMID: 20829316","page":"652-656","source":"PubMed","title":"Axial elongation following prolonged near work in myopes and emmetropes","volume":"95","author":[{"family":"Woodman","given":"Emily C."},{"family":"Read","given":"Scott A."},{"family":"Collins","given":"Michael J."},{"family":"Hegarty","given":"Katherine J."},{"family":"Priddle","given":"Scott B."},{"family":"Smith","given":"Josephine M."},{"family":"Perro","given":"Judd V."}],"issued":{"date-parts":[["2011",5]]}}}],"schema":"https://github.com/citation-style-language/schema/raw/master/csl-citation.json"} </w:instrText>
      </w:r>
      <w:r w:rsidR="004B598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[143]</w:t>
      </w:r>
      <w:r w:rsidR="004B598B"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B153C9" w:rsidRPr="004804AA">
        <w:rPr>
          <w:rFonts w:ascii="Times New Roman" w:hAnsi="Times New Roman" w:cs="Times New Roman"/>
          <w:sz w:val="28"/>
          <w:szCs w:val="28"/>
        </w:rPr>
        <w:t xml:space="preserve"> </w:t>
      </w:r>
      <w:r w:rsidR="008D2ACB" w:rsidRPr="004804AA">
        <w:rPr>
          <w:rFonts w:ascii="Times New Roman" w:hAnsi="Times New Roman" w:cs="Times New Roman"/>
          <w:sz w:val="28"/>
          <w:szCs w:val="28"/>
        </w:rPr>
        <w:t>Так</w:t>
      </w:r>
      <w:r w:rsidR="00636689" w:rsidRPr="004804AA">
        <w:rPr>
          <w:rFonts w:ascii="Times New Roman" w:hAnsi="Times New Roman" w:cs="Times New Roman"/>
          <w:sz w:val="28"/>
          <w:szCs w:val="28"/>
        </w:rPr>
        <w:t xml:space="preserve">, R. Zylbermann в 1990-х годах сообщил, </w:t>
      </w:r>
      <w:r w:rsidR="005D7661" w:rsidRPr="004804AA">
        <w:rPr>
          <w:rFonts w:ascii="Times New Roman" w:hAnsi="Times New Roman" w:cs="Times New Roman"/>
          <w:sz w:val="28"/>
          <w:szCs w:val="28"/>
        </w:rPr>
        <w:t>о более высокой распространенности миопии у ортодоксальных еврейских мальчиков, которые прошли интенсивное обучение в школе, по сравнению с православными детьми из общеобразовательных школ</w:t>
      </w:r>
      <w:r w:rsidR="00CD3E72">
        <w:rPr>
          <w:rFonts w:ascii="Times New Roman" w:hAnsi="Times New Roman" w:cs="Times New Roman"/>
          <w:sz w:val="28"/>
          <w:szCs w:val="28"/>
        </w:rPr>
        <w:t xml:space="preserve"> </w:t>
      </w:r>
      <w:r w:rsidR="00636689"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{"citationID":"h2xaivwy","properties":{"formattedCitation":"[144]","plainCitation":"[144]","noteIndex":0},"citationItems":[{"id":915,"uris":["http://zotero.org/users/local/XMo5Fvid/items/EYK4L3M3"],"itemData":{"id":915,"type":"article-journal","abstract":"The prevalence and degree of myopia were measured in 870 teenagers, males and females. We found a statistically significant higher prevalence and degree of myopia in a group of 193 Orthodox Jewish male students who differed from the rest in their study habits. Orthodox schooling is characterized by sustained near vision and frequent changes in accommodation due to the swaying habit during study and the variety of print size. A possible myopic effect of this unique visual demand is postulated.","container-title":"Journal of Pediatric Ophthalmology and Strabismus","ISSN":"0191-3913","issue":"5","journalAbbreviation":"J Pediatr Ophthalmol Strabismus","language":"eng","note":"PMID: 8254449","page":"319-322","source":"PubMed","title":"The influence of study habits on myopia in Jewish teenagers","volume":"30","author":[{"family":"Zylbermann","given":"R."},{"family":"Landau","given":"D."},{"family":"Berson","given":"D."}],"issued":{"date-parts":[["1993",10]]}}}],"schema":"https://github.com/citation-style-language/schema/raw/master/csl-citation.json"} </w:instrText>
      </w:r>
      <w:r w:rsidR="00636689"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[144]</w:t>
      </w:r>
      <w:r w:rsidR="00636689"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r w:rsidR="004444F5" w:rsidRPr="004804AA">
        <w:rPr>
          <w:rFonts w:ascii="Times New Roman" w:hAnsi="Times New Roman" w:cs="Times New Roman"/>
          <w:sz w:val="28"/>
          <w:szCs w:val="28"/>
        </w:rPr>
        <w:t xml:space="preserve"> Сиднейское исследование миопии (SMS) в 2008 году изучило детей в возрасте 12–13 лет и показало, что постоянное чтение (&gt; 30 минут) и работа на близком расстоянии (&lt;30 см) были факторами риска миопии (</w:t>
      </w:r>
      <w:r w:rsidR="00991DCA">
        <w:rPr>
          <w:rFonts w:ascii="Times New Roman" w:hAnsi="Times New Roman" w:cs="Times New Roman"/>
          <w:sz w:val="28"/>
          <w:szCs w:val="28"/>
        </w:rPr>
        <w:t>ОШ</w:t>
      </w:r>
      <w:r w:rsidR="00444869">
        <w:rPr>
          <w:rFonts w:ascii="Times New Roman" w:hAnsi="Times New Roman" w:cs="Times New Roman"/>
          <w:sz w:val="28"/>
          <w:szCs w:val="28"/>
        </w:rPr>
        <w:t xml:space="preserve"> </w:t>
      </w:r>
      <w:r w:rsidR="004444F5" w:rsidRPr="004804AA">
        <w:rPr>
          <w:rFonts w:ascii="Times New Roman" w:hAnsi="Times New Roman" w:cs="Times New Roman"/>
          <w:sz w:val="28"/>
          <w:szCs w:val="28"/>
        </w:rPr>
        <w:t xml:space="preserve">1,5 и </w:t>
      </w:r>
      <w:r w:rsidR="00991DCA">
        <w:rPr>
          <w:rFonts w:ascii="Times New Roman" w:hAnsi="Times New Roman" w:cs="Times New Roman"/>
          <w:sz w:val="28"/>
          <w:szCs w:val="28"/>
        </w:rPr>
        <w:t>ОШ</w:t>
      </w:r>
      <w:r w:rsidR="00444869">
        <w:rPr>
          <w:rFonts w:ascii="Times New Roman" w:hAnsi="Times New Roman" w:cs="Times New Roman"/>
          <w:sz w:val="28"/>
          <w:szCs w:val="28"/>
        </w:rPr>
        <w:t xml:space="preserve"> </w:t>
      </w:r>
      <w:r w:rsidR="004444F5" w:rsidRPr="004804AA">
        <w:rPr>
          <w:rFonts w:ascii="Times New Roman" w:hAnsi="Times New Roman" w:cs="Times New Roman"/>
          <w:sz w:val="28"/>
          <w:szCs w:val="28"/>
        </w:rPr>
        <w:t>2,5 соответственно)</w:t>
      </w:r>
      <w:r w:rsidR="00CD3E72">
        <w:rPr>
          <w:rFonts w:ascii="Times New Roman" w:hAnsi="Times New Roman" w:cs="Times New Roman"/>
          <w:sz w:val="28"/>
          <w:szCs w:val="28"/>
        </w:rPr>
        <w:t xml:space="preserve"> </w:t>
      </w:r>
      <w:r w:rsidR="004444F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{"citationID":"MSYXpV9o","properties":{"formattedCitation":"[145]","plainCitation":"[145]","noteIndex":0},"citationItems":[{"id":1203,"uris":["http://zotero.org/users/local/XMo5Fvid/items/FDSTDC9G"],"itemData":{"id":1203,"type":"article-journal","abstract":"PURPOSE: To examine the association of time spent in near work and reading with spherical equivalent refraction (SER) in a population-based sample of 12-year-old Australian schoolchildren.\nMETHODS: Data on the time spent in near-work or outdoor activities per week and estimates for the duration of continuous reading and reading distances, were collected in questionnaires (2353 participants, 75.3% response) in the Sydney Myopia Study between 2004 and 2005; 2339 children underwent a comprehensive eye examination, including cycloplegia.\nRESULTS: Longer time spent on reading for pleasure and reports of close reading distance (&lt; 30 cm) were associated with a more myopic refraction after adjustment for age, sex, ethnicity, and school type (P(trend) = 0.02 and P = 0.0003, respectively). Time spent in individual near-work activities, however, correlated poorly with SER (all r &lt; or = 0.2) and was not significant in multivariate analyses for myopia (SER &lt; or = -0.50 D), with adjustment for age, sex, ethnicity, parental myopia, school type, and outdoor activity. Children of European Caucasian ethnicity reported spending marginally less time in near work than children of East Asian ethnicity (26.0 h/wk vs. 32.5 h/wk, P &lt; 0.0001). East Asian ethnicity, however, was associated with substantially greater odds of having myopia (odds ratio [OR], 11.0; 95% confidence interval [CI], 7.0-17.4). Near work such as close reading distance (&lt; 30 cm) and continuous reading (&gt; 30 minutes) independently increased the odds of having myopia in this sample of children.\nCONCLUSIONS: Although myopia was not significantly associated with time spent in near work after adjustment for other factors, there were significant independent associations with close reading distance and continuous reading. These associations may indicate that the intensity rather than the total duration of near work is an important factor.","container-title":"Investigative Ophthalmology &amp; Visual Science","DOI":"10.1167/iovs.07-0804","ISSN":"1552-5783","issue":"7","journalAbbreviation":"Invest Ophthalmol Vis Sci","language":"eng","note":"PMID: 18579757","page":"2903-2910","source":"PubMed","title":"Role of near work in myopia: findings in a sample of Australian school children","title-short":"Role of near work in myopia","volume":"49","author":[{"family":"Ip","given":"Jenny M."},{"family":"Saw","given":"Seang-Mei"},{"family":"Rose","given":"Kathryn A."},{"family":"Morgan","given":"Ian G."},{"family":"Kifley","given":"Annette"},{"family":"Wang","given":"Jie Jin"},{"family":"Mitchell","given":"Paul"}],"issued":{"date-parts":[["2008",7]]}}}],"schema":"https://github.com/citation-style-language/schema/raw/master/csl-citation.json"} </w:instrText>
      </w:r>
      <w:r w:rsidR="004444F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[145]</w:t>
      </w:r>
      <w:r w:rsidR="004444F5"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p>
    <w:p w14:paraId="6C5E8A79" w14:textId="13A9B15F" w:rsidR="0075549B" w:rsidRPr="004804AA" w:rsidRDefault="0075549B" w:rsidP="005C37DF">
      <w:pPr>
        <w:pStyle w:val="a4"/>
        <w:ind w:firstLine="709"/>
        <w:jc w:val="both"/>
        <w:rPr>
          <w:rFonts w:ascii="Times New Roman" w:hAnsi="Times New Roman" w:cs="Times New Roman"/>
          <w:sz w:val="28"/>
          <w:szCs w:val="28"/>
        </w:rPr>
      </w:pPr>
      <w:r w:rsidRPr="004804AA">
        <w:rPr>
          <w:rFonts w:ascii="Times New Roman" w:hAnsi="Times New Roman" w:cs="Times New Roman"/>
          <w:color w:val="212121"/>
          <w:sz w:val="28"/>
          <w:szCs w:val="28"/>
          <w:shd w:val="clear" w:color="auto" w:fill="FFFFFF"/>
        </w:rPr>
        <w:t>В США по результатам Национального обследования состояния здоровья и питания (1971–1972), распространенность миопии росла с увеличением доходов и уровня образования семьи</w:t>
      </w:r>
      <w:r w:rsidR="00CD3E72">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{"citationID":"vuLholh9","properties":{"formattedCitation":"[94]","plainCitation":"[94]","noteIndex":0},"citationItems":[{"id":1219,"uris":["http://zotero.org/users/local/XMo5Fvid/items/HHUWK8VU"],"itemData":{"id":1219,"type":"article-journal","abstract":"Data from the 1971 to 1972 National Health and Nutrition Examination Survey were used to estimate myopia prevalence rates for persons in the United States between the ages of 12 and 54 years. When persons were classified by the refractive status of their right eye, 25% were myopic. Significantly lower prevalence rates were found for male subjects than for female subjects and for blacks than for whites. Myopia prevalence rose with family income and educational level. The importance of income and educational level may result from their association with near work, a factor that has been implicated in the pathogenesis of myopia.","container-title":"Archives of Ophthalmology (Chicago, Ill.: 1960)","DOI":"10.1001/archopht.1983.01040010405011","ISSN":"0003-9950","issue":"3","journalAbbreviation":"Arch Ophthalmol","language":"eng","note":"PMID: 6830491","page":"405-407","source":"PubMed","title":"Prevalence of myopia in the United States","volume":"101","author":[{"family":"Sperduto","given":"R. D."},{"family":"Seigel","given":"D."},{"family":"Roberts","given":"J."},{"family":"Rowland","given":"M."}],"issued":{"date-parts":[["1983",3]]}}}],"schema":"https://github.com/citation-style-language/schema/raw/master/csl-citation.json"} </w:instrText>
      </w:r>
      <w:r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[94]</w:t>
      </w:r>
      <w:r w:rsidRPr="004804AA">
        <w:rPr>
          <w:rFonts w:ascii="Times New Roman" w:hAnsi="Times New Roman" w:cs="Times New Roman"/>
          <w:color w:val="212121"/>
          <w:sz w:val="28"/>
          <w:szCs w:val="28"/>
          <w:shd w:val="clear" w:color="auto" w:fill="FFFFFF"/>
        </w:rPr>
        <w:fldChar w:fldCharType="end"/>
      </w:r>
      <w:r w:rsidR="00CD3E72">
        <w:rPr>
          <w:rFonts w:ascii="Times New Roman" w:hAnsi="Times New Roman" w:cs="Times New Roman"/>
          <w:color w:val="212121"/>
          <w:sz w:val="28"/>
          <w:szCs w:val="28"/>
          <w:shd w:val="clear" w:color="auto" w:fill="FFFFFF"/>
        </w:rPr>
        <w:t>.</w:t>
      </w:r>
    </w:p>
    <w:p w14:paraId="52DDF480" w14:textId="274BAAB9" w:rsidR="00636689" w:rsidRPr="004804AA" w:rsidRDefault="00636689"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Однако, в 2002 году </w:t>
      </w:r>
      <w:r w:rsidRPr="004804AA">
        <w:rPr>
          <w:rFonts w:ascii="Times New Roman" w:hAnsi="Times New Roman" w:cs="Times New Roman"/>
          <w:sz w:val="28"/>
          <w:szCs w:val="28"/>
          <w:lang w:val="en-US"/>
        </w:rPr>
        <w:t>S</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M</w:t>
      </w:r>
      <w:r w:rsidRPr="004804AA">
        <w:rPr>
          <w:rFonts w:ascii="Times New Roman" w:hAnsi="Times New Roman" w:cs="Times New Roman"/>
          <w:sz w:val="28"/>
          <w:szCs w:val="28"/>
        </w:rPr>
        <w:t>Saw с соавторами опубликовал результаты исследования, где изучали влияние на развитие миопии конкретных факторов зрительной нагрузки, таких как книги, читаемые за неделю, часы, проведенные за чтением или компьютером. Согласно исследованию ни один из них, не был основной причиной развития близорукости</w:t>
      </w:r>
      <w:r w:rsidR="00CD3E72">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{"citationID":"Ji1ZzQsd","properties":{"formattedCitation":"[23]","plainCitation":"[23]","noteIndex":0},"citationItems":[{"id":917,"uris":["http://zotero.org/users/local/XMo5Fvid/items/IDTQWJIR"],"itemData":{"id":917,"type":"article-journal","abstract":"OBJECTIVE: To examine the risk factors for variations in ocular biometry parameters in Singapore Chinese children, a population with a known high prevalence rate of myopia at an early age.\nDESIGN: Cross-sectional study.\nPARTICIPANTS: Children aged 7 to 9 years (n = 1453) from three schools in Singapore.\nMETHODS: The children underwent A scan biometry and cycloplegic autorefraction measurements. Questions were asked regarding number of books read per week, night lighting, and parental myopia.\nMAIN OUTCOME MEASURES: Axial length, vitreous chamber depth, lens thickness, anterior chamber depth, refraction, and corneal curvature radius measurements were made.\nRESULTS: After controlling for several factors, the axial lengths were found to be longer and vitreous chambers deeper in children who were older, male, read more than two books per week, or taller, and those who had at least one parent who was myopic. In these models, children who read more than two books per week had axial lengths that were 0.17 mm longer and vitreous chambers that were 0.15 mm deeper compared with children who read two or fewer books per week. Anterior chambers were deeper in males and taller children, whereas corneal curvature was steeper in female, older, and shorter children.\nCONCLUSIONS: Increases of axial length and vitreous cavity depth were associated with older age, being male, reading more than two books per week, increased height, and parental history of myopia. Of these risk factors, however, neither reading nor parental myopia history were associated with values for anterior chamber depth, corneal curvature, or lens thickness. These findings confirm that conventional risk factors for myopia associated with the vitreous cavity, but suggest that anterior segment parameters such as corneal curvature and lens thickness may be subject to unrelated postnatal growth control mechanisms.","container-title":"Ophthalmology","DOI":"10.1016/s0161-6420(02)01220-4","ISSN":"0161-6420","issue":"11","journalAbbreviation":"Ophthalmology","language":"eng","note":"PMID: 12414416","page":"2065-2071","source":"PubMed","title":"Component dependent risk factors for ocular parameters in Singapore Chinese children","volume":"109","author":[{"family":"Saw","given":"Seang-Mei"},{"family":"Carkeet","given":"Andrew"},{"family":"Chia","given":"Kee-Seng"},{"family":"Stone","given":"Richard A."},{"family":"Tan","given":"Donald T. H."}],"issued":{"date-parts":[["2002",11]]}}}],"schema":"https://github.com/citation-style-language/schema/raw/master/csl-citation.json"}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w:t>
      </w:r>
      <w:r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p>
    <w:p w14:paraId="1BF1313C" w14:textId="64E6032F" w:rsidR="0075549B" w:rsidRPr="004804AA" w:rsidRDefault="00443CC2"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Кроме того, </w:t>
      </w:r>
      <w:r w:rsidR="00F6283A" w:rsidRPr="004804AA">
        <w:rPr>
          <w:rFonts w:ascii="Times New Roman" w:hAnsi="Times New Roman" w:cs="Times New Roman"/>
          <w:sz w:val="28"/>
          <w:szCs w:val="28"/>
        </w:rPr>
        <w:t>в исследованиях Консорциума European Eye Epidemiology, п</w:t>
      </w:r>
      <w:r w:rsidR="00953FB5" w:rsidRPr="004804AA">
        <w:rPr>
          <w:rFonts w:ascii="Times New Roman" w:hAnsi="Times New Roman" w:cs="Times New Roman"/>
          <w:sz w:val="28"/>
          <w:szCs w:val="28"/>
        </w:rPr>
        <w:t xml:space="preserve">о сравнению с эталонным риском участников, родившихся в 1920-х годах, имеющих только начальное образование, коэффициент распространенности миопии у родившихся в 1960-х годах и имеющих высшее образование </w:t>
      </w:r>
      <w:r w:rsidR="008D2ACB" w:rsidRPr="004804AA">
        <w:rPr>
          <w:rFonts w:ascii="Times New Roman" w:hAnsi="Times New Roman" w:cs="Times New Roman"/>
          <w:sz w:val="28"/>
          <w:szCs w:val="28"/>
        </w:rPr>
        <w:t>увеличился лишь в 2 раза</w:t>
      </w:r>
      <w:r w:rsidR="00953FB5" w:rsidRPr="004804AA">
        <w:rPr>
          <w:rFonts w:ascii="Times New Roman" w:hAnsi="Times New Roman" w:cs="Times New Roman"/>
          <w:sz w:val="28"/>
          <w:szCs w:val="28"/>
        </w:rPr>
        <w:t xml:space="preserve"> - 2,43. Таким образом, хотя когорты более поздно родившихся людей были более образованными, это не полностью объясняло эффект когорты</w:t>
      </w:r>
      <w:r w:rsidR="00CD3E72">
        <w:rPr>
          <w:rFonts w:ascii="Times New Roman" w:hAnsi="Times New Roman" w:cs="Times New Roman"/>
          <w:sz w:val="28"/>
          <w:szCs w:val="28"/>
        </w:rPr>
        <w:t xml:space="preserve"> </w:t>
      </w:r>
      <w:r w:rsidR="00F6283A"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{"citationID":"mg5KnhUX","properties":{"formattedCitation":"[29]","plainCitation":"[29]","noteIndex":0},"citationItems":[{"id":1304,"uris":["http://zotero.org/users/local/XMo5Fvid/items/4XSFV7MV"],"itemData":{"id":1304,"type":"article-journal","abstract":"PURPOSE: To investigate whether myopia is becoming more common across Europe and explore whether increasing education levels, an important environmental risk factor for myopia, might explain any temporal trend.\nDESIGN: Meta-analysis of population-based, cross-sectional studies from the European Eye Epidemiology (E(3)) Consortium.\nPARTICIPANTS: The E(3) Consortium is a collaborative network of epidemiological studies of common eye diseases in adults across Europe. Refractive data were available for 61 946 participants from 15 population-based studies performed between 1990 and 2013; participants had a range of median ages from 44 to 78 years.\nMETHODS: Noncycloplegic refraction, year of birth, and highest educational level achieved were obtained for all participants. Myopia was defined as a mean spherical equivalent ≤-0.75 diopters. A random-effects meta-analysis of age-specific myopia prevalence was performed, with sequential analyses stratified by year of birth and highest level of educational attainment.\nMAIN OUTCOME MEASURES: Variation in age-specific myopia prevalence for differing years of birth and educational level.\nRESULTS: There was a significant cohort effect for increasing myopia prevalence across more recent birth decades; age-standardized myopia prevalence increased from 17.8% (95% confidence interval [CI], 17.6-18.1) to 23.5% (95% CI, 23.2-23.7) in those born between 1910 and 1939 compared with 1940 and 1979 (P = 0.03). Education was significantly associated with myopia; for those completing primary, secondary, and higher education, the age-standardized prevalences were 25.4% (CI, 25.0-25.8), 29.1% (CI, 28.8-29.5), and 36.6% (CI, 36.1-37.2), respectively. Although more recent birth cohorts were more educated, this did not fully explain the cohort effect. Compared with the reference risk of participants born in the 1920s with only primary education, higher education or being born in the 1960s doubled the myopia prevalence ratio-2.43 (CI, 1.26-4.17) and 2.62 (CI, 1.31-5.00), respectively-whereas individuals born in the 1960s and completing higher education had approximately 4 times the reference risk: a prevalence ratio of 3.76 (CI, 2.21-6.57).\nCONCLUSIONS: Myopia is becoming more common in Europe; although education levels have increased and are associated with myopia, higher education seems to be an additive rather than explanatory factor. Increasing levels of myopia carry significant clinical and economic implications, with more people at risk of the sight-threatening complications associated with high myopia.","container-title":"Ophthalmology","DOI":"10.1016/j.ophtha.2015.03.018","ISSN":"1549-4713","issue":"7","journalAbbreviation":"Ophthalmology","language":"eng","note":"PMID: 25983215\nPMCID: PMC4504030","page":"1489-1497","source":"PubMed","title":"Increasing Prevalence of Myopia in Europe and the Impact of Education","volume":"122","author":[{"family":"Williams","given":"Katie M."},{"family":"Bertelsen","given":"Geir"},{"family":"Cumberland","given":"Phillippa"},{"family":"Wolfram","given":"Christian"},{"family":"Verhoeven","given":"Virginie J. M."},{"family":"Anastasopoulos","given":"Eleftherios"},{"family":"Buitendijk","given":"Gabriëlle H. S."},{"family":"Cougnard-Grégoire","given":"Audrey"},{"family":"Creuzot-Garcher","given":"Catherine"},{"family":"Erke","given":"Maja Gran"},{"family":"Hogg","given":"Ruth"},{"family":"Höhn","given":"René"},{"family":"Hysi","given":"Pirro"},{"family":"Khawaja","given":"Anthony P."},{"family":"Korobelnik","given":"Jean-François"},{"family":"Ried","given":"Janina"},{"family":"Vingerling","given":"Johannes R."},{"family":"Bron","given":"Alain"},{"family":"Dartigues","given":"Jean-François"},{"family":"Fletcher","given":"Astrid"},{"family":"Hofman","given":"Albert"},{"family":"Kuijpers","given":"Robert W. A. M."},{"family":"Luben","given":"Robert N."},{"family":"Oxele","given":"Konrad"},{"family":"Topouzis","given":"Fotis"},{"family":"Hanno","given":"Therese","non-dropping-particle":"von"},{"family":"Mirshahi","given":"Alireza"},{"family":"Foster","given":"Paul J."},{"family":"Duijn","given":"Cornelia M.","non-dropping-particle":"van"},{"family":"Pfeiffer","given":"Norbert"},{"family":"Delcourt","given":"Cécile"},{"family":"Klaver","given":"Caroline C. W."},{"family":"Rahi","given":"Jugnoo"},{"family":"Hammond","given":"Christopher J."},{"literal":"European Eye Epidemiology (E(3)) Consortium"}],"issued":{"date-parts":[["2015",7]]}}}],"schema":"https://github.com/citation-style-language/schema/raw/master/csl-citation.json"} </w:instrText>
      </w:r>
      <w:r w:rsidR="00F6283A"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[29]</w:t>
      </w:r>
      <w:r w:rsidR="00F6283A" w:rsidRPr="004804AA">
        <w:rPr>
          <w:rFonts w:ascii="Times New Roman" w:hAnsi="Times New Roman" w:cs="Times New Roman"/>
          <w:sz w:val="28"/>
          <w:szCs w:val="28"/>
        </w:rPr>
        <w:fldChar w:fldCharType="end"/>
      </w:r>
      <w:r w:rsidR="00CD3E72">
        <w:rPr>
          <w:rFonts w:ascii="Times New Roman" w:hAnsi="Times New Roman" w:cs="Times New Roman"/>
          <w:sz w:val="28"/>
          <w:szCs w:val="28"/>
        </w:rPr>
        <w:t>.</w:t>
      </w:r>
    </w:p>
    <w:p w14:paraId="3A733659" w14:textId="3FA5C3FB" w:rsidR="00E4373F" w:rsidRPr="004804AA" w:rsidRDefault="00176C01"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 xml:space="preserve">Проскурина с соавторами подтвердила влияние уровня образования на развитие миопии на основе обследования российских школьников: близорукость среди первоклассников встречалась в 2,4%, среди </w:t>
      </w:r>
      <w:r w:rsidRPr="004804AA">
        <w:rPr>
          <w:rFonts w:ascii="Times New Roman" w:eastAsiaTheme="minorHAnsi" w:hAnsi="Times New Roman" w:cs="Times New Roman"/>
          <w:sz w:val="28"/>
          <w:szCs w:val="28"/>
          <w:lang w:eastAsia="en-US"/>
        </w:rPr>
        <w:lastRenderedPageBreak/>
        <w:t>пятиклассников – в 19,7%, а среди одиннадцатиклассников уже в 38,6%</w:t>
      </w:r>
      <w:r w:rsidR="00CD3E72">
        <w:rPr>
          <w:rFonts w:ascii="Times New Roman" w:eastAsiaTheme="minorHAnsi" w:hAnsi="Times New Roman" w:cs="Times New Roman"/>
          <w:sz w:val="28"/>
          <w:szCs w:val="28"/>
          <w:lang w:eastAsia="en-US"/>
        </w:rPr>
        <w:t xml:space="preserve"> </w:t>
      </w:r>
      <w:r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{"citationID":"IhosGvU9","properties":{"formattedCitation":"[133]","plainCitation":"[133]","noteIndex":0},"citationItems":[{"id":1373,"uris":["http://zotero.org/users/local/XMo5Fvid/items/KG6QLIK7"],"itemData":{"id":1373,"type":"article-journal","abstract":"В 2000 году среди выпускников школ частота миопии достигла 26 %, гимназий и лицеев — 50 %, при этом на долю миопии высокой степени приходилось 10–12 % всех случаев миопии. Предполагается, что реальная распространенность миопии среди школьников России может оказаться несколько выше этих значений. Проведено пилотное исследование, в котором в поперечном срезе оценивали распространенность миопии среди учащихся 1, 5 и 11-х классов, обучающихся в «обычных» общеобразовательных школах и гимназиях либо лицеях Москвы, Санкт-Петербурга, Ижевска и Иванова. Объективно в естественных условиях исследовали рефракцию у 3659 школьников. В течение всего периода обучения самым распространенным видом рефракции оставалась эмметропия. Распространенность близоруких среди учеников первого класса в среднем составила 2,4 %, среди учеников пятых классов — 19,7 %, среди учеников одиннадцатых классов — 38,6 %. В 5-х и 11-х классах близорукость встречалась чаще других рефракционных нарушений. У детей, обучающихся в гимназиях и лицеях, распространенность миопии была достоверно выше во всех возрастных группах (p &lt; 0,01). Уже в первом классе гимназий и лицеев близоруких детей было 7,5 %, в то время как в «обычных» школах лишь 1,4 %. В одиннадцатых классах гимназий и лицеев близоруких детей было 50,7 %, в «обычных» школах — 30,9 %. Это подтверждает влияние образования как аддитивного фактора на распространенность близорукости. Исследование распространенности миопии должно быть продолжено в разных регионах и разных муниципальных образованиях с целью последующей разработки рациональных программ профилактики развития и прогрессирования близорукости в школе.","container-title":"Офтальмология","DOI":"10.18008/1816-5095-2018-3-348-353","ISSN":"2500-0845","issue":"3","language":"ru","license":"Авторы,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3","page":"348-353","source":"www.ophthalmojournal.com","title":"Распространенность миопии у школьников некоторых регионов России","volume":"15","author":[{"family":"Проскурина","given":"О. В."},{"family":"Маркова","given":"Е. Ю."},{"family":"Бржеский","given":"В. В."},{"family":"Ефимова","given":"Е. Л."},{"family":"Ефимова","given":"М. Н."},{"family":"Хватова","given":"Н. В."},{"family":"Слышалова","given":"Н. Н."},{"family":"Егорова","given":"А. В."}],"issued":{"date-parts":[["2018",10,5]]}}}],"schema":"https://github.com/citation-style-language/schema/raw/master/csl-citation.json"} </w:instrText>
      </w:r>
      <w:r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[133]</w:t>
      </w:r>
      <w:r w:rsidRPr="004804AA">
        <w:rPr>
          <w:rFonts w:ascii="Times New Roman" w:eastAsiaTheme="minorHAnsi" w:hAnsi="Times New Roman" w:cs="Times New Roman"/>
          <w:sz w:val="28"/>
          <w:szCs w:val="28"/>
          <w:lang w:eastAsia="en-US"/>
        </w:rPr>
        <w:fldChar w:fldCharType="end"/>
      </w:r>
      <w:r w:rsidR="00CD3E72">
        <w:rPr>
          <w:rFonts w:ascii="Times New Roman" w:eastAsiaTheme="minorHAnsi" w:hAnsi="Times New Roman" w:cs="Times New Roman"/>
          <w:sz w:val="28"/>
          <w:szCs w:val="28"/>
          <w:lang w:eastAsia="en-US"/>
        </w:rPr>
        <w:t>.</w:t>
      </w:r>
      <w:r w:rsidRPr="004804AA">
        <w:rPr>
          <w:rFonts w:ascii="Times New Roman" w:eastAsiaTheme="minorHAnsi" w:hAnsi="Times New Roman" w:cs="Times New Roman"/>
          <w:sz w:val="28"/>
          <w:szCs w:val="28"/>
          <w:lang w:eastAsia="en-US"/>
        </w:rPr>
        <w:t xml:space="preserve"> Кроме того распространенность миопии была достоверно выше у учащихся школ с повышенной академической нагрузкой (лицеев и гимназий) – до 50,7% среди учеников 11 классов, против 30,9% в общеобразовательных школах</w:t>
      </w:r>
      <w:r w:rsidR="00CD3E72">
        <w:rPr>
          <w:rFonts w:ascii="Times New Roman" w:eastAsiaTheme="minorHAnsi" w:hAnsi="Times New Roman" w:cs="Times New Roman"/>
          <w:sz w:val="28"/>
          <w:szCs w:val="28"/>
          <w:lang w:eastAsia="en-US"/>
        </w:rPr>
        <w:t xml:space="preserve"> </w:t>
      </w:r>
      <w:r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{"citationID":"wdh6g3yj","properties":{"formattedCitation":"[133]","plainCitation":"[133]","noteIndex":0},"citationItems":[{"id":1373,"uris":["http://zotero.org/users/local/XMo5Fvid/items/KG6QLIK7"],"itemData":{"id":1373,"type":"article-journal","abstract":"В 2000 году среди выпускников школ частота миопии достигла 26 %, гимназий и лицеев — 50 %, при этом на долю миопии высокой степени приходилось 10–12 % всех случаев миопии. Предполагается, что реальная распространенность миопии среди школьников России может оказаться несколько выше этих значений. Проведено пилотное исследование, в котором в поперечном срезе оценивали распространенность миопии среди учащихся 1, 5 и 11-х классов, обучающихся в «обычных» общеобразовательных школах и гимназиях либо лицеях Москвы, Санкт-Петербурга, Ижевска и Иванова. Объективно в естественных условиях исследовали рефракцию у 3659 школьников. В течение всего периода обучения самым распространенным видом рефракции оставалась эмметропия. Распространенность близоруких среди учеников первого класса в среднем составила 2,4 %, среди учеников пятых классов — 19,7 %, среди учеников одиннадцатых классов — 38,6 %. В 5-х и 11-х классах близорукость встречалась чаще других рефракционных нарушений. У детей, обучающихся в гимназиях и лицеях, распространенность миопии была достоверно выше во всех возрастных группах (p &lt; 0,01). Уже в первом классе гимназий и лицеев близоруких детей было 7,5 %, в то время как в «обычных» школах лишь 1,4 %. В одиннадцатых классах гимназий и лицеев близоруких детей было 50,7 %, в «обычных» школах — 30,9 %. Это подтверждает влияние образования как аддитивного фактора на распространенность близорукости. Исследование распространенности миопии должно быть продолжено в разных регионах и разных муниципальных образованиях с целью последующей разработки рациональных программ профилактики развития и прогрессирования близорукости в школе.","container-title":"Офтальмология","DOI":"10.18008/1816-5095-2018-3-348-353","ISSN":"2500-0845","issue":"3","language":"ru","license":"Авторы,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3","page":"348-353","source":"www.ophthalmojournal.com","title":"Распространенность миопии у школьников некоторых регионов России","volume":"15","author":[{"family":"Проскурина","given":"О. В."},{"family":"Маркова","given":"Е. Ю."},{"family":"Бржеский","given":"В. В."},{"family":"Ефимова","given":"Е. Л."},{"family":"Ефимова","given":"М. Н."},{"family":"Хватова","given":"Н. В."},{"family":"Слышалова","given":"Н. Н."},{"family":"Егорова","given":"А. В."}],"issued":{"date-parts":[["2018",10,5]]}}}],"schema":"https://github.com/citation-style-language/schema/raw/master/csl-citation.json"} </w:instrText>
      </w:r>
      <w:r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[133]</w:t>
      </w:r>
      <w:r w:rsidRPr="004804AA">
        <w:rPr>
          <w:rFonts w:ascii="Times New Roman" w:eastAsiaTheme="minorHAnsi" w:hAnsi="Times New Roman" w:cs="Times New Roman"/>
          <w:sz w:val="28"/>
          <w:szCs w:val="28"/>
          <w:lang w:eastAsia="en-US"/>
        </w:rPr>
        <w:fldChar w:fldCharType="end"/>
      </w:r>
      <w:r w:rsidR="00CD3E72">
        <w:rPr>
          <w:rFonts w:ascii="Times New Roman" w:eastAsiaTheme="minorHAnsi" w:hAnsi="Times New Roman" w:cs="Times New Roman"/>
          <w:sz w:val="28"/>
          <w:szCs w:val="28"/>
          <w:lang w:eastAsia="en-US"/>
        </w:rPr>
        <w:t>.</w:t>
      </w:r>
      <w:r w:rsidR="00444869">
        <w:rPr>
          <w:rFonts w:ascii="Times New Roman" w:eastAsiaTheme="minorHAnsi" w:hAnsi="Times New Roman" w:cs="Times New Roman"/>
          <w:sz w:val="28"/>
          <w:szCs w:val="28"/>
          <w:lang w:eastAsia="en-US"/>
        </w:rPr>
        <w:t xml:space="preserve"> </w:t>
      </w:r>
    </w:p>
    <w:p w14:paraId="304E9A12" w14:textId="25B11249" w:rsidR="00953FB5" w:rsidRDefault="00AB4981" w:rsidP="005C37DF">
      <w:pPr>
        <w:pStyle w:val="a4"/>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00DF6A93" w:rsidRPr="004804AA">
        <w:rPr>
          <w:rFonts w:ascii="Times New Roman" w:hAnsi="Times New Roman" w:cs="Times New Roman"/>
          <w:sz w:val="28"/>
          <w:szCs w:val="28"/>
        </w:rPr>
        <w:t xml:space="preserve"> казахстанск</w:t>
      </w:r>
      <w:r>
        <w:rPr>
          <w:rFonts w:ascii="Times New Roman" w:hAnsi="Times New Roman" w:cs="Times New Roman"/>
          <w:sz w:val="28"/>
          <w:szCs w:val="28"/>
        </w:rPr>
        <w:t>ая</w:t>
      </w:r>
      <w:r w:rsidR="00DF6A93" w:rsidRPr="004804AA">
        <w:rPr>
          <w:rFonts w:ascii="Times New Roman" w:hAnsi="Times New Roman" w:cs="Times New Roman"/>
          <w:sz w:val="28"/>
          <w:szCs w:val="28"/>
        </w:rPr>
        <w:t xml:space="preserve"> систем</w:t>
      </w:r>
      <w:r>
        <w:rPr>
          <w:rFonts w:ascii="Times New Roman" w:hAnsi="Times New Roman" w:cs="Times New Roman"/>
          <w:sz w:val="28"/>
          <w:szCs w:val="28"/>
        </w:rPr>
        <w:t>а</w:t>
      </w:r>
      <w:r w:rsidR="00DF6A93" w:rsidRPr="004804AA">
        <w:rPr>
          <w:rFonts w:ascii="Times New Roman" w:hAnsi="Times New Roman" w:cs="Times New Roman"/>
          <w:sz w:val="28"/>
          <w:szCs w:val="28"/>
        </w:rPr>
        <w:t xml:space="preserve"> образования </w:t>
      </w:r>
      <w:r>
        <w:rPr>
          <w:rFonts w:ascii="Times New Roman" w:hAnsi="Times New Roman" w:cs="Times New Roman"/>
          <w:sz w:val="28"/>
          <w:szCs w:val="28"/>
        </w:rPr>
        <w:t xml:space="preserve">переживает активные изменения, связанные с внедрением </w:t>
      </w:r>
      <w:r w:rsidR="00DF6A93" w:rsidRPr="004804AA">
        <w:rPr>
          <w:rFonts w:ascii="Times New Roman" w:hAnsi="Times New Roman" w:cs="Times New Roman"/>
          <w:sz w:val="28"/>
          <w:szCs w:val="28"/>
        </w:rPr>
        <w:t>новы</w:t>
      </w:r>
      <w:r>
        <w:rPr>
          <w:rFonts w:ascii="Times New Roman" w:hAnsi="Times New Roman" w:cs="Times New Roman"/>
          <w:sz w:val="28"/>
          <w:szCs w:val="28"/>
        </w:rPr>
        <w:t>х</w:t>
      </w:r>
      <w:r w:rsidR="00DF6A93" w:rsidRPr="004804AA">
        <w:rPr>
          <w:rFonts w:ascii="Times New Roman" w:hAnsi="Times New Roman" w:cs="Times New Roman"/>
          <w:sz w:val="28"/>
          <w:szCs w:val="28"/>
        </w:rPr>
        <w:t xml:space="preserve"> </w:t>
      </w:r>
      <w:r>
        <w:rPr>
          <w:rFonts w:ascii="Times New Roman" w:hAnsi="Times New Roman" w:cs="Times New Roman"/>
          <w:sz w:val="28"/>
          <w:szCs w:val="28"/>
        </w:rPr>
        <w:t xml:space="preserve">методик </w:t>
      </w:r>
      <w:r w:rsidR="00DF6A93" w:rsidRPr="004804AA">
        <w:rPr>
          <w:rFonts w:ascii="Times New Roman" w:hAnsi="Times New Roman" w:cs="Times New Roman"/>
          <w:sz w:val="28"/>
          <w:szCs w:val="28"/>
        </w:rPr>
        <w:t>и технологи</w:t>
      </w:r>
      <w:r>
        <w:rPr>
          <w:rFonts w:ascii="Times New Roman" w:hAnsi="Times New Roman" w:cs="Times New Roman"/>
          <w:sz w:val="28"/>
          <w:szCs w:val="28"/>
        </w:rPr>
        <w:t>й</w:t>
      </w:r>
      <w:r w:rsidR="00DF6A93" w:rsidRPr="004804AA">
        <w:rPr>
          <w:rFonts w:ascii="Times New Roman" w:hAnsi="Times New Roman" w:cs="Times New Roman"/>
          <w:sz w:val="28"/>
          <w:szCs w:val="28"/>
        </w:rPr>
        <w:t xml:space="preserve"> обучения. </w:t>
      </w:r>
      <w:r>
        <w:rPr>
          <w:rFonts w:ascii="Times New Roman" w:hAnsi="Times New Roman" w:cs="Times New Roman"/>
          <w:sz w:val="28"/>
          <w:szCs w:val="28"/>
        </w:rPr>
        <w:t>Зачастую новые</w:t>
      </w:r>
      <w:r w:rsidR="00DF6A93" w:rsidRPr="004804AA">
        <w:rPr>
          <w:rFonts w:ascii="Times New Roman" w:hAnsi="Times New Roman" w:cs="Times New Roman"/>
          <w:sz w:val="28"/>
          <w:szCs w:val="28"/>
        </w:rPr>
        <w:t xml:space="preserve"> учебн</w:t>
      </w:r>
      <w:r>
        <w:rPr>
          <w:rFonts w:ascii="Times New Roman" w:hAnsi="Times New Roman" w:cs="Times New Roman"/>
          <w:sz w:val="28"/>
          <w:szCs w:val="28"/>
        </w:rPr>
        <w:t>ые нагрузки не адаптированы под физиологические возрастные особенности детей, а также не учитывают индивидуальные особенности</w:t>
      </w:r>
      <w:r w:rsidR="00DF6A93" w:rsidRPr="004804AA">
        <w:rPr>
          <w:rFonts w:ascii="Times New Roman" w:hAnsi="Times New Roman" w:cs="Times New Roman"/>
          <w:sz w:val="28"/>
          <w:szCs w:val="28"/>
        </w:rPr>
        <w:t xml:space="preserve"> развития ученика. </w:t>
      </w:r>
      <w:r>
        <w:rPr>
          <w:rFonts w:ascii="Times New Roman" w:hAnsi="Times New Roman" w:cs="Times New Roman"/>
          <w:sz w:val="28"/>
          <w:szCs w:val="28"/>
        </w:rPr>
        <w:t xml:space="preserve">Академический </w:t>
      </w:r>
      <w:r w:rsidR="00DF6A93" w:rsidRPr="004804AA">
        <w:rPr>
          <w:rFonts w:ascii="Times New Roman" w:hAnsi="Times New Roman" w:cs="Times New Roman"/>
          <w:sz w:val="28"/>
          <w:szCs w:val="28"/>
        </w:rPr>
        <w:t>процесс</w:t>
      </w:r>
      <w:r>
        <w:rPr>
          <w:rFonts w:ascii="Times New Roman" w:hAnsi="Times New Roman" w:cs="Times New Roman"/>
          <w:sz w:val="28"/>
          <w:szCs w:val="28"/>
        </w:rPr>
        <w:t>, в особенности</w:t>
      </w:r>
      <w:r w:rsidR="00DF6A93" w:rsidRPr="004804AA">
        <w:rPr>
          <w:rFonts w:ascii="Times New Roman" w:hAnsi="Times New Roman" w:cs="Times New Roman"/>
          <w:sz w:val="28"/>
          <w:szCs w:val="28"/>
        </w:rPr>
        <w:t xml:space="preserve"> в условиях инновационных школ</w:t>
      </w:r>
      <w:r>
        <w:rPr>
          <w:rFonts w:ascii="Times New Roman" w:hAnsi="Times New Roman" w:cs="Times New Roman"/>
          <w:sz w:val="28"/>
          <w:szCs w:val="28"/>
        </w:rPr>
        <w:t>,</w:t>
      </w:r>
      <w:r w:rsidR="00DF6A93" w:rsidRPr="004804AA">
        <w:rPr>
          <w:rFonts w:ascii="Times New Roman" w:hAnsi="Times New Roman" w:cs="Times New Roman"/>
          <w:sz w:val="28"/>
          <w:szCs w:val="28"/>
        </w:rPr>
        <w:t xml:space="preserve"> сопровождается воздействием на учащихся ряда неблагоприятных факторов школьной среды, а именно </w:t>
      </w:r>
      <w:r>
        <w:rPr>
          <w:rFonts w:ascii="Times New Roman" w:hAnsi="Times New Roman" w:cs="Times New Roman"/>
          <w:sz w:val="28"/>
          <w:szCs w:val="28"/>
        </w:rPr>
        <w:t>высокой</w:t>
      </w:r>
      <w:r w:rsidR="00DF6A93" w:rsidRPr="004804AA">
        <w:rPr>
          <w:rFonts w:ascii="Times New Roman" w:hAnsi="Times New Roman" w:cs="Times New Roman"/>
          <w:sz w:val="28"/>
          <w:szCs w:val="28"/>
        </w:rPr>
        <w:t xml:space="preserve"> учебной нагрузкой, усложнен</w:t>
      </w:r>
      <w:r>
        <w:rPr>
          <w:rFonts w:ascii="Times New Roman" w:hAnsi="Times New Roman" w:cs="Times New Roman"/>
          <w:sz w:val="28"/>
          <w:szCs w:val="28"/>
        </w:rPr>
        <w:t>ными</w:t>
      </w:r>
      <w:r w:rsidR="00DF6A93" w:rsidRPr="004804AA">
        <w:rPr>
          <w:rFonts w:ascii="Times New Roman" w:hAnsi="Times New Roman" w:cs="Times New Roman"/>
          <w:sz w:val="28"/>
          <w:szCs w:val="28"/>
        </w:rPr>
        <w:t xml:space="preserve"> учебны</w:t>
      </w:r>
      <w:r>
        <w:rPr>
          <w:rFonts w:ascii="Times New Roman" w:hAnsi="Times New Roman" w:cs="Times New Roman"/>
          <w:sz w:val="28"/>
          <w:szCs w:val="28"/>
        </w:rPr>
        <w:t>ми</w:t>
      </w:r>
      <w:r w:rsidR="00DF6A93" w:rsidRPr="004804AA">
        <w:rPr>
          <w:rFonts w:ascii="Times New Roman" w:hAnsi="Times New Roman" w:cs="Times New Roman"/>
          <w:sz w:val="28"/>
          <w:szCs w:val="28"/>
        </w:rPr>
        <w:t xml:space="preserve"> программ</w:t>
      </w:r>
      <w:r>
        <w:rPr>
          <w:rFonts w:ascii="Times New Roman" w:hAnsi="Times New Roman" w:cs="Times New Roman"/>
          <w:sz w:val="28"/>
          <w:szCs w:val="28"/>
        </w:rPr>
        <w:t>ами</w:t>
      </w:r>
      <w:r w:rsidR="00DF6A93" w:rsidRPr="004804AA">
        <w:rPr>
          <w:rFonts w:ascii="Times New Roman" w:hAnsi="Times New Roman" w:cs="Times New Roman"/>
          <w:sz w:val="28"/>
          <w:szCs w:val="28"/>
        </w:rPr>
        <w:t>, нар</w:t>
      </w:r>
      <w:r w:rsidR="00D1193C">
        <w:rPr>
          <w:rFonts w:ascii="Times New Roman" w:hAnsi="Times New Roman" w:cs="Times New Roman"/>
          <w:sz w:val="28"/>
          <w:szCs w:val="28"/>
        </w:rPr>
        <w:t xml:space="preserve">ушениями в школьном расписании </w:t>
      </w:r>
      <w:r w:rsidR="00DF6A93" w:rsidRPr="004804AA">
        <w:rPr>
          <w:rFonts w:ascii="Times New Roman" w:hAnsi="Times New Roman" w:cs="Times New Roman"/>
          <w:sz w:val="28"/>
          <w:szCs w:val="28"/>
        </w:rPr>
        <w:t xml:space="preserve">и </w:t>
      </w:r>
      <w:r w:rsidR="00D1193C">
        <w:rPr>
          <w:rFonts w:ascii="Times New Roman" w:hAnsi="Times New Roman" w:cs="Times New Roman"/>
          <w:sz w:val="28"/>
          <w:szCs w:val="28"/>
        </w:rPr>
        <w:t>т.д</w:t>
      </w:r>
      <w:r w:rsidR="00CD3E72">
        <w:rPr>
          <w:rFonts w:ascii="Times New Roman" w:hAnsi="Times New Roman" w:cs="Times New Roman"/>
          <w:sz w:val="28"/>
          <w:szCs w:val="28"/>
        </w:rPr>
        <w:t xml:space="preserve">. </w:t>
      </w:r>
      <w:r w:rsidR="00DF6A93" w:rsidRPr="004804AA">
        <w:rPr>
          <w:rFonts w:ascii="Times New Roman" w:hAnsi="Times New Roman" w:cs="Times New Roman"/>
          <w:sz w:val="28"/>
          <w:szCs w:val="28"/>
        </w:rPr>
        <w:t>[2</w:t>
      </w:r>
      <w:r w:rsidR="00D1193C">
        <w:rPr>
          <w:rFonts w:ascii="Times New Roman" w:hAnsi="Times New Roman" w:cs="Times New Roman"/>
          <w:sz w:val="28"/>
          <w:szCs w:val="28"/>
        </w:rPr>
        <w:t>0</w:t>
      </w:r>
      <w:r w:rsidR="00F66D9A">
        <w:rPr>
          <w:rFonts w:ascii="Times New Roman" w:hAnsi="Times New Roman" w:cs="Times New Roman"/>
          <w:sz w:val="28"/>
          <w:szCs w:val="28"/>
        </w:rPr>
        <w:t>]</w:t>
      </w:r>
      <w:r w:rsidR="00CD3E72">
        <w:rPr>
          <w:rFonts w:ascii="Times New Roman" w:hAnsi="Times New Roman" w:cs="Times New Roman"/>
          <w:sz w:val="28"/>
          <w:szCs w:val="28"/>
        </w:rPr>
        <w:t>.</w:t>
      </w:r>
      <w:r w:rsidR="00DF6A93" w:rsidRPr="004804AA">
        <w:rPr>
          <w:rFonts w:ascii="Times New Roman" w:hAnsi="Times New Roman" w:cs="Times New Roman"/>
          <w:sz w:val="28"/>
          <w:szCs w:val="28"/>
        </w:rPr>
        <w:t xml:space="preserve"> </w:t>
      </w:r>
      <w:r w:rsidR="00D1193C">
        <w:rPr>
          <w:rFonts w:ascii="Times New Roman" w:hAnsi="Times New Roman" w:cs="Times New Roman"/>
          <w:sz w:val="28"/>
          <w:szCs w:val="28"/>
        </w:rPr>
        <w:t>Согласно д</w:t>
      </w:r>
      <w:r w:rsidRPr="004804AA">
        <w:rPr>
          <w:rFonts w:ascii="Times New Roman" w:hAnsi="Times New Roman" w:cs="Times New Roman"/>
          <w:sz w:val="28"/>
          <w:szCs w:val="28"/>
        </w:rPr>
        <w:t>анным МЗ РК, у 53,8% казахстанских школьников выявлены различные патологии здоровья</w:t>
      </w:r>
      <w:r>
        <w:rPr>
          <w:rFonts w:ascii="Times New Roman" w:hAnsi="Times New Roman" w:cs="Times New Roman"/>
          <w:sz w:val="28"/>
          <w:szCs w:val="28"/>
        </w:rPr>
        <w:t xml:space="preserve"> </w:t>
      </w:r>
      <w:r w:rsidRPr="004804AA">
        <w:rPr>
          <w:rFonts w:ascii="Times New Roman" w:hAnsi="Times New Roman" w:cs="Times New Roman"/>
          <w:sz w:val="28"/>
          <w:szCs w:val="28"/>
        </w:rPr>
        <w:t xml:space="preserve">[20, </w:t>
      </w:r>
      <w:r w:rsidR="00D60B9F">
        <w:rPr>
          <w:rFonts w:ascii="Times New Roman" w:hAnsi="Times New Roman" w:cs="Times New Roman"/>
          <w:sz w:val="28"/>
          <w:szCs w:val="28"/>
        </w:rPr>
        <w:t>21</w:t>
      </w:r>
      <w:r>
        <w:rPr>
          <w:rFonts w:ascii="Times New Roman" w:hAnsi="Times New Roman" w:cs="Times New Roman"/>
          <w:sz w:val="28"/>
          <w:szCs w:val="28"/>
        </w:rPr>
        <w:t>].</w:t>
      </w:r>
      <w:r w:rsidRPr="004804AA">
        <w:rPr>
          <w:rFonts w:ascii="Times New Roman" w:hAnsi="Times New Roman" w:cs="Times New Roman"/>
          <w:sz w:val="28"/>
          <w:szCs w:val="28"/>
        </w:rPr>
        <w:t xml:space="preserve"> </w:t>
      </w:r>
      <w:r w:rsidR="00DF6A93" w:rsidRPr="004804AA">
        <w:rPr>
          <w:rFonts w:ascii="Times New Roman" w:hAnsi="Times New Roman" w:cs="Times New Roman"/>
          <w:sz w:val="28"/>
          <w:szCs w:val="28"/>
        </w:rPr>
        <w:t>При углубленных медицинских осмотрах у учащихся инновационных школ достоверно чаще выявлялись заболевания нервной системы, органов чувств и др</w:t>
      </w:r>
      <w:r w:rsidR="005375EF">
        <w:rPr>
          <w:rFonts w:ascii="Times New Roman" w:hAnsi="Times New Roman" w:cs="Times New Roman"/>
          <w:sz w:val="28"/>
          <w:szCs w:val="28"/>
        </w:rPr>
        <w:t>.</w:t>
      </w:r>
      <w:r w:rsidR="00DF6A93" w:rsidRPr="004804AA">
        <w:rPr>
          <w:rFonts w:ascii="Times New Roman" w:hAnsi="Times New Roman" w:cs="Times New Roman"/>
          <w:sz w:val="28"/>
          <w:szCs w:val="28"/>
        </w:rPr>
        <w:t xml:space="preserve"> Был проведен сравнительный анализ количества детей с миопией в общеобразовательных школах и школах-гимназиях. Среди 1276 учащихся школ-гимназий снижение зрения выявлено у 24,8%, при этом доля миопии среди всех причин сниженного зрения составила 68,1%. В общеобразовательных школах среди 1429 учащихся снижение зрения выявлено у 18,1% от общего количества обследованных и на долю миопии приходилось 63,7%</w:t>
      </w:r>
      <w:r w:rsidR="000A2A51">
        <w:rPr>
          <w:rFonts w:ascii="Times New Roman" w:hAnsi="Times New Roman" w:cs="Times New Roman"/>
          <w:sz w:val="28"/>
          <w:szCs w:val="28"/>
        </w:rPr>
        <w:t xml:space="preserve"> </w:t>
      </w:r>
      <w:r w:rsidR="00DF6A93" w:rsidRPr="004804AA">
        <w:rPr>
          <w:rFonts w:ascii="Times New Roman" w:hAnsi="Times New Roman" w:cs="Times New Roman"/>
          <w:sz w:val="28"/>
          <w:szCs w:val="28"/>
        </w:rPr>
        <w:t>[</w:t>
      </w:r>
      <w:r w:rsidR="005375EF">
        <w:rPr>
          <w:rFonts w:ascii="Times New Roman" w:hAnsi="Times New Roman" w:cs="Times New Roman"/>
          <w:sz w:val="28"/>
          <w:szCs w:val="28"/>
        </w:rPr>
        <w:t>20, 2</w:t>
      </w:r>
      <w:r w:rsidR="003131B4">
        <w:rPr>
          <w:rFonts w:ascii="Times New Roman" w:hAnsi="Times New Roman" w:cs="Times New Roman"/>
          <w:sz w:val="28"/>
          <w:szCs w:val="28"/>
        </w:rPr>
        <w:t>2</w:t>
      </w:r>
      <w:r w:rsidR="00F66D9A">
        <w:rPr>
          <w:rFonts w:ascii="Times New Roman" w:hAnsi="Times New Roman" w:cs="Times New Roman"/>
          <w:sz w:val="28"/>
          <w:szCs w:val="28"/>
        </w:rPr>
        <w:t>]</w:t>
      </w:r>
      <w:r w:rsidR="000A2A51">
        <w:rPr>
          <w:rFonts w:ascii="Times New Roman" w:hAnsi="Times New Roman" w:cs="Times New Roman"/>
          <w:sz w:val="28"/>
          <w:szCs w:val="28"/>
        </w:rPr>
        <w:t>.</w:t>
      </w:r>
    </w:p>
    <w:p w14:paraId="141418F3" w14:textId="6C1E94FC" w:rsidR="00FE7D35" w:rsidRPr="004804AA" w:rsidRDefault="002D564F" w:rsidP="002D564F">
      <w:pPr>
        <w:pStyle w:val="a4"/>
        <w:ind w:firstLine="709"/>
        <w:jc w:val="both"/>
        <w:rPr>
          <w:rFonts w:ascii="Times New Roman" w:hAnsi="Times New Roman" w:cs="Times New Roman"/>
          <w:color w:val="1C1C1C"/>
          <w:sz w:val="28"/>
          <w:szCs w:val="28"/>
          <w:shd w:val="clear" w:color="auto" w:fill="FFFFFF"/>
        </w:rPr>
      </w:pPr>
      <w:r w:rsidRPr="002D564F">
        <w:rPr>
          <w:rFonts w:ascii="Times New Roman" w:hAnsi="Times New Roman" w:cs="Times New Roman"/>
          <w:sz w:val="28"/>
          <w:szCs w:val="28"/>
        </w:rPr>
        <w:t>Другим важным изменением в образе жизни за последние 10 лет стало увеличение активности на близком расстоянии в результате растущей популярности и использования компьютеров, смартфонов и портативных компьютеризированных устройств</w:t>
      </w:r>
      <w:r>
        <w:rPr>
          <w:rFonts w:ascii="Times New Roman" w:hAnsi="Times New Roman" w:cs="Times New Roman"/>
          <w:sz w:val="28"/>
          <w:szCs w:val="28"/>
        </w:rPr>
        <w:t>,</w:t>
      </w:r>
      <w:r w:rsidRPr="002D564F">
        <w:rPr>
          <w:rFonts w:ascii="Times New Roman" w:hAnsi="Times New Roman" w:cs="Times New Roman"/>
          <w:sz w:val="28"/>
          <w:szCs w:val="28"/>
        </w:rPr>
        <w:t xml:space="preserve"> внедрение в учебный процесс различных электронных учебников, электронных журналов, образовательных платформ и т.д. Современные информационные технологии обеспечивают свободный доступ к разнообразной информации и образуют новую цифровую среду обитания детей и подростков, в связи с чем во всем мире растет распространенность чрезмерного воздействия экранного времени среди детей. Предыдущие исследования показали, что раннее начало и большая продолжительность времени, проведенного перед экранами телевизоров, мониторами, смартфонов, планшетов и других циф</w:t>
      </w:r>
      <w:r w:rsidR="00F34586">
        <w:rPr>
          <w:rFonts w:ascii="Times New Roman" w:hAnsi="Times New Roman" w:cs="Times New Roman"/>
          <w:sz w:val="28"/>
          <w:szCs w:val="28"/>
        </w:rPr>
        <w:t>р</w:t>
      </w:r>
      <w:r w:rsidRPr="002D564F">
        <w:rPr>
          <w:rFonts w:ascii="Times New Roman" w:hAnsi="Times New Roman" w:cs="Times New Roman"/>
          <w:sz w:val="28"/>
          <w:szCs w:val="28"/>
        </w:rPr>
        <w:t xml:space="preserve">овых приборов связаны с рассеянным вниманием, отсутствием контроля над поведением, задержкой речевого развития, ожирением и т.д. Кроме того, использование этих электронных устройств чрезмерно стимулирует аккомодационное напряжение, вызванное близким рабочим расстоянием. </w:t>
      </w:r>
      <w:r w:rsidR="00FE7D35" w:rsidRPr="004804AA">
        <w:rPr>
          <w:rFonts w:ascii="Times New Roman" w:hAnsi="Times New Roman" w:cs="Times New Roman"/>
          <w:color w:val="1C1C1C"/>
          <w:sz w:val="28"/>
          <w:szCs w:val="28"/>
          <w:shd w:val="clear" w:color="auto" w:fill="FFFFFF"/>
        </w:rPr>
        <w:t xml:space="preserve">Однако, несмотря на убедительные данные, более поздние исследования в которых использовались подробные временные или взвешенные по аккомодации измерения работы вблизи, не продемонстрировали сильной связи между работой вблизи и </w:t>
      </w:r>
      <w:r w:rsidR="00FE7D35" w:rsidRPr="004804AA">
        <w:rPr>
          <w:rFonts w:ascii="Times New Roman" w:hAnsi="Times New Roman" w:cs="Times New Roman"/>
          <w:color w:val="1C1C1C"/>
          <w:sz w:val="28"/>
          <w:szCs w:val="28"/>
          <w:shd w:val="clear" w:color="auto" w:fill="FFFFFF"/>
        </w:rPr>
        <w:lastRenderedPageBreak/>
        <w:t>миопией, особенно когда принимается во внимание влияние других факторов, таких как рефракционн</w:t>
      </w:r>
      <w:r w:rsidR="00056AD8" w:rsidRPr="004804AA">
        <w:rPr>
          <w:rFonts w:ascii="Times New Roman" w:hAnsi="Times New Roman" w:cs="Times New Roman"/>
          <w:color w:val="1C1C1C"/>
          <w:sz w:val="28"/>
          <w:szCs w:val="28"/>
          <w:shd w:val="clear" w:color="auto" w:fill="FFFFFF"/>
        </w:rPr>
        <w:t xml:space="preserve">ые нарушения зрения </w:t>
      </w:r>
      <w:r w:rsidR="00FE7D35" w:rsidRPr="004804AA">
        <w:rPr>
          <w:rFonts w:ascii="Times New Roman" w:hAnsi="Times New Roman" w:cs="Times New Roman"/>
          <w:color w:val="1C1C1C"/>
          <w:sz w:val="28"/>
          <w:szCs w:val="28"/>
          <w:shd w:val="clear" w:color="auto" w:fill="FFFFFF"/>
        </w:rPr>
        <w:t>родителей.</w:t>
      </w:r>
    </w:p>
    <w:p w14:paraId="6D528BF4" w14:textId="77777777" w:rsidR="00AE761E" w:rsidRDefault="00AE761E" w:rsidP="005C37DF">
      <w:pPr>
        <w:pStyle w:val="a4"/>
        <w:ind w:firstLine="709"/>
        <w:jc w:val="both"/>
        <w:rPr>
          <w:rFonts w:ascii="Times New Roman" w:hAnsi="Times New Roman" w:cs="Times New Roman"/>
          <w:sz w:val="28"/>
          <w:szCs w:val="28"/>
        </w:rPr>
      </w:pPr>
    </w:p>
    <w:p w14:paraId="3BCDBA54" w14:textId="325B22CB" w:rsidR="00450E0A" w:rsidRPr="004804AA" w:rsidRDefault="00AE0E7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1.3.2. </w:t>
      </w:r>
      <w:r w:rsidR="00056AD8" w:rsidRPr="004804AA">
        <w:rPr>
          <w:rFonts w:ascii="Times New Roman" w:hAnsi="Times New Roman" w:cs="Times New Roman"/>
          <w:sz w:val="28"/>
          <w:szCs w:val="28"/>
        </w:rPr>
        <w:t>Генетические факторы</w:t>
      </w:r>
    </w:p>
    <w:p w14:paraId="760DEFD7" w14:textId="12B9FFBD" w:rsidR="00056AD8" w:rsidRPr="004804AA" w:rsidRDefault="00056AD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течение многих лет генетика считалась неоспоримым фактором риска развития миопии. В 1960-х годах исследование A Sorsby, проведенное на 118 парах близнецов обнаружило, что коэффициент корреляции приближается к единице для монозиготных близнецов, </w:t>
      </w:r>
      <w:r w:rsidR="00EE6BDD">
        <w:rPr>
          <w:rFonts w:ascii="Times New Roman" w:hAnsi="Times New Roman" w:cs="Times New Roman"/>
          <w:sz w:val="28"/>
          <w:szCs w:val="28"/>
        </w:rPr>
        <w:t xml:space="preserve">и равен </w:t>
      </w:r>
      <w:r w:rsidRPr="004804AA">
        <w:rPr>
          <w:rFonts w:ascii="Times New Roman" w:hAnsi="Times New Roman" w:cs="Times New Roman"/>
          <w:sz w:val="28"/>
          <w:szCs w:val="28"/>
        </w:rPr>
        <w:t>0,5 для дизиготных близнецов и для контрольных пар</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S9cyelue","properties":{"formattedCitation":"[146\\uc0\\u8211{}148]","plainCitation":"[146–148]","noteIndex":0},"citationItems":[{"id":1426,"uris":["http://zotero.org/users/local/XMo5Fvid/items/EQG6J9YP"],"itemData":{"id":1426,"type":"article-journal","container-title":"Journal of Medical Genetics","DOI":"10.1136/jmg.3.4.269","ISSN":"0022-2593","issue":"4","journalAbbreviation":"J Med Genet","language":"eng","note":"PMID: 16178083\nPMCID: PMC1013782","page":"269-273","source":"PubMed","title":"Family studies on ocular refraction and its components","volume":"3","author":[{"family":"Sorsby","given":"A."},{"family":"Leary","given":"G. A."},{"family":"Fraser","given":"G. R."}],"issued":{"date-parts":[["1966",12]]}},"label":"page"},{"id":910,"uris":["http://zotero.org/users/local/XMo5Fvid/items/QW73CFJB"],"itemData":{"id":910,"type":"article-journal","container-title":"HM Stationery Office","title":"Refraction and its components in twins.","author":[{"literal":"Sorsby, Arnold, G. A. Leary, and Michael Sheridan."}],"issued":{"date-parts":[["1962"]]}},"label":"page"},{"id":1401,"uris":["http://zotero.org/users/local/XMo5Fvid/items/PEPZJ3X7"],"itemData":{"id":1401,"type":"article-journal","abstract":"Mild/moderate (common) myopia is a very common disorder, with both genetic and environmental influences. The environmental factors are related to near work and can be measured. There are no known genetic loci for common myopia. Our goal is to find evidence for a myopia susceptibility gene causing common myopia. Cycloplegic and manifest refraction were performed on 44 large American families of Ashkenazi Jewish descent, each with at least two affected siblings. Individuals with at least -1.00 diopter or lower in each meridian of both eyes were classified as myopic. Microsatellite genotyping with 387 markers was performed by the Center for Inherited Disease Research. Linkage analyses were conducted with parametric and nonparametric methods by use of 12 different penetrance models. The family-based association test was used for an association scan. A maximum multipoint parametric heterogeneity LOD (HLOD) score of 3.54 was observed at marker D22S685, and nonparametric linkage analyses gave consistent results, with a P value of.0002 at this marker. The parametric multipoint HLOD scores exceeded 3.0 for a 4-cM interval, and significant evidence of genetic heterogeneity was observed. This genomewide scan is the first step toward identifying a gene on chromosome 22 with an influence on common myopia. At present, we are following up our linkage results on chromosome 22 with a dense map of &gt;1,500 single-nucleotide-polymorphism markers for fine mapping and association analyses. Identification of a susceptibility locus in this region may eventually lead to a better understanding of gene-environment interactions in the causation of this complex trait.","container-title":"American Journal of Human Genetics","DOI":"10.1086/423789","ISSN":"0002-9297","issue":"3","journalAbbreviation":"Am J Hum Genet","language":"eng","note":"PMID: 15273935\nPMCID: PMC1182023","page":"448-459","source":"PubMed","title":"Genomewide linkage scan for myopia susceptibility loci among Ashkenazi Jewish families shows evidence of linkage on chromosome 22q12","volume":"75","author":[{"family":"Stambolian","given":"Dwight"},{"family":"Ibay","given":"Grace"},{"family":"Reider","given":"Lauren"},{"family":"Dana","given":"Debra"},{"family":"Moy","given":"Chris"},{"family":"Schlifka","given":"Melissa"},{"family":"Holmes","given":"Taura"},{"family":"Ciner","given":"Elise"},{"family":"Bailey-Wilson","given":"Joan E."}],"issued":{"date-parts":[["2004",9]]}},"label":"page"}],"schema":"https://github.com/citation-style-language/schema/raw/master/csl-citation.json"}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[146–148]</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r w:rsidRPr="004804AA">
        <w:rPr>
          <w:rFonts w:ascii="Times New Roman" w:hAnsi="Times New Roman" w:cs="Times New Roman"/>
          <w:sz w:val="28"/>
          <w:szCs w:val="28"/>
        </w:rPr>
        <w:t xml:space="preserve"> Последующие исследования на близнец</w:t>
      </w:r>
      <w:r w:rsidR="00587575">
        <w:rPr>
          <w:rFonts w:ascii="Times New Roman" w:hAnsi="Times New Roman" w:cs="Times New Roman"/>
          <w:sz w:val="28"/>
          <w:szCs w:val="28"/>
        </w:rPr>
        <w:t>ах</w:t>
      </w:r>
      <w:r w:rsidRPr="004804AA">
        <w:rPr>
          <w:rFonts w:ascii="Times New Roman" w:hAnsi="Times New Roman" w:cs="Times New Roman"/>
          <w:sz w:val="28"/>
          <w:szCs w:val="28"/>
        </w:rPr>
        <w:t xml:space="preserve"> также продемонстрировали высокую наследуемость миопии, подтверждали, что это состояние чаще встречалось у генетически идентичных близнецов, чем у неидентичных, что позволило предположить, что миопия полностью генетически детерминирована</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olhIGvQw","properties":{"formattedCitation":"[149\\uc0\\u8211{}151]","plainCitation":"[149–151]","noteIndex":0},"citationItems":[{"id":1429,"uris":["http://zotero.org/users/local/XMo5Fvid/items/AUZ5VCC9"],"itemData":{"id":1429,"type":"article-journal","abstract":"The population-based Finnish Twin Cohort study was used to establish a heritability estimate for refractive errors especially for myopia. The twin cohort was derived from adult same-sexed twins in Finland. The total number of twins with both members alive in 1984 was 23,570. Of these, 3,676 twin pairs were monozygotic, and 8,109 pairs dizygotic. The sample for the present study was linked from the Finnish Police Force data base in 1984, where information of a person's possession of a driver's license and the obligation to wear glasses for far correction when driving a motor vehicle is recorded. Correlations in liability were estimated according to a multifactorial method of Smith. Falconer's heritability was 0.62 among males and 0.98 among females in the age group 28-29 years. When compared to previous twin studies of myopia, the proband concordance rates were higher for both MZ and DZ twin pairs.","container-title":"Genetic Epidemiology","DOI":"10.1002/gepi.1370050304","ISSN":"0741-0395","issue":"3","journalAbbreviation":"Genet Epidemiol","language":"eng","note":"PMID: 3049225","page":"171-181","source":"PubMed","title":"Heritability estimate for refractive errors--a population-based sample of adult twins","volume":"5","author":[{"family":"Teikari","given":"J. M."},{"family":"Kaprio","given":"J."},{"family":"Koskenvuo","given":"M. K."},{"family":"Vannas","given":"A."}],"issued":{"date-parts":[["1988"]]}},"label":"page"},{"id":1431,"uris":["http://zotero.org/users/local/XMo5Fvid/items/B8N6LVB2"],"itemData":{"id":1431,"type":"article-journal","abstract":"PURPOSE: A classical twin study was performed to examine the relative importance of genes and environment in refractive error.\nMETHODS: Refractive error was examined in 226 monozygotic (MZ) and 280 dizygotic (DZ) twin pairs aged 49 to 79 years (mean age, 62.4 years). Using a Humphrey-670 automatic refractor, continuous measures of spherical equivalent, total astigmatism, and corneal astigmatism were recorded. Univariate and bivariate maximum likelihood model fitting was used to estimate genetic and environmental variance components using information from both eyes.\nRESULTS: For the continuous spectrum of myopia/hyperopia, a model specifying additive genetic and unique environmental factors showed the best fit to the data, yielding a heritability of 84% to 86% (95% confidence interval [CI], 81%-89%). If myopia and hyperopia (&lt; or = -0.5 D and &gt; or = 0.5 D, respectively) were treated as binary traits, the heritability was 90% (95% CI, 81%-95%) for myopia and 89% (95% CI, 81%-94%) for hyperopia. For total and corneal astigmatism, modeling showed dominant genetic effects are important; dominant genetic effects accounted for 47% to 49% of the variance of total astigmatism (95% CI, 37%-55%) and 42% to 61% of corneal astigmatism variance (95% CI, 8%-71%), with additive genetic factors accounting for 1% to 4% and 4% to 18%, respectively (95% CIs, 0%-13% and 0%-60%, respectively).\nCONCLUSIONS: Genetic effects are of major importance in myopia/hyperopia; astigmatism appears to be dominantly inherited.","container-title":"Investigative Ophthalmology &amp; Visual Science","ISSN":"0146-0404","issue":"6","journalAbbreviation":"Invest Ophthalmol Vis Sci","language":"eng","note":"PMID: 11328732","page":"1232-1236","source":"PubMed","title":"Genes and environment in refractive error: the twin eye study","title-short":"Genes and environment in refractive error","volume":"42","author":[{"family":"Hammond","given":"C. J."},{"family":"Snieder","given":"H."},{"family":"Gilbert","given":"C. E."},{"family":"Spector","given":"T. D."}],"issued":{"date-parts":[["2001",5]]}},"label":"page"},{"id":1433,"uris":["http://zotero.org/users/local/XMo5Fvid/items/AGAUDQIW"],"itemData":{"id":1433,"type":"article-journal","abstract":"AIMS: To estimate the heritability for ocular refraction and its determiners in a population based cohort of 20-45 years old twins.\nMETHODS: 114 twin pairs (53 monozygotic and 61 dizygotic) participated. Refraction was determined in cycloplegia and eye dimensions were measured with ultrasound. Educational length was assessed. The heritability was estimated employing aetiological model fitting. Evidence of gene-environment interaction was analysed. Correlations between intrapairwise differences in educational length and in refraction were evaluated.\nRESULTS: The heritability was between 0.89 and 0.94 (95% CI: 0.82, 0.96) for refraction, total refraction, axial length, and radius of corneal curvature. Phenotypic variation was mostly due to additive genetic effects. Refraction revealed evidence of gene-environment interaction (r = -0.29 to -0.32; p &lt;0.05). The heritability for anterior chamber depth and lens thickness was between 0.88 and 0.94 (95% CI: 0.81, 0.96) and dominant genetic effects were the most likely explanation. There was no correlation between age and intrapairwise differences in refraction. The dizygotic twins had significant larger intrapairwise differences in educational length (p &lt;0.05), but the differences were not correlated with differences in refraction.\nCONCLUSIONS: The results indicate a high heritability for ocular refraction and its determiners and thus suggest that environmental impact on refraction is not significant. However, the epidemiological association between educational length (near work) and myopia, the evidence of increasing myopia prevalence within a few generations, and the theory of gene-environment interaction imply that some individuals might be genetically liable to develop myopia if exposed to certain environmental factors.","container-title":"The British Journal of Ophthalmology","DOI":"10.1136/bjo.85.12.1470","ISSN":"0007-1161","issue":"12","journalAbbreviation":"Br J Ophthalmol","language":"eng","note":"PMID: 11734523\nPMCID: PMC1723806","page":"1470-1476","source":"PubMed","title":"The importance of genes and environment for ocular refraction and its determiners: a population based study among 20-45 year old twins","title-short":"The importance of genes and environment for ocular refraction and its determiners","volume":"85","author":[{"family":"Lyhne","given":"N."},{"family":"Sjølie","given":"A. K."},{"family":"Kyvik","given":"K. O."},{"family":"Green","given":"A."}],"issued":{"date-parts":[["2001",12]]}},"label":"page"}],"schema":"https://github.com/citation-style-language/schema/raw/master/csl-citation.json"}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[149–151]</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p>
    <w:p w14:paraId="0FB7101B" w14:textId="55A0C46F" w:rsidR="00056AD8" w:rsidRPr="004804AA" w:rsidRDefault="00056AD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Но полученные F.A.Young в 1969 году данные изучения народности инуитов заставили усомниться в однозначности генетического фактора. Лишь у 2 из 131 взрослого эскимоса, жившего в диких изолированных сообществах, была обнаружена близорукость. При этом, более чем у половины их детей и внуков, сменивших образ жизни и переехавших в города, развилась миопия. Стало очевидно, что генетические изменения происходят слишком медленно, чтобы объяснить подобные быстрые изменения и ведущая роль принадлежит окружающей среде и образу жизни</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{"citationID":"LzRCVXhb","properties":{"formattedCitation":"[152]","plainCitation":"[152]","noteIndex":0},"citationItems":[{"id":911,"uris":["http://zotero.org/users/local/XMo5Fvid/items/2GZQ3LF8"],"itemData":{"id":911,"type":"article-journal","container-title":"American Journal of Optometry and Archives of American Academy of Optometry","ISSN":"0002-9408","issue":"9","journalAbbreviation":"Am J Optom Arch Am Acad Optom","language":"eng","note":"PMID: 5258732","page":"676-685","source":"PubMed","title":"The transmission of refractive errors within eskimo families","volume":"46","author":[{"family":"Young","given":"F. A."},{"family":"Leary","given":"G. A."},{"family":"Baldwin","given":"W. R."},{"family":"West","given":"D. C."},{"family":"Box","given":"R. A."},{"family":"Harris","given":"E."},{"family":"Johnson","given":"C."}],"issued":{"date-parts":[["1969",9]]}}}],"schema":"https://github.com/citation-style-language/schema/raw/master/csl-citation.json"}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[152]</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p>
    <w:p w14:paraId="7CF19F2A" w14:textId="1FF09607" w:rsidR="00056AD8" w:rsidRPr="004804AA" w:rsidRDefault="00056AD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исследованиях </w:t>
      </w:r>
      <w:r w:rsidRPr="004804AA">
        <w:rPr>
          <w:rFonts w:ascii="Times New Roman" w:hAnsi="Times New Roman" w:cs="Times New Roman"/>
          <w:sz w:val="28"/>
          <w:szCs w:val="28"/>
          <w:lang w:val="en-US"/>
        </w:rPr>
        <w:t>I</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G</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Morgan</w:t>
      </w:r>
      <w:r w:rsidRPr="004804AA">
        <w:rPr>
          <w:rFonts w:ascii="Times New Roman" w:hAnsi="Times New Roman" w:cs="Times New Roman"/>
          <w:sz w:val="28"/>
          <w:szCs w:val="28"/>
        </w:rPr>
        <w:t xml:space="preserve"> (2019) было зарегистрировано быстрое увеличение распространенности близорукости, особенно в Восточной и Юго-Восточной Азии, что невозможно было объяснить генетически, поскольку генофонд не может измениться так быстро</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{"citationID":"uUwh9Ihe","properties":{"formattedCitation":"[153]","plainCitation":"[153]","noteIndex":0},"citationItems":[{"id":919,"uris":["http://zotero.org/users/local/XMo5Fvid/items/6KLAZT2U"],"itemData":{"id":919,"type":"article-journal","abstract":"In the nineteenth century, the prevalence of myopia began to rise, and Cohn stressed the role of education. Later, based on twin studies, Sorsby argued that refraction was almost totally genetically determined. This became the dominant view. However, rapid increases in the prevalence of myopia were then reported, especially in East and Southeast Asia, where the prevalence of myopia in children completing secondary school is now 80-90 per cent, with around 20 per cent highly myopic, and at risk of ocular pathology. It is not possible to explain these rapid changes genetically, since gene pools cannot change that fast. Nevertheless, there are at least 200 genetic forms of myopia, but these account for myopia in only a low percentage of the population. Genome-wide association studies have identified over 150 single-nucleotide polymorphisms (SNPs) associated with myopia, but they account for &lt; 10 per cent of the variation in refraction. In contrast, twin studies have given consistently high heritability estimates for myopia. The high twin study heritability may be explained by the limited environmental variation within twin pairs, combined with basic assumptions made in twin studies. The SNP-heritability approach suggests that 25-35 per cent of the variation may be accounted for by hundreds or even thousands of SNPs. The apparent conflicts in the literature can be explained by the aetiological heterogeneity of myopia, and the fact that estimates of heritability are population-specific. It has been proposed that environmental variation is more relevant to variations between populations; however, the current differences between populations are due to changes within populations, driven by educational pressures, and limited time spent outdoors. Ethnic differences in myopia and the effects of parental myopia now seem more likely to be explained by environmental influences. Genetic studies have not yet defined molecular pathways and preventive interventions, and the predictive power of current genetic data is limited.","container-title":"Clinical &amp; Experimental Optometry","DOI":"10.1111/cxo.12845","ISSN":"1444-0938","issue":"1","journalAbbreviation":"Clin Exp Optom","language":"eng","note":"PMID: 30380590","page":"3-17","source":"PubMed","title":"Myopia: is the nature-nurture debate finally over?","title-short":"Myopia","volume":"102","author":[{"family":"Morgan","given":"Ian G."},{"family":"Rose","given":"Kathryn A."}],"issued":{"date-parts":[["2019"]]}}}],"schema":"https://github.com/citation-style-language/schema/raw/master/csl-citation.json"}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[153]</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p>
    <w:p w14:paraId="5C7419C6" w14:textId="33AAEF8E" w:rsidR="00056AD8" w:rsidRPr="004804AA" w:rsidRDefault="00056AD8" w:rsidP="005C37DF">
      <w:pPr>
        <w:spacing w:after="0" w:line="240" w:lineRule="auto"/>
        <w:ind w:firstLine="709"/>
        <w:jc w:val="both"/>
        <w:rPr>
          <w:rFonts w:ascii="Times New Roman" w:hAnsi="Times New Roman" w:cs="Times New Roman"/>
          <w:color w:val="212121"/>
          <w:sz w:val="28"/>
          <w:szCs w:val="28"/>
          <w:shd w:val="clear" w:color="auto" w:fill="FFFFFF"/>
        </w:rPr>
      </w:pPr>
      <w:r w:rsidRPr="004804AA">
        <w:rPr>
          <w:rFonts w:ascii="Times New Roman" w:hAnsi="Times New Roman" w:cs="Times New Roman"/>
          <w:sz w:val="28"/>
          <w:szCs w:val="28"/>
        </w:rPr>
        <w:t>Однако в многочисленных современных исследованиях семейной агрегации сообщается о большей распространенности миопии у детей близоруких родителей по сравнению с детьми немиопических родителей, что не позволяют опровергнуть генетическую теорию</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{"citationID":"E6RnnHyM","properties":{"formattedCitation":"[21; 28; 154\\uc0\\u8211{}158]","plainCitation":"[21; 28; 154–158]","noteIndex":0},"citationItems":[{"id":1393,"uris":["http://zotero.org/users/local/XMo5Fvid/items/XSN3FHIT"],"itemData":{"id":1393,"type":"article-journal","abstract":"BACKGROUND: The ultra-Orthodox Jewish community has a unique lifestyle including minimal outdoor activity and intense, prolonged nearby work, beginning at a very young age. Their prevalence of myopia is extremely high. This paper provides a unique insight into the attitudes of this community towards myopia.\nMETHODS: Ultra-Orthodox Jewish parents of children who came to the pediatric ophthalmology clinic in one tertiary care and two community centers in ultra-Orthodox-oriented cities were given a questionnaire. Demographic information, along with myopia prevalence in the family, was gathered. In addition, their attitudes and common knowledge regarding myopia were investigated.\nRESULTS: 161 questioners were collected, mostly completed by mothers (n = 110, 68%). The average number of children per family was 6 (range 1-16). In 148 families (92%) at least one of the parents has myopia. The average parent refraction was - 4.5 diopters (range - 0.5 to 15 diopters). Out of 935 children, 410 (44%) wore glasses. Twelve parents (7%) believe that myopia is a disease and 94 (58%) reported that they are concerned because their child wears glasses. Twenty-four (15%) believe that glasses are a sign of a high education level. Regarding treating myopia progression, 144 (89%) think that myopia progression should be treated, but only 36 (22%) are aware of the available treatments for it.\nCONCLUSION: This study examines an insular community with a very high incidence of myopia. In this community most parents think that myopia progression should be treated but most of them are unaware of the currently available treatments.","container-title":"BMC ophthalmology","DOI":"10.1186/s12886-021-01891-w","ISSN":"1471-2415","issue":"1","journalAbbreviation":"BMC Ophthalmol","language":"eng","note":"PMID: 33726690\nPMCID: PMC7962316","page":"136","source":"PubMed","title":"The relationship between education levels, lifestyle, and religion regarding the prevalence of myopia in Israel","volume":"21","author":[{"family":"Armarnik","given":"Sharon"},{"family":"Lavid","given":"Maya"},{"family":"Blum","given":"Sharon"},{"family":"Wygnanski-Jaffe","given":"Tamara"},{"family":"Granet","given":"David B."},{"family":"Kinori","given":"Michael"}],"issued":{"date-parts":[["2021",3,16]]}},"label":"page"},{"id":1396,"uris":["http://zotero.org/users/local/XMo5Fvid/items/U6IIJGER"],"itemData":{"id":1396,"type":"article-journal","container-title":"Investigative Ophthalmology &amp; Visual Science","DOI":"10.1167/iovs.05-1081","ISSN":"1552-5783","issue":"5","journalAbbreviation":"Invest. Ophthalmol. Vis. Sci.","language":"en","note":"publisher: The Association for Research in Vision and Ophthalmology","page":"1839-1844","source":"iovs.arvojournals.org","title":"A Cohort Study of Incident Myopia in Singaporean Children","volume":"47","author":[{"family":"Saw","given":"Seang-Mei"},{"family":"Shankar","given":"Anoop"},{"family":"Tan","given":"Say-Beng"},{"family":"Taylor","given":"Hugh"},{"family":"Tan","given":"Donald T. H."},{"family":"Stone","given":"Richard A."},{"family":"Wong","given":"Tien-Yin"}],"issued":{"date-parts":[["2006",5,1]]}},"label":"page"},{"id":1391,"uris":["http://zotero.org/users/local/XMo5Fvid/items/PNZGPLW8"],"itemData":{"id":1391,"type":"article-journal","abstract":"OBJECTIVE: To evaluate whether eye size and shape are different in children based on their parental history of myopia.\nDESIGN: A community-based cohort study of schoolchildren (aged 6 to 14 years), the Orinda (Calif) Longitudinal Study of Myopia.\nSETTING: Four campuses of the Orinda Union School District, a predominantly white, high socioeconomic status community.\nPARTICIPANTS: A cross-sectional volunteer sample of 716 children (662 non-myopic) in the first, third, and sixth grades in 1989, 1990, and 1991. All children in those grades were eligible for inclusion in the study.\nINTERVENTION(S): None.\nMAIN OUTCOME MEASURES: Refractive error (measured by autorefraction), corneal curvature (measured by photokeratoscopy), crystalline lens power (measured by video phakometry), and axial ocular dimensions (measured by ultrasonography).\nRESULTS: With prevalent cases of myopia excluded and grade in school and \"near work\" controlled for, children with two myopic parents had longer eyes and less hyperopic refractive error (analysis of covariance, P &lt; or = .01) than children with only one myopic parent or no myopic parents. A model incorporating parental history is only improved by the addition of near work for the prediction of refractive error.\nCONCLUSIONS: Even before the onset of juvenile myopia, children of myopic parents have longer eyes. These results suggest that the premyopic eye in children with a family history of myopia already resembles the elongated eye present in myopia.","container-title":"JAMA","ISSN":"0098-7484","issue":"17","journalAbbreviation":"JAMA","language":"eng","note":"PMID: 8158816","page":"1323-1327","source":"PubMed","title":"The effect of parental history of myopia on children's eye size","volume":"271","author":[{"family":"Zadnik","given":"K."},{"family":"Satariano","given":"W. A."},{"family":"Mutti","given":"D. O."},{"family":"Sholtz","given":"R. I."},{"family":"Adams","given":"A. J."}],"issued":{"date-parts":[["1994",5,4]]}},"label":"page"},{"id":1422,"uris":["http://zotero.org/users/local/XMo5Fvid/items/RQCYM558"],"itemData":{"id":1422,"type":"article-journal","abstract":"Previous studies suggest that myopia in parents may influence the genesis of myopia in their offspring. In this study, we surveyed 2888 children of Chinese descent in China and Hong Kong to determine the relationship between the refractive state of parents and their children. The age range of the children was 7-17 years. Refraction was measured using a Canon R-22 objective infrared autorefractor and a survey on family history of ametropia was conducted using a questionnaire. We found that children with myopic parents are more likely to be myopic.","container-title":"Ophthalmic &amp; Physiological Optics: The Journal of the British College of Ophthalmic Opticians (Optometrists)","DOI":"10.1111/j.1475-1313.1993.tb00479.x","ISSN":"0275-5408","issue":"3","journalAbbreviation":"Ophthalmic Physiol Opt","language":"eng","note":"PMID: 8265177","page":"316-319","source":"PubMed","title":"Role of heredity in the genesis of myopia","volume":"13","author":[{"family":"Yap","given":"M."},{"family":"Wu","given":"M."},{"family":"Liu","given":"Z. M."},{"family":"Lee","given":"F. L."},{"family":"Wang","given":"S. H."}],"issued":{"date-parts":[["1993",7]]}},"label":"page"},{"id":1424,"uris":["http://zotero.org/users/local/XMo5Fvid/items/FXBZM66B"],"itemData":{"id":1424,"type":"article-journal","abstract":"We examined the spherical equivalent refractions of 237 subjects who had been seen four or more times in a longitudinal study of refractive development in normal children. We employed both photorefraction and autorefraction using a Canon R1 autorefractor. We performed an analysis of variance (F-test for Lack of Fit) to determine the significance of a linear regression in fitting these refractions against three different measures of familial refractive status. One measure included only the number of myopic parents, a second took into account the number of hyperopic parents, and a third included the refractive states of extended genetic relatives. We found no significant correlation between photorefractive data and familial refractions; however, we did find significant, albeit weak, correlations between all measures of familial refractive status and infrared autorefractions of their children. A linear relationship between autorefractive data and overall familial refractive state was found to be most significant. Linear regression of children's autorefractions against a measure of parental myopia and hyperopia was less significant, while a linear model fitting only a measure of parental myopia was least significant, in addition to showing other non-linear trends. We attribute the failure to find a significant correlation between parent and offspring refractions using children's photorefractive data to vignetting by the apparatus and to the short distance of the fixation target. We believe the significant correlation patterns found with the autorefractor reflect the inheritance patterns of parental and familial refractive states.","container-title":"Vision Research","DOI":"10.1016/0042-6989(94)00224-a","ISSN":"0042-6989","issue":"9","journalAbbreviation":"Vision Res","language":"eng","note":"PMID: 7610597","page":"1353-1358","source":"PubMed","title":"Correlations between familial refractive error and children's non-cycloplegic refractions","volume":"35","author":[{"family":"Hui","given":"J."},{"family":"Peck","given":"L."},{"family":"Howland","given":"H. C."}],"issued":{"date-parts":[["1995",5]]}},"label":"page"},{"id":1254,"uris":["http://zotero.org/users/local/XMo5Fvid/items/Y7JUGFK6"],"itemData":{"id":1254,"type":"article-journal","abstract":"This report describes development of spherical equivalent refraction (SER) and axial length (AL) in two population-based cohorts of white, European children. Predictive factors for myopic growth were explored. Participants were aged 6–7- (n = 390) and 12–13-years (n = 657) at baseline. SER and AL were assessed at baseline and 3, 6 and 9 years prospectively. Between 6 and 16 years: latent growth mixture modelling identified four SER classes (Persistent Emmetropes-PEMM, Persistent Moderate Hyperopes-PMHYP, Persistent High Hyperopes-PHHYP and Emerging Myopes-EMYO) as optimal to characterise refractive progression and two classes to characterise AL. Between 12 and 22-years: five SER classes (PHHYP, PMHYP, PEMM, Low Progressing Myopes-LPMYO and High Progressing Myopes-HPMYO) and four AL classes were identified. EMYO had significantly longer baseline AL (≥ 23.19 mm) (OR 2.5, CI 1.05–5.97) and at least one myopic parent (OR 6.28, CI 1.01–38.93). More myopic SER at 6–7 years (≤ + 0.19D) signalled risk for earlier myopia onset by 10-years in comparison to baseline SER of those who became myopic by 13 or 16 years (p ≤ 0.02). SER and AL progressed more slowly in myopes aged 12–22-years (− 0.16D, 0.15 mm) compared to 6–16-years (− 0.41D, 0.30 mm). These growth trajectories and risk criteria allow prediction of abnormal myopigenic growth and constitute an important resource for developing and testing anti-myopia interventions.","container-title":"Scientific Reports","DOI":"10.1038/s41598-020-72240-y","ISSN":"2045-2322","journalAbbreviation":"Sci Rep","note":"PMID: 32938970\nPMCID: PMC7494927","source":"PubMed Central","title":"Axial growth and refractive change in white European children and young adults: predictive factors for myopia","title-short":"Axial growth and refractive change in white European children and young adults","URL":"https://www.ncbi.nlm.nih.gov/pmc/articles/PMC7494927/","volume":"10","author":[{"family":"McCullough","given":"Sara"},{"family":"Adamson","given":"Gary"},{"family":"Breslin","given":"Karen M. M."},{"family":"McClelland","given":"Julie F."},{"family":"Doyle","given":"Lesley"},{"family":"Saunders","given":"Kathryn J."}],"accessed":{"date-parts":[["2021",1,12]]},"issued":{"date-parts":[["2020",9,16]]}},"label":"page"},{"id":1438,"uris":["http://zotero.org/users/local/XMo5Fvid/items/JUZUJCEC"],"itemData":{"id":1438,"type":"article-journal","abstract":"Aims\nTo investigate the risk factors for myopia, including near work and outdoor activity, in Singapore Chinese preschool children.\n\nMethods\nA cross-sectional study, with disproportionate random sampling by 6-month age groups, of 3009 Singapore Chinese children aged 6–72 months was performed. Information on family history, near work and outdoor activity was obtained. Spherical equivalent refraction (SEA) was assessed.\n\nResults\nChildren with two myopic parents were more likely to be myopic (adjusted OR=1.91; 95% CI 1.38 to 2.63) and to have a more myopic SER (regression coefficient=−0.35; 95% CI −0.47 to −0.22) than children without myopic parents. For each 1 cm taller height, the SER was more myopic by 0.01 dioptres. Neither near work nor outdoor activity was associated with preschool myopia.\n\nConclusions\nA family history of myopia was the strongest factor associated with preschool myopia. In contrast, neither near work nor outdoor activity was found to be associated with early myopia. These data suggest that genetic factors may play a more substantial role in the development of early-onset myopia than key environmental factors.","container-title":"The British journal of ophthalmology","DOI":"10.1136/bjo.2009.173187","ISSN":"0007-1161","issue":"8","journalAbbreviation":"Br J Ophthalmol","note":"PMID: 20472747\nPMCID: PMC4041336","page":"1012-1016","source":"PubMed Central","title":"Family history, near work, outdoor activity, and myopia in Singapore Chinese preschool children","volume":"94","author":[{"family":"Low","given":"Wilson"},{"family":"Dirani","given":"Mohamed"},{"family":"Gazzard","given":"Gus"},{"family":"Chan","given":"Yiong-Huak"},{"family":"Zhou","given":"Hui-Jun"},{"family":"Selvaraj","given":"Prabakaran"},{"family":"Au Eong","given":"Kah-Guan"},{"family":"Young","given":"Terri L"},{"family":"Mitchell","given":"Paul"},{"family":"Wong","given":"Tien-Yin"},{"family":"Saw","given":"Seang-Mei"}],"issued":{"date-parts":[["2010",8]]}},"label":"page"}],"schema":"https://github.com/citation-style-language/schema/raw/master/csl-citation.json"}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[21; 28; 154–158]</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r w:rsidRPr="004804AA">
        <w:rPr>
          <w:rFonts w:ascii="Times New Roman" w:hAnsi="Times New Roman" w:cs="Times New Roman"/>
          <w:sz w:val="28"/>
          <w:szCs w:val="28"/>
        </w:rPr>
        <w:t xml:space="preserve"> Так, исследование NICER показало, что среди детей, ставших близорукими к возрасту 10 и 13 лет, вероятность иметь хотя бы одного близорукого родителя была значительно выше, чем у тех, кто стал близоруким к 16 годам</w:t>
      </w:r>
      <w:r w:rsidR="00EE47E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{"citationID":"TQ9Yj4kz","properties":{"formattedCitation":"[21]","plainCitation":"[21]","noteIndex":0},"citationItems":[{"id":1254,"uris":["http://zotero.org/users/local/XMo5Fvid/items/Y7JUGFK6"],"itemData":{"id":1254,"type":"article-journal","abstract":"This report describes development of spherical equivalent refraction (SER) and axial length (AL) in two population-based cohorts of white, European children. Predictive factors for myopic growth were explored. Participants were aged 6–7- (n = 390) and 12–13-years (n = 657) at baseline. SER and AL were assessed at baseline and 3, 6 and 9 years prospectively. Between 6 and 16 years: latent growth mixture modelling identified four SER classes (Persistent Emmetropes-PEMM, Persistent Moderate Hyperopes-PMHYP, Persistent High Hyperopes-PHHYP and Emerging Myopes-EMYO) as optimal to characterise refractive progression and two classes to characterise AL. Between 12 and 22-years: five SER classes (PHHYP, PMHYP, PEMM, Low Progressing Myopes-LPMYO and High Progressing Myopes-HPMYO) and four AL classes were identified. EMYO had significantly longer baseline AL (≥ 23.19 mm) (OR 2.5, CI 1.05–5.97) and at least one myopic parent (OR 6.28, CI 1.01–38.93). More myopic SER at 6–7 years (≤ + 0.19D) signalled risk for earlier myopia onset by 10-years in comparison to baseline SER of those who became myopic by 13 or 16 years (p ≤ 0.02). SER and AL progressed more slowly in myopes aged 12–22-years (− 0.16D, 0.15 mm) compared to 6–16-years (− 0.41D, 0.30 mm). These growth trajectories and risk criteria allow prediction of abnormal myopigenic growth and constitute an important resource for developing and testing anti-myopia interventions.","container-title":"Scientific Reports","DOI":"10.1038/s41598-020-72240-y","ISSN":"2045-2322","journalAbbreviation":"Sci Rep","note":"PMID: 32938970\nPMCID: PMC7494927","source":"PubMed Central","title":"Axial growth and refractive change in white European children and young adults: predictive factors for myopia","title-short":"Axial growth and refractive change in white European children and young adults","URL":"https://www.ncbi.nlm.nih.gov/pmc/articles/PMC7494927/","volume":"10","author":[{"family":"McCullough","given":"Sara"},{"family":"Adamson","given":"Gary"},{"family":"Breslin","given":"Karen M. M."},{"family":"McClelland","given":"Julie F."},{"family":"Doyle","given":"Lesley"},{"family":"Saunders","given":"Kathryn J."}],"accessed":{"date-parts":[["2021",1,12]]},"issued":{"date-parts":[["2020",9,16]]}}}],"schema":"https://github.com/citation-style-language/schema/raw/master/csl-citation.json"}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[21]</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сингапурское когортное исследование представляет риск миопии у детей при двух близоруких родителях в 1,5 раза выше, чем при родителях без миопии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{"citationID":"cYGH9LvT","properties":{"formattedCitation":"[155]","plainCitation":"[155]","noteIndex":0},"citationItems":[{"id":1396,"uris":["http://zotero.org/users/local/XMo5Fvid/items/U6IIJGER"],"itemData":{"id":1396,"type":"article-journal","container-title":"Investigative Ophthalmology &amp; Visual Science","DOI":"10.1167/iovs.05-1081","ISSN":"1552-5783","issue":"5","journalAbbreviation":"Invest. Ophthalmol. Vis. Sci.","language":"en","note":"publisher: The Association for Research in Vision and Ophthalmology","page":"1839-1844","source":"iovs.arvojournals.org","title":"A Cohort Study of Incident Myopia in Singaporean Children","volume":"47","author":[{"family":"Saw","given":"Seang-Mei"},{"family":"Shankar","given":"Anoop"},{"family":"Tan","given":"Say-Beng"},{"family":"Taylor","given":"Hugh"},{"family":"Tan","given":"Donald T. H."},{"family":"Stone","given":"Richard A."},{"family":"Wong","given":"Tien-Yin"}],"issued":{"date-parts":[["2006",5,1]]}}}],"schema":"https://github.com/citation-style-language/schema/raw/master/csl-citation.json"}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[155]</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а </w:t>
      </w:r>
      <w:r w:rsidRPr="004804AA">
        <w:rPr>
          <w:rFonts w:ascii="Times New Roman" w:hAnsi="Times New Roman" w:cs="Times New Roman"/>
          <w:sz w:val="28"/>
          <w:szCs w:val="28"/>
          <w:lang w:val="en-US"/>
        </w:rPr>
        <w:t>Yap</w:t>
      </w:r>
      <w:r w:rsidRPr="004804AA">
        <w:rPr>
          <w:rFonts w:ascii="Times New Roman" w:hAnsi="Times New Roman" w:cs="Times New Roman"/>
          <w:sz w:val="28"/>
          <w:szCs w:val="28"/>
        </w:rPr>
        <w:t xml:space="preserve"> с соавторами указывает что распространенность миопии среди 7-летних детей составляла 7,3%, когда ни один из родителей не был близоруким, 26,2%, когда один из родителей был близоруким, и 45%, когда оба родителя были близорукими</w:t>
      </w:r>
      <w:r w:rsidR="0098689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{"citationID":"wgcp7UkX","properties":{"formattedCitation":"[157]","plainCitation":"[157]","noteIndex":0},"citationItems":[{"id":1422,"uris":["http://zotero.org/users/local/XMo5Fvid/items/RQCYM558"],"itemData":{"id":1422,"type":"article-journal","abstract":"Previous studies suggest that myopia in parents may influence the genesis of myopia in their offspring. In this study, we surveyed 2888 children of Chinese descent in China and Hong Kong to determine the relationship between the refractive state of parents and their children. The age range of the children was 7-17 years. Refraction was measured using a Canon R-22 objective infrared autorefractor and a survey on family history of ametropia was conducted using a questionnaire. We found that children with myopic parents are more likely to be myopic.","container-title":"Ophthalmic &amp; Physiological Optics: The Journal of the British College of Ophthalmic Opticians (Optometrists)","DOI":"10.1111/j.1475-1313.1993.tb00479.x","ISSN":"0275-5408","issue":"3","journalAbbreviation":"Ophthalmic Physiol Opt","language":"eng","note":"PMID: 8265177","page":"316-319","source":"PubMed","title":"Role of heredity in the genesis of myopia","volume":"13","author":[{"family":"Yap","given":"M."},{"family":"Wu","given":"M."},{"family":"Liu","given":"Z. M."},{"family":"Lee","given":"F. L."},{"family":"Wang","given":"S. H."}],"issued":{"date-parts":[["1993",7]]}}}],"schema":"https://github.com/citation-style-language/schema/raw/master/csl-citation.json"}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[157]</w:t>
      </w:r>
      <w:r w:rsidRPr="004804AA">
        <w:rPr>
          <w:rFonts w:ascii="Times New Roman" w:hAnsi="Times New Roman" w:cs="Times New Roman"/>
          <w:sz w:val="28"/>
          <w:szCs w:val="28"/>
        </w:rPr>
        <w:fldChar w:fldCharType="end"/>
      </w:r>
      <w:r w:rsidR="00986896">
        <w:rPr>
          <w:rFonts w:ascii="Times New Roman" w:hAnsi="Times New Roman" w:cs="Times New Roman"/>
          <w:sz w:val="28"/>
          <w:szCs w:val="28"/>
        </w:rPr>
        <w:t>.</w:t>
      </w:r>
      <w:r w:rsidRPr="004804AA">
        <w:rPr>
          <w:rFonts w:ascii="Times New Roman" w:hAnsi="Times New Roman" w:cs="Times New Roman"/>
          <w:sz w:val="28"/>
          <w:szCs w:val="28"/>
        </w:rPr>
        <w:t xml:space="preserve"> </w:t>
      </w:r>
      <w:r w:rsidRPr="004804AA">
        <w:rPr>
          <w:rFonts w:ascii="Times New Roman" w:hAnsi="Times New Roman" w:cs="Times New Roman"/>
          <w:color w:val="212121"/>
          <w:sz w:val="28"/>
          <w:szCs w:val="28"/>
          <w:shd w:val="clear" w:color="auto" w:fill="FFFFFF"/>
        </w:rPr>
        <w:t xml:space="preserve">В исследовании </w:t>
      </w:r>
      <w:r w:rsidRPr="004804AA">
        <w:rPr>
          <w:rFonts w:ascii="Times New Roman" w:hAnsi="Times New Roman" w:cs="Times New Roman"/>
          <w:color w:val="212121"/>
          <w:sz w:val="28"/>
          <w:szCs w:val="28"/>
          <w:shd w:val="clear" w:color="auto" w:fill="FFFFFF"/>
          <w:lang w:val="en-US"/>
        </w:rPr>
        <w:t>Mutti</w:t>
      </w:r>
      <w:r w:rsidRPr="004804AA">
        <w:rPr>
          <w:rFonts w:ascii="Times New Roman" w:hAnsi="Times New Roman" w:cs="Times New Roman"/>
          <w:color w:val="212121"/>
          <w:sz w:val="28"/>
          <w:szCs w:val="28"/>
          <w:shd w:val="clear" w:color="auto" w:fill="FFFFFF"/>
        </w:rPr>
        <w:t xml:space="preserve"> с соавторами (2002) наследственность выделена наиболее важным фактором, связанным с юношеской миопией</w:t>
      </w:r>
      <w:r w:rsidR="00986896">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{"citationID":"EhGJPgyJ","properties":{"formattedCitation":"[159]","plainCitation":"[159]","noteIndex":0},"citationItems":[{"id":1209,"uris":["http://zotero.org/users/local/XMo5Fvid/items/DEY6GNRD"],"itemData":{"id":1209,"type":"article-journal","abstract":"PURPOSE: To quantify the degree of association between juvenile myopia and parental myopia, near work, and school achievement.\nMETHODS: Refractive error, parental refractive status, current level of near activities (assumed working distance-weighted hours per week spent studying, reading for pleasure, watching television, playing video games or working on the computer), hours per week spent playing sports, and level of school achievement (scores on the Iowa Tests of Basic Skills [ITBS]) were assessed in 366 eighth grade children who participated in the Orinda Longitudinal Study of Myopia in 1991 to 1996.\nRESULTS: Children with myopia were more likely to have parents with myopia; to spend significantly more time studying, more time reading, and less time playing sports; and to score higher on the ITBS Reading and Total Language subtests than emmetropic children (chi(2) and Wilcoxon rank-sum tests; P &lt; 0.024). Multivariate logistic regression models showed no substantial confounding effects between parental myopia, near work, sports activity, and school achievement, suggesting that each factor has an independent association with myopia. The multivariate odds ratio (95% confidence interval) for two compared with no parents with myopia was 6.40 (2.17-18.87) and was 1.020 (1.008-1.032) for each diopter-hour per week of near work. Interactions between parental myopia and near work were not significant (P = 0.67), indicating no increase in the risk associated with near work with an increasing number of parents with myopia.\nCONCLUSIONS: Heredity was the most important factor associated with juvenile myopia, with smaller independent contributions from more near work, higher school achievement, and less time in sports activity. There was no evidence that children inherit a myopigenic environment or a susceptibility to the effects of near work from their parents.","container-title":"Investigative Ophthalmology &amp; Visual Science","ISSN":"0146-0404","issue":"12","journalAbbreviation":"Invest Ophthalmol Vis Sci","language":"eng","note":"PMID: 12454029","page":"3633-3640","source":"PubMed","title":"Parental myopia, near work, school achievement, and children's refractive error","volume":"43","author":[{"family":"Mutti","given":"Donald O."},{"family":"Mitchell","given":"G. Lynn"},{"family":"Moeschberger","given":"Melvin L."},{"family":"Jones","given":"Lisa A."},{"family":"Zadnik","given":"Karla"}],"issued":{"date-parts":[["2002",12]]}}}],"schema":"https://github.com/citation-style-language/schema/raw/master/csl-citation.json"} </w:instrText>
      </w:r>
      <w:r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[159]</w:t>
      </w:r>
      <w:r w:rsidRPr="004804AA">
        <w:rPr>
          <w:rFonts w:ascii="Times New Roman" w:hAnsi="Times New Roman" w:cs="Times New Roman"/>
          <w:color w:val="212121"/>
          <w:sz w:val="28"/>
          <w:szCs w:val="28"/>
          <w:shd w:val="clear" w:color="auto" w:fill="FFFFFF"/>
        </w:rPr>
        <w:fldChar w:fldCharType="end"/>
      </w:r>
      <w:r w:rsidR="00986896">
        <w:rPr>
          <w:rFonts w:ascii="Times New Roman" w:hAnsi="Times New Roman" w:cs="Times New Roman"/>
          <w:color w:val="212121"/>
          <w:sz w:val="28"/>
          <w:szCs w:val="28"/>
          <w:shd w:val="clear" w:color="auto" w:fill="FFFFFF"/>
        </w:rPr>
        <w:t>.</w:t>
      </w:r>
      <w:r w:rsidRPr="004804AA">
        <w:rPr>
          <w:rFonts w:ascii="Times New Roman" w:hAnsi="Times New Roman" w:cs="Times New Roman"/>
          <w:color w:val="212121"/>
          <w:sz w:val="28"/>
          <w:szCs w:val="28"/>
          <w:shd w:val="clear" w:color="auto" w:fill="FFFFFF"/>
        </w:rPr>
        <w:t xml:space="preserve"> </w:t>
      </w:r>
    </w:p>
    <w:p w14:paraId="6D0DA329" w14:textId="191E5CD3" w:rsidR="00056AD8" w:rsidRPr="004804AA" w:rsidRDefault="00056AD8" w:rsidP="005C37DF">
      <w:pPr>
        <w:spacing w:after="0" w:line="240" w:lineRule="auto"/>
        <w:ind w:firstLine="709"/>
        <w:jc w:val="both"/>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 xml:space="preserve">В исследовании </w:t>
      </w:r>
      <w:bookmarkStart w:id="4" w:name="_Hlk104790108"/>
      <w:r w:rsidRPr="004804AA">
        <w:rPr>
          <w:rFonts w:ascii="Times New Roman" w:hAnsi="Times New Roman" w:cs="Times New Roman"/>
          <w:color w:val="212121"/>
          <w:sz w:val="28"/>
          <w:szCs w:val="28"/>
          <w:shd w:val="clear" w:color="auto" w:fill="FFFFFF"/>
        </w:rPr>
        <w:t xml:space="preserve">Orinda Longitudinal Study of Myopia subjects </w:t>
      </w:r>
      <w:bookmarkEnd w:id="4"/>
      <w:r w:rsidRPr="004804AA">
        <w:rPr>
          <w:rFonts w:ascii="Times New Roman" w:hAnsi="Times New Roman" w:cs="Times New Roman"/>
          <w:color w:val="212121"/>
          <w:sz w:val="28"/>
          <w:szCs w:val="28"/>
          <w:shd w:val="clear" w:color="auto" w:fill="FFFFFF"/>
        </w:rPr>
        <w:t xml:space="preserve">(1989 to 2001) </w:t>
      </w:r>
      <w:r w:rsidR="00587575">
        <w:rPr>
          <w:rFonts w:ascii="Times New Roman" w:hAnsi="Times New Roman" w:cs="Times New Roman"/>
          <w:color w:val="212121"/>
          <w:sz w:val="28"/>
          <w:szCs w:val="28"/>
          <w:shd w:val="clear" w:color="auto" w:fill="FFFFFF"/>
        </w:rPr>
        <w:t>о</w:t>
      </w:r>
      <w:r w:rsidRPr="004804AA">
        <w:rPr>
          <w:rFonts w:ascii="Times New Roman" w:hAnsi="Times New Roman" w:cs="Times New Roman"/>
          <w:color w:val="212121"/>
          <w:sz w:val="28"/>
          <w:szCs w:val="28"/>
          <w:shd w:val="clear" w:color="auto" w:fill="FFFFFF"/>
        </w:rPr>
        <w:t>тцовский анамнез близорукости был важным прогностическим фактором в однофакторных и многофакторных моделях с разн</w:t>
      </w:r>
      <w:r w:rsidR="00587575">
        <w:rPr>
          <w:rFonts w:ascii="Times New Roman" w:hAnsi="Times New Roman" w:cs="Times New Roman"/>
          <w:color w:val="212121"/>
          <w:sz w:val="28"/>
          <w:szCs w:val="28"/>
          <w:shd w:val="clear" w:color="auto" w:fill="FFFFFF"/>
        </w:rPr>
        <w:t xml:space="preserve">ой продолжительностью </w:t>
      </w:r>
      <w:r w:rsidRPr="004804AA">
        <w:rPr>
          <w:rFonts w:ascii="Times New Roman" w:hAnsi="Times New Roman" w:cs="Times New Roman"/>
          <w:color w:val="212121"/>
          <w:sz w:val="28"/>
          <w:szCs w:val="28"/>
          <w:shd w:val="clear" w:color="auto" w:fill="FFFFFF"/>
        </w:rPr>
        <w:t xml:space="preserve">занятий спортом и активного отдыха в неделю в </w:t>
      </w:r>
      <w:r w:rsidRPr="004804AA">
        <w:rPr>
          <w:rFonts w:ascii="Times New Roman" w:hAnsi="Times New Roman" w:cs="Times New Roman"/>
          <w:color w:val="212121"/>
          <w:sz w:val="28"/>
          <w:szCs w:val="28"/>
          <w:shd w:val="clear" w:color="auto" w:fill="FFFFFF"/>
        </w:rPr>
        <w:lastRenderedPageBreak/>
        <w:t>зависимости от количества родителей с близорукостью.</w:t>
      </w:r>
      <w:r w:rsidR="00587575">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t>Меньшее количество занятий спортом и активного отдыха увеличивало вероятность развития миопии у детей с двумя близорукими родителями больше, чем у детей с нулевым или одним близоруким родителем.</w:t>
      </w:r>
      <w:r w:rsidR="00587575">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t>Вероятность стать близоруким у детей без близоруких родителей, по-видимому, ниже у детей, которые больше всего занимаются спортом и активным отдыхом, по сравнению с детьми с двумя близорукими родителями</w:t>
      </w:r>
      <w:r w:rsidR="00986896">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{"citationID":"F8JIdJ41","properties":{"formattedCitation":"[160]","plainCitation":"[160]","noteIndex":0},"citationItems":[{"id":1216,"uris":["http://zotero.org/users/local/XMo5Fvid/items/KTUGRIKI"],"itemData":{"id":1216,"type":"article-journal","abstract":"PURPOSE: To identify whether parental history of myopia and/or parent-reported children's visual activity levels can predict juvenile-onset myopia.\nMETHODS: Survey-based data from Orinda Longitudinal Study of Myopia subjects from 1989 to 2001 were used to predict future myopia. Univariate and multiple logistic regression analyses were performed, and receiver operator characteristic (ROC) curves were generated. Differences among the areas under the ROC curves were compared using the method of multiple comparison with the best.\nRESULTS: Of the 514 children eligible for this analysis, 111 (21.6%) became myopic. Differences in the third grade between eventual myopes and nonmyopes were seen for the number of myopic parents (P &lt; 0.001) and for the number of sports and outdoor activity hours per week (11.65 +/- 6.97 hours for nonmyopes vs. 7.98 +/- 6.54 hours for future myopes, P &lt; 0.001). Analysis of the areas under the ROC curves showed three variables with a predictive value better than chance: the number of myopic parents, the number of sports and outdoor activity hours per week, and the number of reading hours per week. After controlling for sports and outdoor hours per week and parental myopia history, reading hours per week was no longer a statistically significant factor. The area under the curve for the parental myopia history and sports and outdoor activities model was 0.73. A significant interaction in the logistic model showed a differential effect of sport and outdoor activity hours per week based on a child's number of myopic parents.\nCONCLUSIONS: Parental history of myopia was an important predictor in univariate and multivariate models, with a differential effect of sports and outdoor activity hours per week based on the number of myopic parents. Lower amounts of sports and outdoor activity increased the odds of becoming myopic in those children with two myopic parents more than in those children with either zero or one myopic parent. The chance of becoming myopic for children with no myopic parents appears lowest in the children with the highest amount of sports and outdoor activity, compared with those with two myopic parents.","container-title":"Investigative Ophthalmology &amp; Visual Science","DOI":"10.1167/iovs.06-1118","ISSN":"0146-0404","issue":"8","journalAbbreviation":"Invest Ophthalmol Vis Sci","language":"eng","note":"PMID: 17652719\nPMCID: PMC2871403","page":"3524-3532","source":"PubMed","title":"Parental history of myopia, sports and outdoor activities, and future myopia","volume":"48","author":[{"family":"Jones","given":"Lisa A."},{"family":"Sinnott","given":"Loraine T."},{"family":"Mutti","given":"Donald O."},{"family":"Mitchell","given":"Gladys L."},{"family":"Moeschberger","given":"Melvin L."},{"family":"Zadnik","given":"Karla"}],"issued":{"date-parts":[["2007",8]]}}}],"schema":"https://github.com/citation-style-language/schema/raw/master/csl-citation.json"} </w:instrText>
      </w:r>
      <w:r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[160]</w:t>
      </w:r>
      <w:r w:rsidRPr="004804AA">
        <w:rPr>
          <w:rFonts w:ascii="Times New Roman" w:hAnsi="Times New Roman" w:cs="Times New Roman"/>
          <w:color w:val="212121"/>
          <w:sz w:val="28"/>
          <w:szCs w:val="28"/>
          <w:shd w:val="clear" w:color="auto" w:fill="FFFFFF"/>
        </w:rPr>
        <w:fldChar w:fldCharType="end"/>
      </w:r>
      <w:r w:rsidR="00986896">
        <w:rPr>
          <w:rFonts w:ascii="Times New Roman" w:hAnsi="Times New Roman" w:cs="Times New Roman"/>
          <w:color w:val="212121"/>
          <w:sz w:val="28"/>
          <w:szCs w:val="28"/>
          <w:shd w:val="clear" w:color="auto" w:fill="FFFFFF"/>
        </w:rPr>
        <w:t>.</w:t>
      </w:r>
    </w:p>
    <w:p w14:paraId="3F393AC1" w14:textId="7823432A" w:rsidR="00056AD8" w:rsidRPr="004804AA" w:rsidRDefault="00E56EEC" w:rsidP="005C37DF">
      <w:pPr>
        <w:spacing w:after="0" w:line="240" w:lineRule="auto"/>
        <w:ind w:firstLine="709"/>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В 2-летнем исследовании, проведенном в Северной Ирландии, м</w:t>
      </w:r>
      <w:r w:rsidR="00056AD8" w:rsidRPr="004804AA">
        <w:rPr>
          <w:rFonts w:ascii="Times New Roman" w:hAnsi="Times New Roman" w:cs="Times New Roman"/>
          <w:color w:val="212121"/>
          <w:sz w:val="28"/>
          <w:szCs w:val="28"/>
          <w:shd w:val="clear" w:color="auto" w:fill="FFFFFF"/>
        </w:rPr>
        <w:t xml:space="preserve">иопия в родительском анамнезе </w:t>
      </w:r>
      <w:r>
        <w:rPr>
          <w:rFonts w:ascii="Times New Roman" w:hAnsi="Times New Roman" w:cs="Times New Roman"/>
          <w:color w:val="212121"/>
          <w:sz w:val="28"/>
          <w:szCs w:val="28"/>
          <w:shd w:val="clear" w:color="auto" w:fill="FFFFFF"/>
        </w:rPr>
        <w:t xml:space="preserve">являлась </w:t>
      </w:r>
      <w:r w:rsidR="00056AD8" w:rsidRPr="004804AA">
        <w:rPr>
          <w:rFonts w:ascii="Times New Roman" w:hAnsi="Times New Roman" w:cs="Times New Roman"/>
          <w:color w:val="212121"/>
          <w:sz w:val="28"/>
          <w:szCs w:val="28"/>
          <w:shd w:val="clear" w:color="auto" w:fill="FFFFFF"/>
        </w:rPr>
        <w:t>фактор</w:t>
      </w:r>
      <w:r>
        <w:rPr>
          <w:rFonts w:ascii="Times New Roman" w:hAnsi="Times New Roman" w:cs="Times New Roman"/>
          <w:color w:val="212121"/>
          <w:sz w:val="28"/>
          <w:szCs w:val="28"/>
          <w:shd w:val="clear" w:color="auto" w:fill="FFFFFF"/>
        </w:rPr>
        <w:t>ом</w:t>
      </w:r>
      <w:r w:rsidR="00056AD8" w:rsidRPr="004804AA">
        <w:rPr>
          <w:rFonts w:ascii="Times New Roman" w:hAnsi="Times New Roman" w:cs="Times New Roman"/>
          <w:color w:val="212121"/>
          <w:sz w:val="28"/>
          <w:szCs w:val="28"/>
          <w:shd w:val="clear" w:color="auto" w:fill="FFFFFF"/>
        </w:rPr>
        <w:t xml:space="preserve"> риска возникновения миопии в детстве. Дети, имеющие хотя бы одного близорукого родителя, более чем в шесть раз чаще попадали в группу с</w:t>
      </w:r>
      <w:r w:rsidR="00A43295">
        <w:rPr>
          <w:rFonts w:ascii="Times New Roman" w:hAnsi="Times New Roman" w:cs="Times New Roman"/>
          <w:color w:val="212121"/>
          <w:sz w:val="28"/>
          <w:szCs w:val="28"/>
          <w:shd w:val="clear" w:color="auto" w:fill="FFFFFF"/>
        </w:rPr>
        <w:t xml:space="preserve"> </w:t>
      </w:r>
      <w:r w:rsidR="00056AD8" w:rsidRPr="004804AA">
        <w:rPr>
          <w:rFonts w:ascii="Times New Roman" w:hAnsi="Times New Roman" w:cs="Times New Roman"/>
          <w:color w:val="212121"/>
          <w:sz w:val="28"/>
          <w:szCs w:val="28"/>
          <w:shd w:val="clear" w:color="auto" w:fill="FFFFFF"/>
        </w:rPr>
        <w:t>рефракционн</w:t>
      </w:r>
      <w:r w:rsidR="00A43295">
        <w:rPr>
          <w:rFonts w:ascii="Times New Roman" w:hAnsi="Times New Roman" w:cs="Times New Roman"/>
          <w:color w:val="212121"/>
          <w:sz w:val="28"/>
          <w:szCs w:val="28"/>
          <w:shd w:val="clear" w:color="auto" w:fill="FFFFFF"/>
        </w:rPr>
        <w:t>ыми нарушениями</w:t>
      </w:r>
      <w:r w:rsidR="00056AD8" w:rsidRPr="004804AA">
        <w:rPr>
          <w:rFonts w:ascii="Times New Roman" w:hAnsi="Times New Roman" w:cs="Times New Roman"/>
          <w:color w:val="212121"/>
          <w:sz w:val="28"/>
          <w:szCs w:val="28"/>
          <w:shd w:val="clear" w:color="auto" w:fill="FFFFFF"/>
        </w:rPr>
        <w:t xml:space="preserve"> по сравнению с группой </w:t>
      </w:r>
      <w:r w:rsidR="00A43295">
        <w:rPr>
          <w:rFonts w:ascii="Times New Roman" w:hAnsi="Times New Roman" w:cs="Times New Roman"/>
          <w:color w:val="212121"/>
          <w:sz w:val="28"/>
          <w:szCs w:val="28"/>
          <w:shd w:val="clear" w:color="auto" w:fill="FFFFFF"/>
        </w:rPr>
        <w:t>эмметропии</w:t>
      </w:r>
      <w:r w:rsidR="00056AD8" w:rsidRPr="004804AA">
        <w:rPr>
          <w:rFonts w:ascii="Times New Roman" w:hAnsi="Times New Roman" w:cs="Times New Roman"/>
          <w:color w:val="212121"/>
          <w:sz w:val="28"/>
          <w:szCs w:val="28"/>
          <w:shd w:val="clear" w:color="auto" w:fill="FFFFFF"/>
        </w:rPr>
        <w:t xml:space="preserve"> (</w:t>
      </w:r>
      <w:r w:rsidR="00991DCA">
        <w:rPr>
          <w:rFonts w:ascii="Times New Roman" w:hAnsi="Times New Roman" w:cs="Times New Roman"/>
          <w:color w:val="212121"/>
          <w:sz w:val="28"/>
          <w:szCs w:val="28"/>
          <w:shd w:val="clear" w:color="auto" w:fill="FFFFFF"/>
        </w:rPr>
        <w:t>ОШ</w:t>
      </w:r>
      <w:r w:rsidR="00444869">
        <w:rPr>
          <w:rFonts w:ascii="Times New Roman" w:hAnsi="Times New Roman" w:cs="Times New Roman"/>
          <w:color w:val="212121"/>
          <w:sz w:val="28"/>
          <w:szCs w:val="28"/>
          <w:shd w:val="clear" w:color="auto" w:fill="FFFFFF"/>
        </w:rPr>
        <w:t xml:space="preserve"> </w:t>
      </w:r>
      <w:r w:rsidR="00056AD8" w:rsidRPr="004804AA">
        <w:rPr>
          <w:rFonts w:ascii="Times New Roman" w:hAnsi="Times New Roman" w:cs="Times New Roman"/>
          <w:color w:val="212121"/>
          <w:sz w:val="28"/>
          <w:szCs w:val="28"/>
          <w:shd w:val="clear" w:color="auto" w:fill="FFFFFF"/>
        </w:rPr>
        <w:t>6,28</w:t>
      </w:r>
      <w:r w:rsidR="00F77869">
        <w:rPr>
          <w:rFonts w:ascii="Times New Roman" w:hAnsi="Times New Roman" w:cs="Times New Roman"/>
          <w:color w:val="212121"/>
          <w:sz w:val="28"/>
          <w:szCs w:val="28"/>
          <w:shd w:val="clear" w:color="auto" w:fill="FFFFFF"/>
        </w:rPr>
        <w:t xml:space="preserve">; </w:t>
      </w:r>
      <w:r w:rsidR="00056AD8" w:rsidRPr="004804AA">
        <w:rPr>
          <w:rFonts w:ascii="Times New Roman" w:hAnsi="Times New Roman" w:cs="Times New Roman"/>
          <w:color w:val="212121"/>
          <w:sz w:val="28"/>
          <w:szCs w:val="28"/>
          <w:shd w:val="clear" w:color="auto" w:fill="FFFFFF"/>
        </w:rPr>
        <w:t>95%</w:t>
      </w:r>
      <w:r w:rsidR="00F77869">
        <w:rPr>
          <w:rFonts w:ascii="Times New Roman" w:hAnsi="Times New Roman" w:cs="Times New Roman"/>
          <w:color w:val="212121"/>
          <w:sz w:val="28"/>
          <w:szCs w:val="28"/>
          <w:shd w:val="clear" w:color="auto" w:fill="FFFFFF"/>
        </w:rPr>
        <w:t xml:space="preserve">; </w:t>
      </w:r>
      <w:r w:rsidR="00056AD8" w:rsidRPr="004804AA">
        <w:rPr>
          <w:rFonts w:ascii="Times New Roman" w:hAnsi="Times New Roman" w:cs="Times New Roman"/>
          <w:color w:val="212121"/>
          <w:sz w:val="28"/>
          <w:szCs w:val="28"/>
          <w:shd w:val="clear" w:color="auto" w:fill="FFFFFF"/>
        </w:rPr>
        <w:t>ДИ 1,01</w:t>
      </w:r>
      <w:r w:rsidR="00F77869">
        <w:rPr>
          <w:rFonts w:ascii="Times New Roman" w:hAnsi="Times New Roman" w:cs="Times New Roman"/>
          <w:color w:val="212121"/>
          <w:sz w:val="28"/>
          <w:szCs w:val="28"/>
          <w:shd w:val="clear" w:color="auto" w:fill="FFFFFF"/>
        </w:rPr>
        <w:t>-</w:t>
      </w:r>
      <w:r w:rsidR="00056AD8" w:rsidRPr="004804AA">
        <w:rPr>
          <w:rFonts w:ascii="Times New Roman" w:hAnsi="Times New Roman" w:cs="Times New Roman"/>
          <w:color w:val="212121"/>
          <w:sz w:val="28"/>
          <w:szCs w:val="28"/>
          <w:shd w:val="clear" w:color="auto" w:fill="FFFFFF"/>
        </w:rPr>
        <w:t xml:space="preserve">38,93). </w:t>
      </w:r>
      <w:r w:rsidR="00F03D37" w:rsidRPr="004804AA">
        <w:rPr>
          <w:rFonts w:ascii="Times New Roman" w:hAnsi="Times New Roman" w:cs="Times New Roman"/>
          <w:color w:val="212121"/>
          <w:sz w:val="28"/>
          <w:szCs w:val="28"/>
          <w:shd w:val="clear" w:color="auto" w:fill="FFFFFF"/>
        </w:rPr>
        <w:t>Кроме того,</w:t>
      </w:r>
      <w:r w:rsidR="00056AD8" w:rsidRPr="004804AA">
        <w:rPr>
          <w:rFonts w:ascii="Times New Roman" w:hAnsi="Times New Roman" w:cs="Times New Roman"/>
          <w:color w:val="212121"/>
          <w:sz w:val="28"/>
          <w:szCs w:val="28"/>
          <w:shd w:val="clear" w:color="auto" w:fill="FFFFFF"/>
        </w:rPr>
        <w:t xml:space="preserve"> важным прогностическим признаком </w:t>
      </w:r>
      <w:r w:rsidR="00F03D37">
        <w:rPr>
          <w:rFonts w:ascii="Times New Roman" w:hAnsi="Times New Roman" w:cs="Times New Roman"/>
          <w:color w:val="212121"/>
          <w:sz w:val="28"/>
          <w:szCs w:val="28"/>
          <w:shd w:val="clear" w:color="auto" w:fill="FFFFFF"/>
        </w:rPr>
        <w:t xml:space="preserve">ранней манифестации миопии </w:t>
      </w:r>
      <w:r w:rsidR="00056AD8" w:rsidRPr="004804AA">
        <w:rPr>
          <w:rFonts w:ascii="Times New Roman" w:hAnsi="Times New Roman" w:cs="Times New Roman"/>
          <w:color w:val="212121"/>
          <w:sz w:val="28"/>
          <w:szCs w:val="28"/>
          <w:shd w:val="clear" w:color="auto" w:fill="FFFFFF"/>
        </w:rPr>
        <w:t xml:space="preserve">был </w:t>
      </w:r>
      <w:r w:rsidR="00A43295">
        <w:rPr>
          <w:rFonts w:ascii="Times New Roman" w:hAnsi="Times New Roman" w:cs="Times New Roman"/>
          <w:color w:val="212121"/>
          <w:sz w:val="28"/>
          <w:szCs w:val="28"/>
          <w:shd w:val="clear" w:color="auto" w:fill="FFFFFF"/>
        </w:rPr>
        <w:t>б</w:t>
      </w:r>
      <w:r w:rsidR="00056AD8" w:rsidRPr="004804AA">
        <w:rPr>
          <w:rFonts w:ascii="Times New Roman" w:hAnsi="Times New Roman" w:cs="Times New Roman"/>
          <w:color w:val="000000"/>
          <w:sz w:val="28"/>
          <w:szCs w:val="28"/>
          <w:shd w:val="clear" w:color="auto" w:fill="FFFFFF"/>
        </w:rPr>
        <w:t>олее близорук</w:t>
      </w:r>
      <w:r w:rsidR="00A43295">
        <w:rPr>
          <w:rFonts w:ascii="Times New Roman" w:hAnsi="Times New Roman" w:cs="Times New Roman"/>
          <w:color w:val="000000"/>
          <w:sz w:val="28"/>
          <w:szCs w:val="28"/>
          <w:shd w:val="clear" w:color="auto" w:fill="FFFFFF"/>
        </w:rPr>
        <w:t>ий</w:t>
      </w:r>
      <w:r w:rsidR="00056AD8" w:rsidRPr="004804AA">
        <w:rPr>
          <w:rFonts w:ascii="Times New Roman" w:hAnsi="Times New Roman" w:cs="Times New Roman"/>
          <w:color w:val="000000"/>
          <w:sz w:val="28"/>
          <w:szCs w:val="28"/>
          <w:shd w:val="clear" w:color="auto" w:fill="FFFFFF"/>
        </w:rPr>
        <w:t xml:space="preserve"> </w:t>
      </w:r>
      <w:r w:rsidR="00A43295">
        <w:rPr>
          <w:rFonts w:ascii="Times New Roman" w:hAnsi="Times New Roman" w:cs="Times New Roman"/>
          <w:color w:val="000000"/>
          <w:sz w:val="28"/>
          <w:szCs w:val="28"/>
          <w:shd w:val="clear" w:color="auto" w:fill="FFFFFF"/>
        </w:rPr>
        <w:t>сфероэквивалент (</w:t>
      </w:r>
      <w:r w:rsidR="00056AD8" w:rsidRPr="004804AA">
        <w:rPr>
          <w:rFonts w:ascii="Times New Roman" w:hAnsi="Times New Roman" w:cs="Times New Roman"/>
          <w:color w:val="000000"/>
          <w:sz w:val="28"/>
          <w:szCs w:val="28"/>
          <w:shd w:val="clear" w:color="auto" w:fill="FFFFFF"/>
        </w:rPr>
        <w:t>SER</w:t>
      </w:r>
      <w:r w:rsidR="00A43295">
        <w:rPr>
          <w:rFonts w:ascii="Times New Roman" w:hAnsi="Times New Roman" w:cs="Times New Roman"/>
          <w:color w:val="000000"/>
          <w:sz w:val="28"/>
          <w:szCs w:val="28"/>
          <w:shd w:val="clear" w:color="auto" w:fill="FFFFFF"/>
        </w:rPr>
        <w:t>)</w:t>
      </w:r>
      <w:r w:rsidR="00F03D37">
        <w:rPr>
          <w:rFonts w:ascii="Times New Roman" w:hAnsi="Times New Roman" w:cs="Times New Roman"/>
          <w:color w:val="000000"/>
          <w:sz w:val="28"/>
          <w:szCs w:val="28"/>
          <w:shd w:val="clear" w:color="auto" w:fill="FFFFFF"/>
        </w:rPr>
        <w:t xml:space="preserve">. </w:t>
      </w:r>
      <w:r w:rsidR="00F03D37">
        <w:rPr>
          <w:rFonts w:ascii="Times New Roman" w:hAnsi="Times New Roman" w:cs="Times New Roman"/>
          <w:color w:val="000000"/>
          <w:sz w:val="28"/>
          <w:szCs w:val="28"/>
          <w:shd w:val="clear" w:color="auto" w:fill="FFFFFF"/>
          <w:lang w:val="en-US"/>
        </w:rPr>
        <w:t>SER</w:t>
      </w:r>
      <w:r w:rsidR="00056AD8" w:rsidRPr="004804AA">
        <w:rPr>
          <w:rFonts w:ascii="Times New Roman" w:hAnsi="Times New Roman" w:cs="Times New Roman"/>
          <w:color w:val="000000"/>
          <w:sz w:val="28"/>
          <w:szCs w:val="28"/>
          <w:shd w:val="clear" w:color="auto" w:fill="FFFFFF"/>
        </w:rPr>
        <w:t xml:space="preserve"> </w:t>
      </w:r>
      <w:r w:rsidR="00F03D37" w:rsidRPr="004804AA">
        <w:rPr>
          <w:rFonts w:ascii="Times New Roman" w:hAnsi="Times New Roman" w:cs="Times New Roman"/>
          <w:color w:val="000000"/>
          <w:sz w:val="28"/>
          <w:szCs w:val="28"/>
          <w:shd w:val="clear" w:color="auto" w:fill="FFFFFF"/>
        </w:rPr>
        <w:t>≤</w:t>
      </w:r>
      <w:r w:rsidR="00F77869">
        <w:rPr>
          <w:rFonts w:ascii="Times New Roman" w:hAnsi="Times New Roman" w:cs="Times New Roman"/>
          <w:color w:val="000000"/>
          <w:sz w:val="28"/>
          <w:szCs w:val="28"/>
          <w:shd w:val="clear" w:color="auto" w:fill="FFFFFF"/>
        </w:rPr>
        <w:t xml:space="preserve"> </w:t>
      </w:r>
      <w:r w:rsidR="00F03D37" w:rsidRPr="004804AA">
        <w:rPr>
          <w:rFonts w:ascii="Times New Roman" w:hAnsi="Times New Roman" w:cs="Times New Roman"/>
          <w:color w:val="000000"/>
          <w:sz w:val="28"/>
          <w:szCs w:val="28"/>
          <w:shd w:val="clear" w:color="auto" w:fill="FFFFFF"/>
        </w:rPr>
        <w:t xml:space="preserve">+0,19D </w:t>
      </w:r>
      <w:r w:rsidR="00056AD8" w:rsidRPr="004804AA">
        <w:rPr>
          <w:rFonts w:ascii="Times New Roman" w:hAnsi="Times New Roman" w:cs="Times New Roman"/>
          <w:color w:val="000000"/>
          <w:sz w:val="28"/>
          <w:szCs w:val="28"/>
          <w:shd w:val="clear" w:color="auto" w:fill="FFFFFF"/>
        </w:rPr>
        <w:t xml:space="preserve">в возрасте 6–7 лет сигнализировал о риске начала миопии к 10 годам </w:t>
      </w:r>
      <w:r w:rsidR="00F03D37">
        <w:rPr>
          <w:rFonts w:ascii="Times New Roman" w:hAnsi="Times New Roman" w:cs="Times New Roman"/>
          <w:color w:val="000000"/>
          <w:sz w:val="28"/>
          <w:szCs w:val="28"/>
          <w:shd w:val="clear" w:color="auto" w:fill="FFFFFF"/>
        </w:rPr>
        <w:t xml:space="preserve">или ранее </w:t>
      </w:r>
      <w:r w:rsidR="00056AD8" w:rsidRPr="004804AA">
        <w:rPr>
          <w:rFonts w:ascii="Times New Roman" w:hAnsi="Times New Roman" w:cs="Times New Roman"/>
          <w:color w:val="000000"/>
          <w:sz w:val="28"/>
          <w:szCs w:val="28"/>
          <w:shd w:val="clear" w:color="auto" w:fill="FFFFFF"/>
        </w:rPr>
        <w:t>по сравнению с SER у тех, кто стал миоп</w:t>
      </w:r>
      <w:r w:rsidR="00F03D37">
        <w:rPr>
          <w:rFonts w:ascii="Times New Roman" w:hAnsi="Times New Roman" w:cs="Times New Roman"/>
          <w:color w:val="000000"/>
          <w:sz w:val="28"/>
          <w:szCs w:val="28"/>
          <w:shd w:val="clear" w:color="auto" w:fill="FFFFFF"/>
        </w:rPr>
        <w:t>ом</w:t>
      </w:r>
      <w:r w:rsidR="00056AD8" w:rsidRPr="004804AA">
        <w:rPr>
          <w:rFonts w:ascii="Times New Roman" w:hAnsi="Times New Roman" w:cs="Times New Roman"/>
          <w:color w:val="000000"/>
          <w:sz w:val="28"/>
          <w:szCs w:val="28"/>
          <w:shd w:val="clear" w:color="auto" w:fill="FFFFFF"/>
        </w:rPr>
        <w:t xml:space="preserve"> к 13 </w:t>
      </w:r>
      <w:r w:rsidR="00F03D37">
        <w:rPr>
          <w:rFonts w:ascii="Times New Roman" w:hAnsi="Times New Roman" w:cs="Times New Roman"/>
          <w:color w:val="000000"/>
          <w:sz w:val="28"/>
          <w:szCs w:val="28"/>
          <w:shd w:val="clear" w:color="auto" w:fill="FFFFFF"/>
        </w:rPr>
        <w:t>-</w:t>
      </w:r>
      <w:r w:rsidR="00056AD8" w:rsidRPr="004804AA">
        <w:rPr>
          <w:rFonts w:ascii="Times New Roman" w:hAnsi="Times New Roman" w:cs="Times New Roman"/>
          <w:color w:val="000000"/>
          <w:sz w:val="28"/>
          <w:szCs w:val="28"/>
          <w:shd w:val="clear" w:color="auto" w:fill="FFFFFF"/>
        </w:rPr>
        <w:t xml:space="preserve"> 16 годам (p ≤ 0,02)</w:t>
      </w:r>
      <w:r w:rsidR="00231278">
        <w:rPr>
          <w:rFonts w:ascii="Times New Roman" w:hAnsi="Times New Roman" w:cs="Times New Roman"/>
          <w:color w:val="000000"/>
          <w:sz w:val="28"/>
          <w:szCs w:val="28"/>
          <w:shd w:val="clear" w:color="auto" w:fill="FFFFFF"/>
        </w:rPr>
        <w:t xml:space="preserve"> </w:t>
      </w:r>
      <w:r w:rsidR="00056AD8"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{"citationID":"VzceANxK","properties":{"formattedCitation":"[21]","plainCitation":"[21]","noteIndex":0},"citationItems":[{"id":1254,"uris":["http://zotero.org/users/local/XMo5Fvid/items/Y7JUGFK6"],"itemData":{"id":1254,"type":"article-journal","abstract":"This report describes development of spherical equivalent refraction (SER) and axial length (AL) in two population-based cohorts of white, European children. Predictive factors for myopic growth were explored. Participants were aged 6–7- (n = 390) and 12–13-years (n = 657) at baseline. SER and AL were assessed at baseline and 3, 6 and 9 years prospectively. Between 6 and 16 years: latent growth mixture modelling identified four SER classes (Persistent Emmetropes-PEMM, Persistent Moderate Hyperopes-PMHYP, Persistent High Hyperopes-PHHYP and Emerging Myopes-EMYO) as optimal to characterise refractive progression and two classes to characterise AL. Between 12 and 22-years: five SER classes (PHHYP, PMHYP, PEMM, Low Progressing Myopes-LPMYO and High Progressing Myopes-HPMYO) and four AL classes were identified. EMYO had significantly longer baseline AL (≥ 23.19 mm) (OR 2.5, CI 1.05–5.97) and at least one myopic parent (OR 6.28, CI 1.01–38.93). More myopic SER at 6–7 years (≤ + 0.19D) signalled risk for earlier myopia onset by 10-years in comparison to baseline SER of those who became myopic by 13 or 16 years (p ≤ 0.02). SER and AL progressed more slowly in myopes aged 12–22-years (− 0.16D, 0.15 mm) compared to 6–16-years (− 0.41D, 0.30 mm). These growth trajectories and risk criteria allow prediction of abnormal myopigenic growth and constitute an important resource for developing and testing anti-myopia interventions.","container-title":"Scientific Reports","DOI":"10.1038/s41598-020-72240-y","ISSN":"2045-2322","journalAbbreviation":"Sci Rep","note":"PMID: 32938970\nPMCID: PMC7494927","source":"PubMed Central","title":"Axial growth and refractive change in white European children and young adults: predictive factors for myopia","title-short":"Axial growth and refractive change in white European children and young adults","URL":"https://www.ncbi.nlm.nih.gov/pmc/articles/PMC7494927/","volume":"10","author":[{"family":"McCullough","given":"Sara"},{"family":"Adamson","given":"Gary"},{"family":"Breslin","given":"Karen M. M."},{"family":"McClelland","given":"Julie F."},{"family":"Doyle","given":"Lesley"},{"family":"Saunders","given":"Kathryn J."}],"accessed":{"date-parts":[["2021",1,12]]},"issued":{"date-parts":[["2020",9,16]]}}}],"schema":"https://github.com/citation-style-language/schema/raw/master/csl-citation.json"} </w:instrText>
      </w:r>
      <w:r w:rsidR="00056AD8"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[21]</w:t>
      </w:r>
      <w:r w:rsidR="00056AD8" w:rsidRPr="004804AA">
        <w:rPr>
          <w:rFonts w:ascii="Times New Roman" w:hAnsi="Times New Roman" w:cs="Times New Roman"/>
          <w:color w:val="212121"/>
          <w:sz w:val="28"/>
          <w:szCs w:val="28"/>
          <w:shd w:val="clear" w:color="auto" w:fill="FFFFFF"/>
        </w:rPr>
        <w:fldChar w:fldCharType="end"/>
      </w:r>
      <w:r w:rsidR="00231278">
        <w:rPr>
          <w:rFonts w:ascii="Times New Roman" w:hAnsi="Times New Roman" w:cs="Times New Roman"/>
          <w:color w:val="212121"/>
          <w:sz w:val="28"/>
          <w:szCs w:val="28"/>
          <w:shd w:val="clear" w:color="auto" w:fill="FFFFFF"/>
        </w:rPr>
        <w:t>.</w:t>
      </w:r>
    </w:p>
    <w:p w14:paraId="5622FFE6" w14:textId="00183F6F" w:rsidR="00056AD8" w:rsidRPr="004804AA" w:rsidRDefault="00056AD8" w:rsidP="005C37DF">
      <w:pPr>
        <w:spacing w:after="0" w:line="240" w:lineRule="auto"/>
        <w:ind w:firstLine="709"/>
        <w:jc w:val="both"/>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 xml:space="preserve">В рамках исследования SAVES (The Sydney Adolescent Vascular and Eye Study) дети с 1 или 2 родителями, страдающими миопией, имели более высокие шансы развития миопии (1 родитель: </w:t>
      </w:r>
      <w:r w:rsidR="00991DCA">
        <w:rPr>
          <w:rFonts w:ascii="Times New Roman" w:hAnsi="Times New Roman" w:cs="Times New Roman"/>
          <w:color w:val="212121"/>
          <w:sz w:val="28"/>
          <w:szCs w:val="28"/>
          <w:shd w:val="clear" w:color="auto" w:fill="FFFFFF"/>
        </w:rPr>
        <w:t>ОШ</w:t>
      </w:r>
      <w:r w:rsidRPr="004804AA">
        <w:rPr>
          <w:rFonts w:ascii="Times New Roman" w:hAnsi="Times New Roman" w:cs="Times New Roman"/>
          <w:color w:val="212121"/>
          <w:sz w:val="28"/>
          <w:szCs w:val="28"/>
          <w:shd w:val="clear" w:color="auto" w:fill="FFFFFF"/>
        </w:rPr>
        <w:t xml:space="preserve"> 3,2, 95% </w:t>
      </w:r>
      <w:r w:rsidR="00031966">
        <w:rPr>
          <w:rFonts w:ascii="Times New Roman" w:hAnsi="Times New Roman" w:cs="Times New Roman"/>
          <w:color w:val="212121"/>
          <w:sz w:val="28"/>
          <w:szCs w:val="28"/>
          <w:shd w:val="clear" w:color="auto" w:fill="FFFFFF"/>
        </w:rPr>
        <w:t>ДИ</w:t>
      </w:r>
      <w:r w:rsidRPr="004804AA">
        <w:rPr>
          <w:rFonts w:ascii="Times New Roman" w:hAnsi="Times New Roman" w:cs="Times New Roman"/>
          <w:color w:val="212121"/>
          <w:sz w:val="28"/>
          <w:szCs w:val="28"/>
          <w:shd w:val="clear" w:color="auto" w:fill="FFFFFF"/>
        </w:rPr>
        <w:t xml:space="preserve"> 1,9-5,2; оба родителя: </w:t>
      </w:r>
      <w:r w:rsidR="00991DCA">
        <w:rPr>
          <w:rFonts w:ascii="Times New Roman" w:hAnsi="Times New Roman" w:cs="Times New Roman"/>
          <w:color w:val="212121"/>
          <w:sz w:val="28"/>
          <w:szCs w:val="28"/>
          <w:shd w:val="clear" w:color="auto" w:fill="FFFFFF"/>
        </w:rPr>
        <w:t>ОШ</w:t>
      </w:r>
      <w:r w:rsidRPr="004804AA">
        <w:rPr>
          <w:rFonts w:ascii="Times New Roman" w:hAnsi="Times New Roman" w:cs="Times New Roman"/>
          <w:color w:val="212121"/>
          <w:sz w:val="28"/>
          <w:szCs w:val="28"/>
          <w:shd w:val="clear" w:color="auto" w:fill="FFFFFF"/>
        </w:rPr>
        <w:t xml:space="preserve">, 3,3, 95% </w:t>
      </w:r>
      <w:r w:rsidR="00031966">
        <w:rPr>
          <w:rFonts w:ascii="Times New Roman" w:hAnsi="Times New Roman" w:cs="Times New Roman"/>
          <w:color w:val="212121"/>
          <w:sz w:val="28"/>
          <w:szCs w:val="28"/>
          <w:shd w:val="clear" w:color="auto" w:fill="FFFFFF"/>
        </w:rPr>
        <w:t>ДИ</w:t>
      </w:r>
      <w:r w:rsidRPr="004804AA">
        <w:rPr>
          <w:rFonts w:ascii="Times New Roman" w:hAnsi="Times New Roman" w:cs="Times New Roman"/>
          <w:color w:val="212121"/>
          <w:sz w:val="28"/>
          <w:szCs w:val="28"/>
          <w:shd w:val="clear" w:color="auto" w:fill="FFFFFF"/>
        </w:rPr>
        <w:t xml:space="preserve"> 1.6-6.8). Дети восточноазиатской национальности имели более высокую частоту миопии по сравнению с детьми европеоидной национальности (оба P &lt;0,0001) и меньше времени проводили на открытом воздухе</w:t>
      </w:r>
      <w:r w:rsidR="00231278">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{"citationID":"IiCRG8Hr","properties":{"formattedCitation":"[161]","plainCitation":"[161]","noteIndex":0},"citationItems":[{"id":1274,"uris":["http://zotero.org/users/local/XMo5Fvid/items/V85RSQM9"],"itemData":{"id":1274,"type":"article-journal","abstract":"PURPOSE: To examine the risk factors for incident myopia in Australian schoolchildren.\nDESIGN: Population-based, longitudinal cohort study.\nPARTICIPANTS: The Sydney Adolescent Vascular and Eye Study (SAVES) was a 5- to 6-year follow-up of the Sydney Myopia Study (SMS). At follow-up, 2103 children were reexamined: 892 (50.5%) from the younger cohort and 1211 (51.5%) from the older cohort. Of these, 863 in the younger cohort and 1196 in the older cohort had complete refraction data.\nMETHODS: Cycloplegic autorefraction (cyclopentolate 1%; Canon RK-F1; Canon, Tokyo, Japan) was measured at baseline and follow-up. Myopia was defined as a spherical equivalent refraction of ≤-0.50 diopters (D). Children were classified as having incident myopia if they were nonmyopic at baseline and myopic in either eye at follow-up. A comprehensive questionnaire determined the amount of time children spent outdoors and doing near work per week at baseline, as well as ethnicity, parental myopia, and socioeconomic status.\nMAIN OUTCOME MEASURES: Incident myopia.\nRESULTS: Children who became myopic spent less time outdoors compared with children who remained nonmyopic (younger cohort, 16.3 vs. 21.0 hours, respectively, P&lt;0.0001; older cohort, 17.2 vs. 19.6 hours, respectively, P=0.001). Children who became myopic performed significantly more near work (19.4 vs. 17.6 hours; P=0.02) in the younger cohort, but not in the older cohort (P=0.06). Children with 1 or 2 parents who were myopic had greater odds of incident myopia (1 parent: odds ratio [OR], 3.2, 95% confidence interval [CI], 1.9-5.2; both parents: OR, 3.3, 95% CI, 1.6-6.8) in the younger but not the older cohort. Children of East Asian ethnicity had a higher incidence of myopia compared with children of European Caucasian ethnicity (both P&lt;0.0001) and spent less time outdoors (both P&lt;0.0001). A less hyperopic refraction at baseline was the most significant predictor of incident myopia. The addition of time outdoors, near work, parental myopia, and ethnicity to the model significantly improved the predictive power (P&lt;0.0001) in the younger cohort but had little effect in the older cohort.\nCONCLUSIONS: Time spent outdoors was negatively associated with incident myopia in both age cohorts. Near work and parental myopia were additional significant risk factors for myopia only in the younger cohort.\nFINANCIAL DISCLOSURE(S): The author(s) have no proprietary or commercial interest in any materials discussed in this article.","container-title":"Ophthalmology","DOI":"10.1016/j.ophtha.2013.02.035","ISSN":"1549-4713","issue":"10","journalAbbreviation":"Ophthalmology","language":"eng","note":"PMID: 23672971","page":"2100-2108","source":"PubMed","title":"Risk factors for incident myopia in Australian schoolchildren: the Sydney adolescent vascular and eye study","title-short":"Risk factors for incident myopia in Australian schoolchildren","volume":"120","author":[{"family":"French","given":"Amanda N."},{"family":"Morgan","given":"Ian G."},{"family":"Mitchell","given":"Paul"},{"family":"Rose","given":"Kathryn A."}],"issued":{"date-parts":[["2013",10]]}}}],"schema":"https://github.com/citation-style-language/schema/raw/master/csl-citation.json"} </w:instrText>
      </w:r>
      <w:r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[161]</w:t>
      </w:r>
      <w:r w:rsidRPr="004804AA">
        <w:rPr>
          <w:rFonts w:ascii="Times New Roman" w:hAnsi="Times New Roman" w:cs="Times New Roman"/>
          <w:color w:val="212121"/>
          <w:sz w:val="28"/>
          <w:szCs w:val="28"/>
          <w:shd w:val="clear" w:color="auto" w:fill="FFFFFF"/>
        </w:rPr>
        <w:fldChar w:fldCharType="end"/>
      </w:r>
      <w:r w:rsidR="00231278">
        <w:rPr>
          <w:rFonts w:ascii="Times New Roman" w:hAnsi="Times New Roman" w:cs="Times New Roman"/>
          <w:color w:val="212121"/>
          <w:sz w:val="28"/>
          <w:szCs w:val="28"/>
          <w:shd w:val="clear" w:color="auto" w:fill="FFFFFF"/>
        </w:rPr>
        <w:t>.</w:t>
      </w:r>
      <w:r w:rsidRPr="004804AA">
        <w:rPr>
          <w:rFonts w:ascii="Times New Roman" w:hAnsi="Times New Roman" w:cs="Times New Roman"/>
          <w:color w:val="212121"/>
          <w:sz w:val="28"/>
          <w:szCs w:val="28"/>
          <w:shd w:val="clear" w:color="auto" w:fill="FFFFFF"/>
        </w:rPr>
        <w:t xml:space="preserve"> Мета-анализ Zhang et al. сообщают о значительной положительной связи между родительской близорукостью и риском развития миопии у ребенка, однако они сообщают о более низком соотношении шансов </w:t>
      </w:r>
      <w:r w:rsidR="00F77869" w:rsidRPr="004804AA">
        <w:rPr>
          <w:rFonts w:ascii="Times New Roman" w:hAnsi="Times New Roman" w:cs="Times New Roman"/>
          <w:color w:val="212121"/>
          <w:sz w:val="28"/>
          <w:szCs w:val="28"/>
          <w:shd w:val="clear" w:color="auto" w:fill="FFFFFF"/>
        </w:rPr>
        <w:t>когда у одного из родителей была миопия</w:t>
      </w:r>
      <w:r w:rsidR="00F77869">
        <w:rPr>
          <w:rFonts w:ascii="Times New Roman" w:hAnsi="Times New Roman" w:cs="Times New Roman"/>
          <w:color w:val="212121"/>
          <w:sz w:val="28"/>
          <w:szCs w:val="28"/>
          <w:shd w:val="clear" w:color="auto" w:fill="FFFFFF"/>
        </w:rPr>
        <w:t xml:space="preserve"> </w:t>
      </w:r>
      <w:r w:rsidR="00060C89">
        <w:rPr>
          <w:rFonts w:ascii="Times New Roman" w:hAnsi="Times New Roman" w:cs="Times New Roman"/>
          <w:color w:val="212121"/>
          <w:sz w:val="28"/>
          <w:szCs w:val="28"/>
          <w:shd w:val="clear" w:color="auto" w:fill="FFFFFF"/>
        </w:rPr>
        <w:t xml:space="preserve">(ОШ </w:t>
      </w:r>
      <w:r w:rsidRPr="004804AA">
        <w:rPr>
          <w:rFonts w:ascii="Times New Roman" w:hAnsi="Times New Roman" w:cs="Times New Roman"/>
          <w:color w:val="212121"/>
          <w:sz w:val="28"/>
          <w:szCs w:val="28"/>
          <w:shd w:val="clear" w:color="auto" w:fill="FFFFFF"/>
        </w:rPr>
        <w:t>1,53 95%</w:t>
      </w:r>
      <w:r w:rsidR="00060C89">
        <w:rPr>
          <w:rFonts w:ascii="Times New Roman" w:hAnsi="Times New Roman" w:cs="Times New Roman"/>
          <w:color w:val="212121"/>
          <w:sz w:val="28"/>
          <w:szCs w:val="28"/>
          <w:shd w:val="clear" w:color="auto" w:fill="FFFFFF"/>
        </w:rPr>
        <w:t>;</w:t>
      </w:r>
      <w:r w:rsidRPr="004804AA">
        <w:rPr>
          <w:rFonts w:ascii="Times New Roman" w:hAnsi="Times New Roman" w:cs="Times New Roman"/>
          <w:color w:val="212121"/>
          <w:sz w:val="28"/>
          <w:szCs w:val="28"/>
          <w:shd w:val="clear" w:color="auto" w:fill="FFFFFF"/>
        </w:rPr>
        <w:t xml:space="preserve"> ДИ 1,21–1,85), и</w:t>
      </w:r>
      <w:r w:rsidR="00F77869">
        <w:rPr>
          <w:rFonts w:ascii="Times New Roman" w:hAnsi="Times New Roman" w:cs="Times New Roman"/>
          <w:color w:val="212121"/>
          <w:sz w:val="28"/>
          <w:szCs w:val="28"/>
          <w:shd w:val="clear" w:color="auto" w:fill="FFFFFF"/>
        </w:rPr>
        <w:t xml:space="preserve"> более высоком</w:t>
      </w:r>
      <w:r w:rsidRPr="004804AA">
        <w:rPr>
          <w:rFonts w:ascii="Times New Roman" w:hAnsi="Times New Roman" w:cs="Times New Roman"/>
          <w:color w:val="212121"/>
          <w:sz w:val="28"/>
          <w:szCs w:val="28"/>
          <w:shd w:val="clear" w:color="auto" w:fill="FFFFFF"/>
        </w:rPr>
        <w:t xml:space="preserve"> </w:t>
      </w:r>
      <w:r w:rsidR="00F77869" w:rsidRPr="004804AA">
        <w:rPr>
          <w:rFonts w:ascii="Times New Roman" w:hAnsi="Times New Roman" w:cs="Times New Roman"/>
          <w:color w:val="212121"/>
          <w:sz w:val="28"/>
          <w:szCs w:val="28"/>
          <w:shd w:val="clear" w:color="auto" w:fill="FFFFFF"/>
        </w:rPr>
        <w:t>когда двое родители были близорукими</w:t>
      </w:r>
      <w:r w:rsidR="00F77869">
        <w:rPr>
          <w:rFonts w:ascii="Times New Roman" w:hAnsi="Times New Roman" w:cs="Times New Roman"/>
          <w:color w:val="212121"/>
          <w:sz w:val="28"/>
          <w:szCs w:val="28"/>
          <w:shd w:val="clear" w:color="auto" w:fill="FFFFFF"/>
        </w:rPr>
        <w:t xml:space="preserve"> (ОШ</w:t>
      </w:r>
      <w:r w:rsidR="00F77869" w:rsidRPr="004804AA">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t>2,19</w:t>
      </w:r>
      <w:r w:rsidR="00F77869">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t>95%</w:t>
      </w:r>
      <w:r w:rsidR="00F77869">
        <w:rPr>
          <w:rFonts w:ascii="Times New Roman" w:hAnsi="Times New Roman" w:cs="Times New Roman"/>
          <w:color w:val="212121"/>
          <w:sz w:val="28"/>
          <w:szCs w:val="28"/>
          <w:shd w:val="clear" w:color="auto" w:fill="FFFFFF"/>
        </w:rPr>
        <w:t>;</w:t>
      </w:r>
      <w:r w:rsidRPr="004804AA">
        <w:rPr>
          <w:rFonts w:ascii="Times New Roman" w:hAnsi="Times New Roman" w:cs="Times New Roman"/>
          <w:color w:val="212121"/>
          <w:sz w:val="28"/>
          <w:szCs w:val="28"/>
          <w:shd w:val="clear" w:color="auto" w:fill="FFFFFF"/>
        </w:rPr>
        <w:t xml:space="preserve"> ДИ 1,42–2,77)</w:t>
      </w:r>
      <w:r w:rsidR="00231278">
        <w:rPr>
          <w:rFonts w:ascii="Times New Roman" w:hAnsi="Times New Roman" w:cs="Times New Roman"/>
          <w:color w:val="212121"/>
          <w:sz w:val="28"/>
          <w:szCs w:val="28"/>
          <w:shd w:val="clear" w:color="auto" w:fill="FFFFFF"/>
        </w:rPr>
        <w:t xml:space="preserve"> </w:t>
      </w:r>
      <w:r w:rsidRPr="004804AA">
        <w:rPr>
          <w:rFonts w:ascii="Times New Roman" w:hAnsi="Times New Roman" w:cs="Times New Roman"/>
          <w:color w:val="212121"/>
          <w:sz w:val="28"/>
          <w:szCs w:val="28"/>
          <w:shd w:val="clear" w:color="auto" w:fill="FFFFFF"/>
        </w:rPr>
        <w:fldChar w:fldCharType="begin"/>
      </w:r>
      <w:r w:rsidR="00A00EFF">
        <w:rPr>
          <w:rFonts w:ascii="Times New Roman" w:hAnsi="Times New Roman" w:cs="Times New Roman"/>
          <w:color w:val="212121"/>
          <w:sz w:val="28"/>
          <w:szCs w:val="28"/>
          <w:shd w:val="clear" w:color="auto" w:fill="FFFFFF"/>
        </w:rPr>
        <w:instrText xml:space="preserve"> ADDIN ZOTERO_ITEM CSL_CITATION {"citationID":"Q0EI6WDK","properties":{"formattedCitation":"[162]","plainCitation":"[162]","noteIndex":0},"citationItems":[{"id":1257,"uris":["http://zotero.org/users/local/XMo5Fvid/items/UYSJ8L45"],"itemData":{"id":1257,"type":"article-journal","abstract":"Purpose: To examine, in Norwegian adolescents, to what degree emmetropia and low hyperopia were maintained from 16 to 18 years of age, and if this was the case, whether it was associated with continued coordinated ocular growth.\nMethods: Cycloplegic autorefraction and ocular biometry, including crystalline lens thickness, were measured in 93 Norwegian adolescents (mean age: 16.7 ± 0.3 years; 63.4% females) and repeated after 2 years. Crystalline lens power was determined by ray tracing over a 1-mm pupil, based on the Gullstrand-Emsley model. Serum vitamin D3 concentration was measured at follow-up.\nResults: Emmetropia and low hyperopia (-0.50 diopters [D] &lt; spherical equivalent refractive error [SER] &lt; +2.00 D) were present in 91.4% at baseline and 89.2% at follow-up. The emmetropes and low hyperopes who maintained their refractive error exhibited continued ocular axial growth (+0.059 ± 0.070 mm) together with a decrease in crystalline lens power (-0.064 ± 0.291 D) and a deepening of the anterior chamber (+0.028 ± 0.040 mm). Thinning of the crystalline lens was found in 24%. Overall, the negative change in SER was larger in those with the most negative SER at baseline (R2 = 0.178, P &lt; 0.001), and was associated with increases in vitreous chamber depth and in crystalline lens power (R2 = 0.752, P &lt; 0.001), when adjusted for sex. There was no difference in vitamin D3 level between those who exhibited negative versus positive changes in refractive error.\nConclusions: The results show that emmetropic and low hyperopic eyes were still growing in late adolescence, with refractive errors being maintained through a coordinated decrease in crystalline lens power.","container-title":"Investigative Ophthalmology &amp; Visual Science","DOI":"10.1167/iovs.19-27289","ISSN":"1552-5783","issue":"13","journalAbbreviation":"Invest Ophthalmol Vis Sci","language":"eng","note":"PMID: 31596926","page":"4178-4186","source":"PubMed","title":"Emmetropia Is Maintained Despite Continued Eye Growth From 16 to 18 Years of Age","volume":"60","author":[{"family":"Hagen","given":"Lene A."},{"family":"Gilson","given":"Stuart J."},{"family":"Akram","given":"Muhammad Nadeem"},{"family":"Baraas","given":"Rigmor C."}],"issued":{"date-parts":[["2019",10,1]]}}}],"schema":"https://github.com/citation-style-language/schema/raw/master/csl-citation.json"} </w:instrText>
      </w:r>
      <w:r w:rsidRPr="004804AA">
        <w:rPr>
          <w:rFonts w:ascii="Times New Roman" w:hAnsi="Times New Roman" w:cs="Times New Roman"/>
          <w:color w:val="212121"/>
          <w:sz w:val="28"/>
          <w:szCs w:val="28"/>
          <w:shd w:val="clear" w:color="auto" w:fill="FFFFFF"/>
        </w:rPr>
        <w:fldChar w:fldCharType="separate"/>
      </w:r>
      <w:r w:rsidR="00A00EFF" w:rsidRPr="00A00EFF">
        <w:rPr>
          <w:rFonts w:ascii="Times New Roman" w:hAnsi="Times New Roman" w:cs="Times New Roman"/>
          <w:sz w:val="28"/>
        </w:rPr>
        <w:t>[162]</w:t>
      </w:r>
      <w:r w:rsidRPr="004804AA">
        <w:rPr>
          <w:rFonts w:ascii="Times New Roman" w:hAnsi="Times New Roman" w:cs="Times New Roman"/>
          <w:color w:val="212121"/>
          <w:sz w:val="28"/>
          <w:szCs w:val="28"/>
          <w:shd w:val="clear" w:color="auto" w:fill="FFFFFF"/>
        </w:rPr>
        <w:fldChar w:fldCharType="end"/>
      </w:r>
      <w:r w:rsidR="00231278">
        <w:rPr>
          <w:rFonts w:ascii="Times New Roman" w:hAnsi="Times New Roman" w:cs="Times New Roman"/>
          <w:color w:val="212121"/>
          <w:sz w:val="28"/>
          <w:szCs w:val="28"/>
          <w:shd w:val="clear" w:color="auto" w:fill="FFFFFF"/>
        </w:rPr>
        <w:t>.</w:t>
      </w:r>
    </w:p>
    <w:p w14:paraId="17BFF9A4" w14:textId="64DA38EE" w:rsidR="00056AD8" w:rsidRPr="004804AA" w:rsidRDefault="00056AD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 справедливость генетической теории также указывают недавние исследования ассоциации </w:t>
      </w:r>
      <w:r w:rsidR="00773E67" w:rsidRPr="00773E67">
        <w:rPr>
          <w:rFonts w:ascii="Times New Roman" w:hAnsi="Times New Roman" w:cs="Times New Roman"/>
          <w:sz w:val="28"/>
          <w:szCs w:val="28"/>
        </w:rPr>
        <w:t>Genome-Wide Association Studies (</w:t>
      </w:r>
      <w:r w:rsidRPr="00773E67">
        <w:rPr>
          <w:rFonts w:ascii="Times New Roman" w:hAnsi="Times New Roman" w:cs="Times New Roman"/>
          <w:sz w:val="28"/>
          <w:szCs w:val="28"/>
        </w:rPr>
        <w:t>GWAS</w:t>
      </w:r>
      <w:r w:rsidR="00773E67" w:rsidRPr="00773E67">
        <w:rPr>
          <w:rFonts w:ascii="Times New Roman" w:hAnsi="Times New Roman" w:cs="Times New Roman"/>
          <w:sz w:val="28"/>
          <w:szCs w:val="28"/>
        </w:rPr>
        <w:t>)</w:t>
      </w:r>
      <w:r w:rsidRPr="00773E67">
        <w:rPr>
          <w:rFonts w:ascii="Times New Roman" w:hAnsi="Times New Roman" w:cs="Times New Roman"/>
          <w:sz w:val="28"/>
          <w:szCs w:val="28"/>
        </w:rPr>
        <w:t>,</w:t>
      </w:r>
      <w:r w:rsidRPr="004804AA">
        <w:rPr>
          <w:rFonts w:ascii="Times New Roman" w:hAnsi="Times New Roman" w:cs="Times New Roman"/>
          <w:sz w:val="28"/>
          <w:szCs w:val="28"/>
        </w:rPr>
        <w:t xml:space="preserve"> в ходе которых был идентифицирован ряд локусов, ассоциированных с риском развития рефракции, а также открытие гена предрасположенности к миопии, обнаруженного путем широкого секвенирования генома у еврейского населения ашкенази</w:t>
      </w:r>
      <w:r w:rsidR="00231278">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{"citationID":"po3czpCF","properties":{"formattedCitation":"[148; 163\\uc0\\u8211{}168]","plainCitation":"[148; 163–168]","noteIndex":0},"citationItems":[{"id":1404,"uris":["http://zotero.org/users/local/XMo5Fvid/items/VF6GHN77"],"itemData":{"id":1404,"type":"article-journal","abstract":"BACKGROUND: Myopia is one of most common eye diseases in the world and affects 1 in 4 Americans. It is a complex disease caused by both environmental and genetics effects; the genetics effects are still not well understood. In this study, we performed genetic linkage analyses on Ashkenazi Jewish families with a strong familial history of myopia to elucidate any potential causal genes.\nMETHODS: Sixty-four extended Ashkenazi Jewish families were previously collected from New Jersey. Genotypes from the Illumina ExomePlus array were merged with prior microsatellite linkage data from these families. Additional custom markers were added for candidate regions reported in literature for myopia or refractive error. Myopia was defined as mean spherical equivalent (MSE) of -1D or worse and parametric two-point linkage analyses (using TwoPointLods) and multi-point linkage analyses (using SimWalk2) were performed as well as collapsed haplotype pattern (CHP) analysis in SEQLinkage and association analyses performed with FBAT and rv-TDT.\nRESULTS: Strongest evidence of linkage was on 1p36(two-point LOD = 4.47) a region previously linked to refractive error (MYP14) but not myopia. Another genome-wide significant locus was found on 8q24.22 with a maximum two-point LOD score of 3.75. CHP analysis also detected the signal on 1p36, localized to the LINC00339 gene with a maximum HLOD of 3.47, as well as genome-wide significant signals on 7q36.1 and 11p15, which overlaps with the MYP7 locus.\nCONCLUSIONS: We identified 2 novel linkage peaks for myopia on chromosomes 7 and 8 in these Ashkenazi Jewish families and replicated 2 more loci on chromosomes 1 and 11, one previously reported in refractive error but not myopia in these families and the other locus previously reported in the literature. Strong candidate genes have been identified within these linkage peaks in our families. Targeted sequencing in these regions will be necessary to definitively identify causal variants under these linkage peaks.","container-title":"BMC medical genetics","DOI":"10.1186/s12881-019-0752-8","ISSN":"1471-2350","issue":"1","journalAbbreviation":"BMC Med Genet","language":"eng","note":"PMID: 30704416\nPMCID: PMC6357511","page":"27","source":"PubMed","title":"Exome genotyping and linkage analysis identifies two novel linked regions and replicates two others for myopia in Ashkenazi Jewish families","volume":"20","author":[{"family":"Simpson","given":"Claire L."},{"family":"Musolf","given":"Anthony M."},{"family":"Li","given":"Qing"},{"family":"Portas","given":"Laura"},{"family":"Murgia","given":"Federico"},{"family":"Cordero","given":"Roberto Y."},{"family":"Cordero","given":"Jennifer B."},{"family":"Moiz","given":"Bilal A."},{"family":"Holzinger","given":"Emily R."},{"family":"Middlebrooks","given":"Candace D."},{"family":"Lewis","given":"Deyana D."},{"family":"Bailey-Wilson","given":"Joan E."},{"family":"Stambolian","given":"Dwight"}],"issued":{"date-parts":[["2019",1,31]]}},"label":"page"},{"id":1401,"uris":["http://zotero.org/users/local/XMo5Fvid/items/PEPZJ3X7"],"itemData":{"id":1401,"type":"article-journal","abstract":"Mild/moderate (common) myopia is a very common disorder, with both genetic and environmental influences. The environmental factors are related to near work and can be measured. There are no known genetic loci for common myopia. Our goal is to find evidence for a myopia susceptibility gene causing common myopia. Cycloplegic and manifest refraction were performed on 44 large American families of Ashkenazi Jewish descent, each with at least two affected siblings. Individuals with at least -1.00 diopter or lower in each meridian of both eyes were classified as myopic. Microsatellite genotyping with 387 markers was performed by the Center for Inherited Disease Research. Linkage analyses were conducted with parametric and nonparametric methods by use of 12 different penetrance models. The family-based association test was used for an association scan. A maximum multipoint parametric heterogeneity LOD (HLOD) score of 3.54 was observed at marker D22S685, and nonparametric linkage analyses gave consistent results, with a P value of.0002 at this marker. The parametric multipoint HLOD scores exceeded 3.0 for a 4-cM interval, and significant evidence of genetic heterogeneity was observed. This genomewide scan is the first step toward identifying a gene on chromosome 22 with an influence on common myopia. At present, we are following up our linkage results on chromosome 22 with a dense map of &gt;1,500 single-nucleotide-polymorphism markers for fine mapping and association analyses. Identification of a susceptibility locus in this region may eventually lead to a better understanding of gene-environment interactions in the causation of this complex trait.","container-title":"American Journal of Human Genetics","DOI":"10.1086/423789","ISSN":"0002-9297","issue":"3","journalAbbreviation":"Am J Hum Genet","language":"eng","note":"PMID: 15273935\nPMCID: PMC1182023","page":"448-459","source":"PubMed","title":"Genomewide linkage scan for myopia susceptibility loci among Ashkenazi Jewish families shows evidence of linkage on chromosome 22q12","volume":"75","author":[{"family":"Stambolian","given":"Dwight"},{"family":"Ibay","given":"Grace"},{"family":"Reider","given":"Lauren"},{"family":"Dana","given":"Debra"},{"family":"Moy","given":"Chris"},{"family":"Schlifka","given":"Melissa"},{"family":"Holmes","given":"Taura"},{"family":"Ciner","given":"Elise"},{"family":"Bailey-Wilson","given":"Joan E."}],"issued":{"date-parts":[["2004",9]]}},"label":"page"},{"id":1407,"uris":["http://zotero.org/users/local/XMo5Fvid/items/RXLZ5L63"],"itemData":{"id":1407,"type":"article-journal","abstract":"Refractive error (RE) is a complex, multifactorial disorder characterized by a mismatch between the optical power of the eye and its axial length that causes object images to be focused off the retina. The two major subtypes of RE are myopia (nearsightedness) and hyperopia (farsightedness), which represent opposite ends of the distribution of the quantitative measure of spherical refraction. We performed a fixed effects meta-analysis of genome-wide association results of myopia and hyperopia from 9 studies of European-derived populations: AREDS, KORA, FES, OGP-Talana, MESA, RSI, RSII, RSIII and ERF. One genome-wide significant region was observed for myopia, corresponding to a previously identified myopia locus on 8q12 (p = 1.25×10(-8)), which has been reported by Kiefer et al. as significantly associated with myopia age at onset and Verhoeven et al. as significantly associated to mean spherical-equivalent (MSE) refractive error. We observed two genome-wide significant associations with hyperopia. These regions overlapped with loci on 15q14 (minimum p value = 9.11×10(-11)) and 8q12 (minimum p value 1.82×10(-11)) previously reported for MSE and myopia age at onset. We also used an intermarker linkage- disequilibrium-based method for calculating the effective number of tests in targeted regional replication analyses. We analyzed myopia (which represents the closest phenotype in our data to the one used by Kiefer et al.) and showed replication of 10 additional loci associated with myopia previously reported by Kiefer et al. This is the first replication of these loci using myopia as the trait under analysis. \"Replication-level\" association was also seen between hyperopia and 12 of Kiefer et al.'s published loci. For the loci that show evidence of association to both myopia and hyperopia, the estimated effect of the risk alleles were in opposite directions for the two traits. This suggests that these loci are important contributors to variation of refractive error across the distribution.","container-title":"PloS One","DOI":"10.1371/journal.pone.0107110","ISSN":"1932-6203","issue":"9","journalAbbreviation":"PLoS One","language":"eng","note":"PMID: 25233373\nPMCID: PMC4169415","page":"e107110","source":"PubMed","title":"Genome-wide meta-analysis of myopia and hyperopia provides evidence for replication of 11 loci","volume":"9","author":[{"family":"Simpson","given":"Claire L."},{"family":"Wojciechowski","given":"Robert"},{"family":"Oexle","given":"Konrad"},{"family":"Murgia","given":"Federico"},{"family":"Portas","given":"Laura"},{"family":"Li","given":"Xiaohui"},{"family":"Verhoeven","given":"Virginie J. M."},{"family":"Vitart","given":"Veronique"},{"family":"Schache","given":"Maria"},{"family":"Hosseini","given":"S. Mohsen"},{"family":"Hysi","given":"Pirro G."},{"family":"Raffel","given":"Leslie J."},{"family":"Cotch","given":"Mary Frances"},{"family":"Chew","given":"Emily"},{"family":"Klein","given":"Barbara E. K."},{"family":"Klein","given":"Ronald"},{"family":"Wong","given":"Tien Yin"},{"family":"Duijn","given":"Cornelia M.","non-dropping-particle":"van"},{"family":"Mitchell","given":"Paul"},{"family":"Saw","given":"Seang Mei"},{"family":"Fossarello","given":"Maurizio"},{"family":"Wang","given":"Jie Jin"},{"literal":"DCCT/EDIC Research Group"},{"family":"Polašek","given":"Ozren"},{"family":"Campbell","given":"Harry"},{"family":"Rudan","given":"Igor"},{"family":"Oostra","given":"Ben A."},{"family":"Uitterlinden","given":"André G."},{"family":"Hofman","given":"Albert"},{"family":"Rivadeneira","given":"Fernando"},{"family":"Amin","given":"Najaf"},{"family":"Karssen","given":"Lennart C."},{"family":"Vingerling","given":"Johannes R."},{"family":"Döring","given":"Angela"},{"family":"Bettecken","given":"Thomas"},{"family":"Bencic","given":"Goran"},{"family":"Gieger","given":"Christian"},{"family":"Wichmann","given":"H.-Erich"},{"family":"Wilson","given":"James F."},{"family":"Venturini","given":"Cristina"},{"family":"Fleck","given":"Brian"},{"family":"Cumberland","given":"Phillippa M."},{"family":"Rahi","given":"Jugnoo S."},{"family":"Hammond","given":"Chris J."},{"family":"Hayward","given":"Caroline"},{"family":"Wright","given":"Alan F."},{"family":"Paterson","given":"Andrew D."},{"family":"Baird","given":"Paul N."},{"family":"Klaver","given":"Caroline C. W."},{"family":"Rotter","given":"Jerome I."},{"family":"Pirastu","given":"Mario"},{"family":"Meitinger","given":"Thomas"},{"family":"Bailey-Wilson","given":"Joan E."},{"family":"Stambolian","given":"Dwight"}],"issued":{"date-parts":[["2014"]]}},"label":"page"},{"id":1410,"uris":["http://zotero.org/users/local/XMo5Fvid/items/6HU7SKHA"],"itemData":{"id":1410,"type":"article-journal","abstract":"Refractive errors are the most common ocular disorders worldwide and may lead to blindness. Although this trait is highly heritable, identification of susceptibility genes has been challenging. We conducted a genome-wide association study for refractive error in 5,328 individuals from a Dutch population-based study with replication in four independent cohorts (combined 10,280 individuals in the replication stage). We identified a significant association at chromosome 15q14 (rs634990, P = 2.21 × 10⁻¹⁴). The odds ratio of myopia compared to hyperopia for the minor allele (minor allele frequency = 0.47) was 1.41 (95% CI 1.16-1.70) for individuals heterozygous for the allele and 1.83 (95% CI 1.42-2.36) for individuals homozygous for the allele. The associated locus is near two genes that are expressed in the retina, GJD2 and ACTC1, and appears to harbor regulatory elements which may influence transcription of these genes. Our data suggest that common variants at 15q14 influence susceptibility for refractive errors in the general population.","container-title":"Nature Genetics","DOI":"10.1038/ng.663","ISSN":"1546-1718","issue":"10","journalAbbreviation":"Nat Genet","language":"eng","note":"PMID: 20835239\nPMCID: PMC4115149","page":"897-901","source":"PubMed","title":"A genome-wide association study identifies a susceptibility locus for refractive errors and myopia at 15q14","volume":"42","author":[{"family":"Solouki","given":"Abbas M."},{"family":"Verhoeven","given":"Virginie J. M."},{"family":"Duijn","given":"Cornelia M.","non-dropping-particle":"van"},{"family":"Verkerk","given":"Annemieke J. M. H."},{"family":"Ikram","given":"M. Kamran"},{"family":"Hysi","given":"Pirro G."},{"family":"Despriet","given":"Dominiek D. G."},{"family":"Koolwijk","given":"Leonieke M.","non-dropping-particle":"van"},{"family":"Ho","given":"Lintje"},{"family":"Ramdas","given":"Wishal D."},{"family":"Czudowska","given":"Monika"},{"family":"Kuijpers","given":"Robert W. A. M."},{"family":"Amin","given":"Najaf"},{"family":"Struchalin","given":"Maksim"},{"family":"Aulchenko","given":"Yurii S."},{"family":"Rij","given":"Gabriel","non-dropping-particle":"van"},{"family":"Riemslag","given":"Frans C. C."},{"family":"Young","given":"Terri L."},{"family":"Mackey","given":"David A."},{"family":"Spector","given":"Timothy D."},{"family":"Gorgels","given":"Theo G. M. F."},{"family":"Willemse-Assink","given":"Jacqueline J. M."},{"family":"Isaacs","given":"Aaron"},{"family":"Kramer","given":"Rogier"},{"family":"Swagemakers","given":"Sigrid M. A."},{"family":"Bergen","given":"Arthur A. B."},{"family":"Oosterhout","given":"Andy A. L. J.","non-dropping-particle":"van"},{"family":"Oostra","given":"Ben A."},{"family":"Rivadeneira","given":"Fernando"},{"family":"Uitterlinden","given":"André G."},{"family":"Hofman","given":"Albert"},{"family":"Jong","given":"Paulus T. V. M.","non-dropping-particle":"de"},{"family":"Hammond","given":"Christopher J."},{"family":"Vingerling","given":"Johannes R."},{"family":"Klaver","given":"Caroline C. W."}],"issued":{"date-parts":[["2010",10]]}},"label":"page"},{"id":1413,"uris":["http://zotero.org/users/local/XMo5Fvid/items/C3T2PDAG"],"itemData":{"id":1413,"type":"article-journal","abstract":"Visual refractive errors (REs) are complex genetic traits with a largely unknown etiology. To date, genome-wide association studies (GWASs) of moderate size have identified several novel risk markers for RE, measured here as mean spherical equivalent (MSE). We performed a GWAS using a total of 7280 samples from five cohorts: the Age-Related Eye Disease Study (AREDS); the KORA study ('Cooperative Health Research in the Region of Augsburg'); the Framingham Eye Study (FES); the Ogliastra Genetic Park-Talana (OGP-Talana) Study and the Multiethnic Study of Atherosclerosis (MESA). Genotyping was performed on Illumina and Affymetrix platforms with additional markers imputed to the HapMap II reference panel. We identified a new genome-wide significant locus on chromosome 16 (rs10500355, P = 3.9 × 10(-9)) in a combined discovery and replication set (26 953 samples). This single nucleotide polymorphism (SNP) is located within the RBFOX1 gene which is a neuron-specific splicing factor regulating a wide range of alternative splicing events implicated in neuronal development and maturation, including transcription factors, other splicing factors and synaptic proteins.","container-title":"Human Molecular Genetics","DOI":"10.1093/hmg/ddt116","ISSN":"1460-2083","issue":"13","journalAbbreviation":"Hum Mol Genet","language":"eng","note":"PMID: 23474815\nPMCID: PMC3674806","page":"2754-2764","source":"PubMed","title":"Meta-analysis of genome-wide association studies in five cohorts reveals common variants in RBFOX1, a regulator of tissue-specific splicing, associated with refractive error","volume":"22","author":[{"family":"Stambolian","given":"Dwight"},{"family":"Wojciechowski","given":"Robert"},{"family":"Oexle","given":"Konrad"},{"family":"Pirastu","given":"Mario"},{"family":"Li","given":"Xiaohui"},{"family":"Raffel","given":"Leslie J."},{"family":"Cotch","given":"Mary Frances"},{"family":"Chew","given":"Emily Y."},{"family":"Klein","given":"Barbara"},{"family":"Klein","given":"Ronald"},{"family":"Wong","given":"Tien Y."},{"family":"Simpson","given":"Claire L."},{"family":"Klaver","given":"Caroline C. W."},{"family":"Duijn","given":"Cornelia M.","non-dropping-particle":"van"},{"family":"Verhoeven","given":"Virginie J. M."},{"family":"Baird","given":"Paul N."},{"family":"Vitart","given":"Veronique"},{"family":"Paterson","given":"Andrew D."},{"family":"Mitchell","given":"Paul"},{"family":"Saw","given":"Seang Mei"},{"family":"Fossarello","given":"Maurizio"},{"family":"Kazmierkiewicz","given":"Krista"},{"family":"Murgia","given":"Federico"},{"family":"Portas","given":"Laura"},{"family":"Schache","given":"Maria"},{"family":"Richardson","given":"Andrea"},{"family":"Xie","given":"Jing"},{"family":"Wang","given":"Jie Jin"},{"family":"Rochtchina","given":"Elena"},{"literal":"DCCT/EDIC Research Group"},{"family":"Viswanathan","given":"Ananth C."},{"family":"Hayward","given":"Caroline"},{"family":"Wright","given":"Alan F."},{"family":"Polasek","given":"Ozren"},{"family":"Campbell","given":"Harry"},{"family":"Rudan","given":"Igor"},{"family":"Oostra","given":"Ben A."},{"family":"Uitterlinden","given":"André G."},{"family":"Hofman","given":"Albert"},{"family":"Rivadeneira","given":"Fernando"},{"family":"Amin","given":"Najaf"},{"family":"Karssen","given":"Lennart C."},{"family":"Vingerling","given":"Johannes R."},{"family":"Hosseini","given":"S. M."},{"family":"Döring","given":"Angela"},{"family":"Bettecken","given":"Thomas"},{"family":"Vatavuk","given":"Zoran"},{"family":"Gieger","given":"Christian"},{"family":"Wichmann","given":"H.-Erich"},{"family":"Wilson","given":"James F."},{"family":"Fleck","given":"Brian"},{"family":"Foster","given":"Paul J."},{"family":"Topouzis","given":"Fotis"},{"family":"McGuffin","given":"Peter"},{"family":"Sim","given":"Xueling"},{"family":"Inouye","given":"Michael"},{"family":"Holliday","given":"Elizabeth G."},{"family":"Attia","given":"John"},{"family":"Scott","given":"Rodney J."},{"family":"Rotter","given":"Jerome I."},{"family":"Meitinger","given":"Thomas"},{"family":"Bailey-Wilson","given":"Joan E."}],"issued":{"date-parts":[["2013",7,1]]}},"label":"page"},{"id":1416,"uris":["http://zotero.org/users/local/XMo5Fvid/items/RXNCG9TI"],"itemData":{"id":1416,"type":"article-journal","abstract":"Myopia, currently at epidemic levels in East Asia, is a leading cause of untreatable visual impairment. Genome-wide association studies (GWAS) in adults have identified 39 loci associated with refractive error and myopia. Here, the age-of-onset of association between genetic variants at these 39 loci and refractive error was investigated in 5200 children assessed longitudinally across ages 7-15 years, along with gene-environment interactions involving the major environmental risk-factors, nearwork and time outdoors. Specific variants could be categorized as showing evidence of: (a) early-onset effects remaining stable through childhood, (b) early-onset effects that progressed further with increasing age, or (c) onset later in childhood (N = 10, 5 and 11 variants, respectively). A genetic risk score (GRS) for all 39 variants explained 0.6% (P = 6.6E-08) and 2.3% (P = 6.9E-21) of the variance in refractive error at ages 7 and 15, respectively, supporting increased effects from these genetic variants at older ages. Replication in multi-ancestry samples (combined N = 5599) yielded evidence of childhood onset for 6 of 12 variants present in both Asians and Europeans. There was no indication that variant or GRS effects altered depending on time outdoors, however 5 variants showed nominal evidence of interactions with nearwork (top variant, rs7829127 in ZMAT4; P = 6.3E-04).","container-title":"Scientific Reports","DOI":"10.1038/srep25853","ISSN":"2045-2322","journalAbbreviation":"Sci Rep","language":"eng","note":"PMID: 27174397\nPMCID: PMC4865831","page":"25853","source":"PubMed","title":"Childhood gene-environment interactions and age-dependent effects of genetic variants associated with refractive error and myopia: The CREAM Consortium","title-short":"Childhood gene-environment interactions and age-dependent effects of genetic variants associated with refractive error and myopia","volume":"6","author":[{"family":"Fan","given":"Qiao"},{"family":"Guo","given":"Xiaobo"},{"family":"Tideman","given":"J. Willem L."},{"family":"Williams","given":"Katie M."},{"family":"Yazar","given":"Seyhan"},{"family":"Hosseini","given":"S. Mohsen"},{"family":"Howe","given":"Laura D."},{"family":"Pourcain","given":"Beaté St"},{"family":"Evans","given":"David M."},{"family":"Timpson","given":"Nicholas J."},{"family":"McMahon","given":"George"},{"family":"Hysi","given":"Pirro G."},{"family":"Krapohl","given":"Eva"},{"family":"Wang","given":"Ya Xing"},{"family":"Jonas","given":"Jost B."},{"family":"Baird","given":"Paul Nigel"},{"family":"Wang","given":"Jie Jin"},{"family":"Cheng","given":"Ching-Yu"},{"family":"Teo","given":"Yik-Ying"},{"family":"Wong","given":"Tien-Yin"},{"family":"Ding","given":"Xiaohu"},{"family":"Wojciechowski","given":"Robert"},{"family":"Young","given":"Terri L."},{"family":"Pärssinen","given":"Olavi"},{"family":"Oexle","given":"Konrad"},{"family":"Pfeiffer","given":"Norbert"},{"family":"Bailey-Wilson","given":"Joan E."},{"family":"Paterson","given":"Andrew D."},{"family":"Klaver","given":"Caroline C. W."},{"family":"Plomin","given":"Robert"},{"family":"Hammond","given":"Christopher J."},{"family":"Mackey","given":"David A."},{"family":"He","given":"Mingguang"},{"family":"Saw","given":"Seang-Mei"},{"family":"Williams","given":"Cathy"},{"family":"Guggenheim","given":"Jeremy A."},{"literal":"CREAM Consortium"}],"issued":{"date-parts":[["2016",5,13]]}},"label":"page"},{"id":1418,"uris":["http://zotero.org/users/local/XMo5Fvid/items/MBU882JK"],"itemData":{"id":1418,"type":"article-journal","abstract":"Refractive errors are common eye disorders of public health importance worldwide. Ocular axial length (AL) is the major determinant of refraction and thus of myopia and hyperopia. We conducted a meta-analysis of genome-wide association studies for AL, combining 12,531 Europeans and 8,216 Asians. We identified eight genome-wide significant loci for AL (RSPO1, C3orf26, LAMA2, GJD2, ZNRF3, CD55, MIP, and ALPPL2) and confirmed one previously reported AL locus (ZC3H11B). Of the nine loci, five (LAMA2, GJD2, CD55, ALPPL2, and ZC3H11B) were associated with refraction in 18 independent cohorts (n = 23,591). Differential gene expression was observed for these loci in minus-lens-induced myopia mouse experiments and human ocular tissues. Two of the AL genes, RSPO1 and ZNRF3, are involved in Wnt signaling, a pathway playing a major role in the regulation of eyeball size. This study provides evidence of shared genes between AL and refraction, but importantly also suggests that these traits may have unique pathways.","container-title":"American Journal of Human Genetics","DOI":"10.1016/j.ajhg.2013.06.016","ISSN":"1537-6605","issue":"2","journalAbbreviation":"Am J Hum Genet","language":"eng","note":"PMID: 24144296\nPMCID: PMC3772747","page":"264-277","source":"PubMed","title":"Nine loci for ocular axial length identified through genome-wide association studies, including shared loci with refractive error","volume":"93","author":[{"family":"Cheng","given":"Ching-Yu"},{"family":"Schache","given":"Maria"},{"family":"Ikram","given":"M. Kamran"},{"family":"Young","given":"Terri L."},{"family":"Guggenheim","given":"Jeremy A."},{"family":"Vitart","given":"Veronique"},{"family":"MacGregor","given":"Stuart"},{"family":"Verhoeven","given":"Virginie J. M."},{"family":"Barathi","given":"Veluchamy A."},{"family":"Liao","given":"Jiemin"},{"family":"Hysi","given":"Pirro G."},{"family":"Bailey-Wilson","given":"Joan E."},{"family":"St Pourcain","given":"Beate"},{"family":"Kemp","given":"John P."},{"family":"McMahon","given":"George"},{"family":"Timpson","given":"Nicholas J."},{"family":"Evans","given":"David M."},{"family":"Montgomery","given":"Grant W."},{"family":"Mishra","given":"Aniket"},{"family":"Wang","given":"Ya Xing"},{"family":"Wang","given":"Jie Jin"},{"family":"Rochtchina","given":"Elena"},{"family":"Polasek","given":"Ozren"},{"family":"Wright","given":"Alan F."},{"family":"Amin","given":"Najaf"},{"family":"Leeuwen","given":"Elisabeth M.","non-dropping-particle":"van"},{"family":"Wilson","given":"James F."},{"family":"Pennell","given":"Craig E."},{"family":"Duijn","given":"Cornelia M.","non-dropping-particle":"van"},{"family":"Jong","given":"Paulus T. V. M.","non-dropping-particle":"de"},{"family":"Vingerling","given":"Johannes R."},{"family":"Zhou","given":"Xin"},{"family":"Chen","given":"Peng"},{"family":"Li","given":"Ruoying"},{"family":"Tay","given":"Wan-Ting"},{"family":"Zheng","given":"Yingfeng"},{"family":"Chew","given":"Merwyn"},{"literal":"Consortium for Refractive Error and Myopia"},{"family":"Burdon","given":"Kathryn P."},{"family":"Craig","given":"Jamie E."},{"family":"Iyengar","given":"Sudha K."},{"family":"Igo","given":"Robert P."},{"family":"Lass","given":"Jonathan H."},{"literal":"Fuchs' Genetics Multi-Center Study Group"},{"family":"Chew","given":"Emily Y."},{"family":"Haller","given":"Toomas"},{"family":"Mihailov","given":"Evelin"},{"family":"Metspalu","given":"Andres"},{"family":"Wedenoja","given":"Juho"},{"family":"Simpson","given":"Claire L."},{"family":"Wojciechowski","given":"Robert"},{"family":"Höhn","given":"René"},{"family":"Mirshahi","given":"Alireza"},{"family":"Zeller","given":"Tanja"},{"family":"Pfeiffer","given":"Norbert"},{"family":"Lackner","given":"Karl J."},{"literal":"Wellcome Trust Case Control Consortium 2"},{"family":"Bettecken","given":"Thomas"},{"family":"Meitinger","given":"Thomas"},{"family":"Oexle","given":"Konrad"},{"family":"Pirastu","given":"Mario"},{"family":"Portas","given":"Laura"},{"family":"Nag","given":"Abhishek"},{"family":"Williams","given":"Katie M."},{"family":"Yonova-Doing","given":"Ekaterina"},{"family":"Klein","given":"Ronald"},{"family":"Klein","given":"Barbara E."},{"family":"Hosseini","given":"S. Mohsen"},{"family":"Paterson","given":"Andrew D."},{"literal":"Diabetes Control and Complications Trial/Epidemiology of Diabetes Interventions, and Complications Research Group"},{"family":"Makela","given":"Kari-Matti"},{"family":"Lehtimaki","given":"Terho"},{"family":"Kahonen","given":"Mika"},{"family":"Raitakari","given":"Olli"},{"family":"Yoshimura","given":"Nagahisa"},{"family":"Matsuda","given":"Fumihiko"},{"family":"Chen","given":"Li Jia"},{"family":"Pang","given":"Chi Pui"},{"family":"Yip","given":"Shea Ping"},{"family":"Yap","given":"Maurice K. H."},{"family":"Meguro","given":"Akira"},{"family":"Mizuki","given":"Nobuhisa"},{"family":"Inoko","given":"Hidetoshi"},{"family":"Foster","given":"Paul J."},{"family":"Zhao","given":"Jing Hua"},{"family":"Vithana","given":"Eranga"},{"family":"Tai","given":"E.-Shyong"},{"family":"Fan","given":"Qiao"},{"family":"Xu","given":"Liang"},{"family":"Campbell","given":"Harry"},{"family":"Fleck","given":"Brian"},{"family":"Rudan","given":"Igor"},{"family":"Aung","given":"Tin"},{"family":"Hofman","given":"Albert"},{"family":"Uitterlinden","given":"André G."},{"family":"Bencic","given":"Goran"},{"family":"Khor","given":"Chiea-Chuen"},{"family":"Forward","given":"Hannah"},{"family":"Pärssinen","given":"Olavi"},{"family":"Mitchell","given":"Paul"},{"family":"Rivadeneira","given":"Fernando"},{"family":"Hewitt","given":"Alex W."},{"family":"Williams","given":"Cathy"},{"family":"Oostra","given":"Ben A."},{"family":"Teo","given":"Yik-Ying"},{"family":"Hammond","given":"Christopher J."},{"family":"Stambolian","given":"Dwight"},{"family":"Mackey","given":"David A."},{"family":"Klaver","given":"Caroline C. W."},{"family":"Wong","given":"Tien-Yin"},{"family":"Saw","given":"Seang-Mei"},{"family":"Baird","given":"Paul N."}],"issued":{"date-parts":[["2013",8,8]]}},"label":"page"}],"schema":"https://github.com/citation-style-language/schema/raw/master/csl-citation.json"}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[148; 163–168]</w:t>
      </w:r>
      <w:r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p>
    <w:p w14:paraId="3AD8CF50" w14:textId="77777777" w:rsidR="00056AD8" w:rsidRPr="004804AA" w:rsidRDefault="00056AD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Эти и другие исследования убедительно установили важность генетических факторов в этиологии миопии.</w:t>
      </w:r>
    </w:p>
    <w:p w14:paraId="12759090" w14:textId="77777777" w:rsidR="00AE761E" w:rsidRDefault="00AE761E" w:rsidP="005C37DF">
      <w:pPr>
        <w:pStyle w:val="a4"/>
        <w:ind w:firstLine="709"/>
        <w:jc w:val="both"/>
        <w:rPr>
          <w:rFonts w:ascii="Times New Roman" w:hAnsi="Times New Roman" w:cs="Times New Roman"/>
          <w:sz w:val="28"/>
          <w:szCs w:val="28"/>
        </w:rPr>
      </w:pPr>
    </w:p>
    <w:p w14:paraId="31F59BBB" w14:textId="47B2A773" w:rsidR="00450E0A" w:rsidRPr="004804AA" w:rsidRDefault="00AE0E7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1.3.3</w:t>
      </w:r>
      <w:r w:rsidR="00AE761E">
        <w:rPr>
          <w:rFonts w:ascii="Times New Roman" w:hAnsi="Times New Roman" w:cs="Times New Roman"/>
          <w:sz w:val="28"/>
          <w:szCs w:val="28"/>
        </w:rPr>
        <w:t xml:space="preserve"> </w:t>
      </w:r>
      <w:r w:rsidR="00D03A68">
        <w:rPr>
          <w:rFonts w:ascii="Times New Roman" w:hAnsi="Times New Roman" w:cs="Times New Roman"/>
          <w:sz w:val="28"/>
          <w:szCs w:val="28"/>
        </w:rPr>
        <w:t>Освещение и о</w:t>
      </w:r>
      <w:r w:rsidRPr="004804AA">
        <w:rPr>
          <w:rFonts w:ascii="Times New Roman" w:hAnsi="Times New Roman" w:cs="Times New Roman"/>
          <w:sz w:val="28"/>
          <w:szCs w:val="28"/>
        </w:rPr>
        <w:t>бщее в</w:t>
      </w:r>
      <w:r w:rsidR="00016F77" w:rsidRPr="004804AA">
        <w:rPr>
          <w:rFonts w:ascii="Times New Roman" w:hAnsi="Times New Roman" w:cs="Times New Roman"/>
          <w:sz w:val="28"/>
          <w:szCs w:val="28"/>
        </w:rPr>
        <w:t>ремя на открытом воздухе</w:t>
      </w:r>
    </w:p>
    <w:p w14:paraId="27F9C2D2" w14:textId="60A02A1C" w:rsidR="00636689" w:rsidRPr="004804AA" w:rsidRDefault="00636689"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2007 году </w:t>
      </w:r>
      <w:r w:rsidRPr="004804AA">
        <w:rPr>
          <w:rFonts w:ascii="Times New Roman" w:hAnsi="Times New Roman" w:cs="Times New Roman"/>
          <w:sz w:val="28"/>
          <w:szCs w:val="28"/>
          <w:lang w:val="en-US"/>
        </w:rPr>
        <w:t>L</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A</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Jones</w:t>
      </w:r>
      <w:r w:rsidRPr="004804AA">
        <w:rPr>
          <w:rFonts w:ascii="Times New Roman" w:hAnsi="Times New Roman" w:cs="Times New Roman"/>
          <w:sz w:val="28"/>
          <w:szCs w:val="28"/>
        </w:rPr>
        <w:t xml:space="preserve"> с соавторами из Колледжа оптометрии Университета штата Огайо в Колумбии сообщили о результатах 12-летнего продольного исследования, в котором участвовали более 500 здоровых детей в возрасте </w:t>
      </w:r>
      <w:r w:rsidR="00016F77" w:rsidRPr="004804AA">
        <w:rPr>
          <w:rFonts w:ascii="Times New Roman" w:hAnsi="Times New Roman" w:cs="Times New Roman"/>
          <w:sz w:val="28"/>
          <w:szCs w:val="28"/>
        </w:rPr>
        <w:t>8–9</w:t>
      </w:r>
      <w:r w:rsidRPr="004804AA">
        <w:rPr>
          <w:rFonts w:ascii="Times New Roman" w:hAnsi="Times New Roman" w:cs="Times New Roman"/>
          <w:sz w:val="28"/>
          <w:szCs w:val="28"/>
        </w:rPr>
        <w:t xml:space="preserve"> лет. Через пять лет, у 21% исследуемых развилась миопия, а единственным фактором окружающей среды, который значительно коррелировал с риском, было время, проведенное на открытом воздухе</w:t>
      </w:r>
      <w:r w:rsidR="00231278">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{"citationID":"Gj9r3XK2","properties":{"formattedCitation":"[169]","plainCitation":"[169]","noteIndex":0},"citationItems":[{"id":888,"uris":["http://zotero.org/users/local/XMo5Fvid/items/QTU3DYJL"],"itemData":{"id":888,"type":"article-journal","abstract":"PURPOSE: To identify whether parental history of myopia and/or parent-reported children's visual activity levels can predict juvenile-onset myopia.\nMETHODS: Survey-based data from Orinda Longitudinal Study of Myopia subjects from 1989 to 2001 were used to predict future myopia. Univariate and multiple logistic regression analyses were performed, and receiver operator characteristic (ROC) curves were generated. Differences among the areas under the ROC curves were compared using the method of multiple comparison with the best.\nRESULTS: Of the 514 children eligible for this analysis, 111 (21.6%) became myopic. Differences in the third grade between eventual myopes and nonmyopes were seen for the number of myopic parents (P &lt; 0.001) and for the number of sports and outdoor activity hours per week (11.65 +/- 6.97 hours for nonmyopes vs. 7.98 +/- 6.54 hours for future myopes, P &lt; 0.001). Analysis of the areas under the ROC curves showed three variables with a predictive value better than chance: the number of myopic parents, the number of sports and outdoor activity hours per week, and the number of reading hours per week. After controlling for sports and outdoor hours per week and parental myopia history, reading hours per week was no longer a statistically significant factor. The area under the curve for the parental myopia history and sports and outdoor activities model was 0.73. A significant interaction in the logistic model showed a differential effect of sport and outdoor activity hours per week based on a child's number of myopic parents.\nCONCLUSIONS: Parental history of myopia was an important predictor in univariate and multivariate models, with a differential effect of sports and outdoor activity hours per week based on the number of myopic parents. Lower amounts of sports and outdoor activity increased the odds of becoming myopic in those children with two myopic parents more than in those children with either zero or one myopic parent. The chance of becoming myopic for children with no myopic parents appears lowest in the children with the highest amount of sports and outdoor activity, compared with those with two myopic parents.","container-title":"Investigative Ophthalmology &amp; Visual Science","DOI":"10.1167/iovs.06-1118","ISSN":"0146-0404","issue":"8","journalAbbreviation":"Invest. Ophthalmol. Vis. Sci.","language":"eng","note":"PMID: 17652719\nPMCID: PMC2871403","page":"3524-3532","source":"PubMed","title":"Parental history of myopia, sports and outdoor activities, and future myopia","volume":"48","author":[{"family":"Jones","given":"Lisa A."},{"family":"Sinnott","given":"Loraine T."},{"family":"Mutti","given":"Donald O."},{"family":"Mitchell","given":"Gladys L."},{"family":"Moeschberger","given":"Melvin L."},{"family":"Zadnik","given":"Karla"}],"issued":{"date-parts":[["2007",8]]}}}],"schema":"https://github.com/citation-style-language/schema/raw/master/csl-citation.json"}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[169]</w:t>
      </w:r>
      <w:r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p>
    <w:p w14:paraId="42AA73A6" w14:textId="28F8882D" w:rsidR="00546D7A" w:rsidRPr="004804AA" w:rsidRDefault="00546D7A"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 xml:space="preserve">Еще более убедительные данные были получены </w:t>
      </w:r>
      <w:r w:rsidRPr="004804AA">
        <w:rPr>
          <w:rFonts w:ascii="Times New Roman" w:hAnsi="Times New Roman" w:cs="Times New Roman"/>
          <w:sz w:val="28"/>
          <w:szCs w:val="28"/>
          <w:lang w:val="en-US"/>
        </w:rPr>
        <w:t>K</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A</w:t>
      </w:r>
      <w:r w:rsidRPr="004804AA">
        <w:rPr>
          <w:rFonts w:ascii="Times New Roman" w:hAnsi="Times New Roman" w:cs="Times New Roman"/>
          <w:sz w:val="28"/>
          <w:szCs w:val="28"/>
        </w:rPr>
        <w:t>. Rose с соавторами в 2008 году</w:t>
      </w:r>
      <w:r w:rsidR="003D4F39" w:rsidRPr="004804AA">
        <w:rPr>
          <w:rFonts w:ascii="Times New Roman" w:hAnsi="Times New Roman" w:cs="Times New Roman"/>
          <w:sz w:val="28"/>
          <w:szCs w:val="28"/>
        </w:rPr>
        <w:t>, в результате с</w:t>
      </w:r>
      <w:r w:rsidRPr="004804AA">
        <w:rPr>
          <w:rFonts w:ascii="Times New Roman" w:hAnsi="Times New Roman" w:cs="Times New Roman"/>
          <w:sz w:val="28"/>
          <w:szCs w:val="28"/>
        </w:rPr>
        <w:t>равнени</w:t>
      </w:r>
      <w:r w:rsidR="003D4F39" w:rsidRPr="004804AA">
        <w:rPr>
          <w:rFonts w:ascii="Times New Roman" w:hAnsi="Times New Roman" w:cs="Times New Roman"/>
          <w:sz w:val="28"/>
          <w:szCs w:val="28"/>
        </w:rPr>
        <w:t>я</w:t>
      </w:r>
      <w:r w:rsidRPr="004804AA">
        <w:rPr>
          <w:rFonts w:ascii="Times New Roman" w:hAnsi="Times New Roman" w:cs="Times New Roman"/>
          <w:sz w:val="28"/>
          <w:szCs w:val="28"/>
        </w:rPr>
        <w:t xml:space="preserve"> аномалии рефракции у детей китайского происхождения, проживающих в Сиднее и Сингапуре</w:t>
      </w:r>
      <w:r w:rsidR="003D4F39" w:rsidRPr="004804AA">
        <w:rPr>
          <w:rFonts w:ascii="Times New Roman" w:hAnsi="Times New Roman" w:cs="Times New Roman"/>
          <w:sz w:val="28"/>
          <w:szCs w:val="28"/>
        </w:rPr>
        <w:t xml:space="preserve">. При этом наследственные характеристики родительской миопии и зрительные нагрузки были сопоставимы в обеих группах. Дети в Сиднее проводили больше времени на открытом воздухе: 13,75 против 3,05 часа в неделю в Сингапуре, что являлось наиболее значимым фактором, </w:t>
      </w:r>
      <w:r w:rsidRPr="004804AA">
        <w:rPr>
          <w:rFonts w:ascii="Times New Roman" w:hAnsi="Times New Roman" w:cs="Times New Roman"/>
          <w:sz w:val="28"/>
          <w:szCs w:val="28"/>
        </w:rPr>
        <w:t xml:space="preserve">способствующим почти 10-кратной разнице в распространенности миопии между двумя выборками. Распространенность миопии у детей китайской национальности в возрасте </w:t>
      </w:r>
      <w:r w:rsidR="006567B2" w:rsidRPr="004804AA">
        <w:rPr>
          <w:rFonts w:ascii="Times New Roman" w:hAnsi="Times New Roman" w:cs="Times New Roman"/>
          <w:sz w:val="28"/>
          <w:szCs w:val="28"/>
        </w:rPr>
        <w:t>6–7</w:t>
      </w:r>
      <w:r w:rsidRPr="004804AA">
        <w:rPr>
          <w:rFonts w:ascii="Times New Roman" w:hAnsi="Times New Roman" w:cs="Times New Roman"/>
          <w:sz w:val="28"/>
          <w:szCs w:val="28"/>
        </w:rPr>
        <w:t xml:space="preserve"> лет была значительно ниже в Сиднее (3,3%), чем в Сингапуре (29,1%) (P &lt;0,001)</w:t>
      </w:r>
      <w:r w:rsidR="00231278">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{"citationID":"lQlNBMoi","properties":{"formattedCitation":"[170]","plainCitation":"[170]","noteIndex":0},"citationItems":[{"id":1288,"uris":["http://zotero.org/users/local/XMo5Fvid/items/WP3QUP33"],"itemData":{"id":1288,"type":"article-journal","abstract":"OBJECTIVE: To compare the prevalence and risk factors for myopia in 6- and 7-year-old children of Chinese ethnicity in Sydney and Singapore.\nMETHODS: Two cross-sectional samples of age- and ethnicity-matched primary school children participated: 124 from the Sydney Myopia Study and 628 from the Singapore Cohort Study on the Risk Factors for Myopia. Cycloplegic autorefraction was used to determine myopia prevalence (spherical equivalent &lt; or = -0.5 diopter). Lifestyle activities were ascertained by questionnaire.\nRESULTS: The prevalence of myopia in 6- and 7-year-old children of Chinese ethnicity was significantly lower in Sydney (3.3%) than in Singapore (29.1%) (P &lt; .001). The prevalence of myopia in 1 or more parents was 68% in Sydney and 71% in Singapore. Children in Sydney read more books per week (P &lt; .001) and did more total near-work activity (P = .002). Children in Sydney spent more time on outdoor activities (13.75 vs 3.05 hours per week; P &lt; .001), which was the most significant factor associated with the differences in the prevalence of myopia between the 2 sites.\nCONCLUSIONS: The lower prevalence of myopia in Sydney was associated with increased hours of outdoor activities. We hypothesize that another factor contributing to the differences in the prevalence of myopia may be the early educational pressures found in Singapore but not in Sydney.","container-title":"Archives of Ophthalmology (Chicago, Ill.: 1960)","DOI":"10.1001/archopht.126.4.527","ISSN":"1538-3601","issue":"4","journalAbbreviation":"Arch Ophthalmol","language":"eng","note":"PMID: 18413523","page":"527-530","source":"PubMed","title":"Myopia, lifestyle, and schooling in students of Chinese ethnicity in Singapore and Sydney","volume":"126","author":[{"family":"Rose","given":"Kathryn A."},{"family":"Morgan","given":"Ian G."},{"family":"Smith","given":"Wayne"},{"family":"Burlutsky","given":"George"},{"family":"Mitchell","given":"Paul"},{"family":"Saw","given":"Seang-Mei"}],"issued":{"date-parts":[["2008",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[170]</w:t>
      </w:r>
      <w:r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r w:rsidR="00591D86" w:rsidRPr="004804AA">
        <w:rPr>
          <w:rFonts w:ascii="Times New Roman" w:hAnsi="Times New Roman" w:cs="Times New Roman"/>
          <w:sz w:val="28"/>
          <w:szCs w:val="28"/>
        </w:rPr>
        <w:t xml:space="preserve"> </w:t>
      </w:r>
    </w:p>
    <w:p w14:paraId="6E9E6B91" w14:textId="5579C9E5" w:rsidR="0000565B" w:rsidRPr="004804AA" w:rsidRDefault="00636689"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Данная корреляция при этом не зависела от того, занимались ли дети спортом на улице или читали на пляже. Более того, дети, которые проводили больше времени на улице, не обязательно проводили меньше времени с книгами, </w:t>
      </w:r>
      <w:r w:rsidR="00D03A68">
        <w:rPr>
          <w:rFonts w:ascii="Times New Roman" w:hAnsi="Times New Roman" w:cs="Times New Roman"/>
          <w:sz w:val="28"/>
          <w:szCs w:val="28"/>
        </w:rPr>
        <w:t>дисплеями</w:t>
      </w:r>
      <w:r w:rsidRPr="004804AA">
        <w:rPr>
          <w:rFonts w:ascii="Times New Roman" w:hAnsi="Times New Roman" w:cs="Times New Roman"/>
          <w:sz w:val="28"/>
          <w:szCs w:val="28"/>
        </w:rPr>
        <w:t xml:space="preserve"> и работой на близком расстоянии</w:t>
      </w:r>
      <w:r w:rsidR="00231278">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{"citationID":"B58CR540","properties":{"formattedCitation":"[171; 172]","plainCitation":"[171; 172]","noteIndex":0},"citationItems":[{"id":891,"uris":["http://zotero.org/users/local/XMo5Fvid/items/JLZ6S9QC"],"itemData":{"id":891,"type":"article-journal","abstract":"OBJECTIVE: To assess the relationship of near, midworking distance, and outdoor activities with prevalence of myopia in school-aged children.\nDESIGN: Cross-sectional study of 2 age samples from 51 Sydney schools, selected using a random cluster design.\nPARTICIPANTS: One thousand seven hundred sixty-five 6-year-olds (year 1) and 2367 12-year-olds (year 7) participated in the Sydney Myopia Study from 2003 to 2005.\nMETHODS: Children had a comprehensive eye examination, including cycloplegic refraction. Parents and children completed detailed questionnaires on activity.\nMAIN OUTCOME MEASURES: Myopia prevalence and mean spherical equivalent (SE) in relation to patterns of near, midworking distance, and outdoor activities. Myopia was defined as SE refraction &lt; or = -0.5 diopters (D).\nRESULTS: Higher levels of outdoor activity (sport and leisure activities) were associated with more hyperopic refractions and lower myopia prevalence in the 12-year-old students. Students who combined high levels of near work with low levels of outdoor activity had the least hyperopic mean refraction (+0.27 D; 95% confidence interval [CI], 0.02-0.52), whereas students who combined low levels of near work with high levels of outdoor activity had the most hyperopic mean refraction (+0.56 D; 95% CI, 0.38-0.75). Significant protective associations with increased outdoor activity were seen for the lowest (P = 0.04) and middle (P = 0.02) tertiles of near-work activity. The lowest odds ratios for myopia, after adjusting for confounders, were found in groups reporting the highest levels of outdoor activity. There were no associations between indoor sport and myopia. No consistent associations between refraction and measures of activity were seen in the 6-year-old sample.\nCONCLUSIONS: Higher levels of total time spent outdoors, rather than sport per se, were associated with less myopia and a more hyperopic mean refraction, after adjusting for near work, parental myopia, and ethnicity.","container-title":"Ophthalmology","DOI":"10.1016/j.ophtha.2007.12.019","ISSN":"1549-4713","issue":"8","journalAbbreviation":"Ophthalmology","language":"eng","note":"PMID: 18294691","page":"1279-1285","source":"PubMed","title":"Outdoor activity reduces the prevalence of myopia in children","volume":"115","author":[{"family":"Rose","given":"Kathryn A."},{"family":"Morgan","given":"Ian G."},{"family":"Ip","given":"Jenny"},{"family":"Kifley","given":"Annette"},{"family":"Huynh","given":"Son"},{"family":"Smith","given":"Wayne"},{"family":"Mitchell","given":"Paul"}],"issued":{"date-parts":[["2008",8]]}},"label":"page"},{"id":942,"uris":["http://zotero.org/users/local/XMo5Fvid/items/TCDNHUNI"],"itemData":{"id":942,"type":"article-journal","abstract":"PURPOSE: Time spent in \"sports/outdoor activity\" has shown a negative association with incident myopia during childhood. We investigated the association of incident myopia with time spent outdoors and physical activity separately.\nMETHODS: Participants in the Avon Longitudinal Study of Parents and Children (ALSPAC) were assessed by noncycloplegic autorefraction at ages 7, 10, 11, 12, and 15 years, and classified as myopic (≤-1 diopters) or as emmetropic/hyperopic (≥-0.25 diopters) at each visit (N = 4,837-7,747). Physical activity at age 11 years was measured objectively using an accelerometer, worn for 1 week. Time spent outdoors was assessed via a parental questionnaire administered when children were aged 8-9 years. Variables associated with incident myopia were examined using Cox regression.\nRESULTS: In analyses using all available data, both time spent outdoors and physical activity were associated with incident myopia, with time outdoors having the larger effect. The results were similar for analyses restricted to children classified as either nonmyopic or emmetropic/hyperopic at age 11 years. Thus, for children nonmyopic at age 11, the hazard ratio (95% confidence interval, CI) for incident myopia was 0.66 (0.47-0.93) for a high versus low amount of time spent outdoors, and 0.87 (0.76-0.99) per unit standard deviation above average increase in moderate/vigorous physical activity.\nCONCLUSION: Time spent outdoors was predictive of incident myopia independently of physical activity level. The greater association observed for time outdoors suggests that the previously reported link between \"sports/outdoor activity\" and incident myopia is due mainly to its capture of information relating to time outdoors rather than physical activity.","container-title":"Investigative Ophthalmology &amp; Visual Science","DOI":"10.1167/iovs.11-9091","ISSN":"1552-5783","issue":"6","journalAbbreviation":"Invest. Ophthalmol. Vis. Sci.","language":"eng","note":"PMID: 22491403\nPMCID: PMC3367471","page":"2856-2865","source":"PubMed","title":"Time outdoors and physical activity as predictors of incident myopia in childhood: a prospective cohort study","title-short":"Time outdoors and physical activity as predictors of incident myopia in childhood","volume":"53","author":[{"family":"Guggenheim","given":"Jeremy A."},{"family":"Northstone","given":"Kate"},{"family":"McMahon","given":"George"},{"family":"Ness","given":"Andy R."},{"family":"Deere","given":"Kevin"},{"family":"Mattocks","given":"Calum"},{"family":"Pourcain","given":"Beate St"},{"family":"Williams","given":"Cathy"}],"issued":{"date-parts":[["2012",5,14]]}},"label":"page"}],"schema":"https://github.com/citation-style-language/schema/raw/master/csl-citation.json"}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[171; 172]</w:t>
      </w:r>
      <w:r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r w:rsidR="000E4A97" w:rsidRPr="004804AA">
        <w:rPr>
          <w:rFonts w:ascii="Times New Roman" w:hAnsi="Times New Roman" w:cs="Times New Roman"/>
          <w:sz w:val="28"/>
          <w:szCs w:val="28"/>
        </w:rPr>
        <w:t xml:space="preserve"> Основываясь на эпидемиологических исследованиях, некоторые авторы предположили, что фактором защиты от миопии может считаться достаточное освещение</w:t>
      </w:r>
      <w:r w:rsidR="00231278">
        <w:rPr>
          <w:rFonts w:ascii="Times New Roman" w:hAnsi="Times New Roman" w:cs="Times New Roman"/>
          <w:sz w:val="28"/>
          <w:szCs w:val="28"/>
        </w:rPr>
        <w:t xml:space="preserve"> </w:t>
      </w:r>
      <w:r w:rsidR="000E4A97"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{"citationID":"SMeW6BED","properties":{"formattedCitation":"[34; 173; 174]","plainCitation":"[34; 173; 174]","noteIndex":0},"citationItems":[{"id":934,"uris":["http://zotero.org/users/local/XMo5Fvid/items/HFJX8EI3"],"itemData":{"id":934,"type":"article-journal","abstract":"We sought to assess light characteristics and user acceptability of a prototype Bright Classroom (BC), designed to prevent children's myopia by exposing them to light conditions resembling the outdoors. Conditions were measured throughout the school year in the glass-constructed BC, a traditional classroom (TC) and outdoors. Teachers and children completed user questionnaires, and children rated reading comfort at different light intensities. A total of 230 children (mean age 10.2 years, 57.4% boys) and 13 teachers (36.8 years, 15.4% men) completed questionnaires. The median (Inter Quartile Range) light intensity in the BC (2,540 [1,330-4,060] lux) was greater than the TC (477 [245-738] lux, P &lt; 0.001), though less than outdoors (19,500 [8,960-36,000] lux, P &lt; 0.001). A prominent spectral peak at 490-560 nm was present in the BC and outdoors, but less so in the TC. Teachers and children gave higher overall ratings to the BC than TC, and light intensity in the BC in summer and on sunny days (&gt;5,000 lux) was at the upper limit of children's comfort for reading. In summary, light intensity in the BC exceeds TC, and is at the practical upper limit for routine use. Children and teachers prefer the BC.","container-title":"PloS One","DOI":"10.1371/journal.pone.0181772","ISSN":"1932-6203","issue":"7","journalAbbreviation":"PLoS ONE","language":"eng","note":"PMID: 28759614\nPMCID: PMC5536284","page":"e0181772","source":"PubMed","title":"Pilot study of a novel classroom designed to prevent myopia by increasing children's exposure to outdoor light","volume":"12","author":[{"family":"Zhou","given":"Zhongqiang"},{"family":"Chen","given":"Tingting"},{"family":"Wang","given":"Mengrui"},{"family":"Jin","given":"Ling"},{"family":"Zhao","given":"Yongyi"},{"family":"Chen","given":"Shangji"},{"family":"Wang","given":"Congyao"},{"family":"Zhang","given":"Guoshan"},{"family":"Wang","given":"Qilin"},{"family":"Deng","given":"Qiaoming"},{"family":"Liu","given":"Yubo"},{"family":"Morgan","given":"Ian G."},{"family":"He","given":"Mingguang"},{"family":"Liu","given":"Yizhi"},{"family":"Congdon","given":"Nathan"}],"issued":{"date-parts":[["2017"]]}},"label":"page"},{"id":930,"uris":["http://zotero.org/users/local/XMo5Fvid/items/MAAXYGQP"],"itemData":{"id":930,"type":"article-journal","abstract":"PURPOSE: To investigate the effectiveness of a school-based program promoting outdoor activities in Taiwan for myopia prevention and to identify protective light intensities.\nDESIGN: Multi-area, cluster-randomized intervention controlled trial.\nPARTICIPANTS: A total 693 grade 1 schoolchildren in 16 schools participated. Two hundred sixty-seven schoolchildren were in the intervention group and 426 were in the control group.\nMETHODS: Initially, 24 schools were randomized into the intervention and control groups, but 5 and 3 schools in the intervention and control groups, respectively, withdrew before enrollment. A school-based Recess Outside Classroom Trial was implemented in the intervention group, in which schoolchildren were encouraged to go outdoors for up to 11 hours weekly. Data collection included eye examinations, cycloplegic refraction, noncontact axial length measurements, light meter recorders, diary logs, and questionnaires.\nMAIN OUTCOME MEASURES: Change in spherical equivalent and axial length after 1 year and the intensity and duration of outdoor light exposures.\nRESULTS: The intervention group showed significantly less myopic shift and axial elongation compared with the control group (0.35 diopter [D] vs. 0.47 D; 0.28 vs. 0.33 mm; P = 0.002 and P = 0.003) and a 54% lower risk of rapid myopia progression (odds ratio, 0.46; 95% confidence interval [CI], 0.28-0.77; P = 0.003). The myopic protective effects were significant in both nonmyopic and myopic children compared with controls. Regarding spending outdoor time of at least 11 hours weekly with exposure to 1000 lux or more of light, the intervention group had significantly more participants compared with the control group (49.79% vs. 22.73%; P &lt; 0.001). Schoolchildren with longer outdoor time in school (≥200 minutes) showed significantly less myopic shift (measured by light meters; ≥1000 lux: 0.14 D; 95% CI, 0.02-0.27; P = 0.02; ≥3000 lux: 0.16 D; 95% CI, 0.002-0.32; P = 0.048).\nCONCLUSIONS: The school-based outdoor promotion program effectively reduced the myopia change in both nonmyopic and myopic children. Outdoor activities with strong sunlight exposure may not be necessary for myopia prevention. Relatively lower outdoor light intensity activity with longer time outdoors, such as in hallways or under trees, also can be considered.","container-title":"Ophthalmology","DOI":"10.1016/j.ophtha.2017.12.011","ISSN":"1549-4713","issue":"8","journalAbbreviation":"Ophthalmology","language":"eng","note":"PMID: 29371008","page":"1239-1250","source":"PubMed","title":"Myopia Prevention and Outdoor Light Intensity in a School-Based Cluster Randomized Trial","volume":"125","author":[{"family":"Wu","given":"Pei-Chang"},{"family":"Chen","given":"Chueh-Tan"},{"family":"Lin","given":"Ken-Kuo"},{"family":"Sun","given":"Chi-Chin"},{"family":"Kuo","given":"Chien-Neng"},{"family":"Huang","given":"Hsiu-Mei"},{"family":"Poon","given":"Yi-Chieh"},{"family":"Yang","given":"Meng-Ling"},{"family":"Chen","given":"Chau-Yin"},{"family":"Huang","given":"Jou-Chen"},{"family":"Wu","given":"Pei-Chen"},{"family":"Yang","given":"I.-Hui"},{"family":"Yu","given":"Hun-Ju"},{"family":"Fang","given":"Po-Chiung"},{"family":"Tsai","given":"Chia-Ling"},{"family":"Chiou","given":"Shu-Ti"},{"family":"Yang","given":"Yi-Hsin"}],"issued":{"date-parts":[["2018"]]}},"label":"page"},{"id":932,"uris":["http://zotero.org/users/local/XMo5Fvid/items/Z7M8599R"],"itemData":{"id":932,"type":"article-journal","abstract":"A century ago, it was widely believed that high levels of daylight in classrooms could prevent myopia, and as such, education departments built schools with large windows to try to stop children becoming short-sighted. This practice continued until the 1960s, from which time myopia was believed to be an inherited condition. In the years that followed, less emphasis was placed on preventing myopia. It has since become more common, reaching epidemic levels in east Asia. Recent research strongly suggests that the amount of light children get as they grow determines whether they will develop short sight; however, evidence that daylight in classrooms prevents myopia is lacking. Given the rapid increase in prevalence among school children worldwide, this should be investigated.","container-title":"Perspectives in Public Health","DOI":"10.1177/1757913915576679","ISSN":"1757-9147","issue":"1","journalAbbreviation":"Perspect Public Health","language":"eng","note":"PMID: 25800796","page":"50-55","source":"PubMed","title":"Myopia and daylight in schools: a neglected aspect of public health?","title-short":"Myopia and daylight in schools","volume":"136","author":[{"family":"Hobday","given":"Richard"}],"issued":{"date-parts":[["2016",1]]}},"label":"page"}],"schema":"https://github.com/citation-style-language/schema/raw/master/csl-citation.json"} </w:instrText>
      </w:r>
      <w:r w:rsidR="000E4A97"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[34; 173; 174]</w:t>
      </w:r>
      <w:r w:rsidR="000E4A97"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r w:rsidR="000E4A97" w:rsidRPr="004804AA">
        <w:rPr>
          <w:rFonts w:ascii="Times New Roman" w:hAnsi="Times New Roman" w:cs="Times New Roman"/>
          <w:sz w:val="28"/>
          <w:szCs w:val="28"/>
        </w:rPr>
        <w:t xml:space="preserve"> В качестве подтверждения теории недостаточной освещенности выступили исследования ряда авторов, показавших, что скорость прогрессирования близорукости варьирует в зависимости от сезона (медленнее летом) и времени суток</w:t>
      </w:r>
      <w:r w:rsidR="00231278">
        <w:rPr>
          <w:rFonts w:ascii="Times New Roman" w:hAnsi="Times New Roman" w:cs="Times New Roman"/>
          <w:sz w:val="28"/>
          <w:szCs w:val="28"/>
        </w:rPr>
        <w:t xml:space="preserve"> </w:t>
      </w:r>
      <w:r w:rsidR="000E4A97"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yePzNNQ","properties":{"formattedCitation":"[175\\uc0\\u8211{}178]","plainCitation":"[175–178]","noteIndex":0},"citationItems":[{"id":827,"uris":["http://zotero.org/users/local/XMo5Fvid/items/U3XR9WG9"],"itemData":{"id":827,"type":"article-journal","container-title":"Investigative ophthalmology &amp; visual science","issue":"4","page":"1492-1500","title":"A randomized clinical trial of progressive addition lenses versus single vision lenses on the progression of myopia in children","volume":"44","author":[{"family":"Gwiazda","given":"Jane"},{"family":"Hyman","given":"Leslie"},{"family":"Hussein","given":"Mohamed"},{"family":"Everett","given":"Donald"},{"family":"Norton","given":"Thomas T."},{"family":"Kurtz","given":"Daniel"},{"family":"Leske","given":"M. Cristina"},{"family":"Manny","given":"Ruth"},{"family":"Marsh-Tootle","given":"Wendy"},{"family":"Scheiman","given":"Mitch"}],"issued":{"date-parts":[["2003"]]}},"label":"page"},{"id":950,"uris":["http://zotero.org/users/local/XMo5Fvid/items/TFAZY2L4"],"itemData":{"id":950,"type":"article-journal","abstract":"OBJECTIVE: Because of the northern location of Denmark, the length of the day over the year varies from 7 to 17.5 hours. Experimental and clinical results suggest that the development of myopia may be related to ambient light exposure. The purpose of current study was to investigate whether axial eye growth, myopia progression, or corneal power change in Danish myopic children varies with the length of the day.\nDESIGN: Cross-sectional study.\nPARTICIPANTS: Two hundred thirty-five children 8 to 14 years of age found to have myopia during screening for a clinical trial (ClinicalTrial.gov identifier, NCT00263471; accessed December 6, 2005). All children found to have any value of spherical equivalent that was myopic (&lt;0 diopters [D]) at the first of 2 visits were included.\nMETHODS: Cycloplegic refraction was measured using an autorefractor, axial eye length, and corneal power using an automatic combined noncontact partial coherence interferometer and keratometer. The accumulated number of daylight hours during the measurement period was calculated for each participant using an astronomical table.\nMAIN OUTCOME MEASURES: Change over 6 months in axial length, refraction, and corneal power.\nRESULTS: Accumulated hours of daylight ranged from 1660 to 2804 hours. Significant correlations were found between hours of daylight and eye elongation (P = 0.00), myopia progression (P = 0.01), and corneal power change (P = 0.00). In children with an average of 2782 ± 19 hours of daylight, axial eye growth was 0.12 ± 0.09 mm, myopia progression was 0.26 ± 0.27 D, and corneal power change was 0.05 ± 0.10 D per 6 months, whereas in children with an average of 1681 ± 24 hours of daylight, axial eye growth was 0.19 ± 0.10 mm, myopia progression was 0.32 ± 0.27 D, and corneal power change was -0.04 ± 0.08 D per 6 months.\nCONCLUSIONS: Eye elongation and myopia progression seem to decrease in periods with longer days and to increase in periods with shorter days. Children should be encouraged to spend more time outside during daytime to prevent myopia.\nFINANCIAL DISCLOSURE(S): The author(s) have no proprietary or commercial interest in any materials discussed in this article.","container-title":"Ophthalmology","DOI":"10.1016/j.ophtha.2012.10.022","ISSN":"1549-4713","issue":"5","journalAbbreviation":"Ophthalmology","language":"eng","note":"PMID: 23380471","page":"1074-1079","source":"PubMed","title":"Effect of day length on eye growth, myopia progression, and change of corneal power in myopic children","volume":"120","author":[{"family":"Cui","given":"Dongmei"},{"family":"Trier","given":"Klaus"},{"family":"Munk Ribel-Madsen","given":"Søren"}],"issued":{"date-parts":[["2013",5]]}},"label":"page"},{"id":947,"uris":["http://zotero.org/users/local/XMo5Fvid/items/9KQKH4AW"],"itemData":{"id":947,"type":"article-journal","abstract":"PURPOSE: To characterize seasonal variation in the myopic progression of Chinese children.\nMETHODS: Myopia progression data are presented for a total of 85 Chinese children, aged 6 to 12 years, with baseline myopia of -0.75 D to -3.50 D sphere and astigmatism ≤-1.50 D, who wore traditional single-vision spectacles in two clinical trials (trial A: n = 37, trial B: n = 48). Refractive error and axial length data were obtained at 6-month intervals using cycloplegic autorefraction and partial coherence interferometry, respectively. Progression rates for right eyes were defined for the first and second 6 months of the studies and classified in terms of \"summer,\" \"autumn,\" \"winter,\" or \"spring\" based on the mid-point of the 6-month period between visits.\nRESULTS: The mean 6-month spherical equivalent progression was -0.31 ± 0.25 D for summer, -0.40 ± 0.27 D for autumn, -0.53 ± 0.29 D for winter, and -0.42 ± 0.20 D for spring (p &lt; 0.001). Mean axial elongation was 0.17 ± 0.10 mm for summer, 0.24 ± 0.09 mm for autumn, 0.24 ± 0.09 mm for winter, and 0.15 ± 0.08 mm for spring (p &lt; 0.001). Post hoc analysis indicated that data for summer and winter were different from each other at p &lt; 0.05 for both myopia progression and axial elongation after adjusting for age.\nCONCLUSIONS: Myopia progression in summer months was approximately 60% of that seen in winter, and axial elongation was likewise significantly less in summer. It is unclear whether more time spent outdoors in summer vs. winter is a contributing factor, or the difference in progression rates is a result of \"seasonal\" variations in the intensity or amount of close work performed. These results indicate that studies of potential myopia treatment strategies should be at least 12 months in duration to take seasonal variations into account.","container-title":"Optometry and Vision Science: Official Publication of the American Academy of Optometry","DOI":"10.1097/OPX.0b013e3182640996","ISSN":"1538-9235","issue":"8","journalAbbreviation":"Optom Vis Sci","language":"eng","note":"PMID: 22797511\nPMCID: PMC4696401","page":"1196-1202","source":"PubMed","title":"Myopia progression in Chinese children is slower in summer than in winter","volume":"89","author":[{"family":"Donovan","given":"Leslie"},{"family":"Sankaridurg","given":"Padmaja"},{"family":"Ho","given":"Arthur"},{"family":"Chen","given":"Xiang"},{"family":"Lin","given":"Zhi"},{"family":"Thomas","given":"Varghese"},{"family":"Smith","given":"Earl L."},{"family":"Ge","given":"Jian"},{"family":"Holden","given":"Brien"}],"issued":{"date-parts":[["2012",8]]}},"label":"page"},{"id":945,"uris":["http://zotero.org/users/local/XMo5Fvid/items/GGGLB3SG"],"itemData":{"id":945,"type":"article-journal","abstract":"PURPOSE: To investigate the seasonal variations in myopia progression and axial elongation in Japanese children.\nMETHODS: Ninety-two children who were enrolled in a myopia-control trial and wearing single vision or progressive addition lenses were included in the analyses (mean ± SD age 11.4 ± 1.7 years, mean spherical equivalent refractive error -4.40 ± 1.38 D). Refractive error and axial length were measured every 6 months for 1.5 years by non-cycloplegic autorefraction and partial coherence interferometer, respectively. Myopia progression and axial elongation for each 6-month interval were calculated by subtracting the measure at the end of the interval from that at the beginning. Seasons were classified as summer, winter or others, based on mid-day of the 6-month period between visits.\nRESULTS: Myopia progression was not significantly influenced by the season. After adjusting study groups (type of spectacles), years and age at the baseline, the mean (±SE) myopia progression was 0.35 ± 0.04 D for summer, 0.28 ± 0.06 D for winter and 0.38 ± 0.04 D for the others. In contrast, axial elongation was significantly influenced by the season, and the mean axial elongation was 0.137 ± 0.010 mm for summer, 0.170 ± 0.013 mm for winter and 0.163 ± 0.008 mm for the others. The seasonal variation in axial elongation, however, was smaller than that previously reported overseas.\nCONCLUSIONS: In Japanese children myopia progression did not slow in summer. Although axial elongation slightly decreased in summer, myopia progression seems to be fairly stable throughout the year.","container-title":"Japanese Journal of Ophthalmology","DOI":"10.1007/s10384-012-0148-1","ISSN":"1613-2246","issue":"4","journalAbbreviation":"Jpn. J. Ophthalmol.","language":"eng","note":"PMID: 22669350","page":"401-406","source":"PubMed","title":"Seasonal variation in myopia progression and axial elongation: an evaluation of Japanese children participating in a myopia control trial","title-short":"Seasonal variation in myopia progression and axial elongation","volume":"56","author":[{"family":"Fujiwara","given":"Miyuki"},{"family":"Hasebe","given":"Satoshi"},{"family":"Nakanishi","given":"Risa"},{"family":"Tanigawa","given":"Kohhei"},{"family":"Ohtsuki","given":"Hiroshi"}],"issued":{"date-parts":[["2012",7]]}},"label":"page"}],"schema":"https://github.com/citation-style-language/schema/raw/master/csl-citation.json"} </w:instrText>
      </w:r>
      <w:r w:rsidR="000E4A97"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[175–178]</w:t>
      </w:r>
      <w:r w:rsidR="000E4A97"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r w:rsidR="000E4A97" w:rsidRPr="004804AA">
        <w:rPr>
          <w:rFonts w:ascii="Times New Roman" w:hAnsi="Times New Roman" w:cs="Times New Roman"/>
          <w:sz w:val="28"/>
          <w:szCs w:val="28"/>
        </w:rPr>
        <w:t xml:space="preserve"> </w:t>
      </w:r>
      <w:r w:rsidRPr="004804AA">
        <w:rPr>
          <w:rFonts w:ascii="Times New Roman" w:hAnsi="Times New Roman" w:cs="Times New Roman"/>
          <w:sz w:val="28"/>
          <w:szCs w:val="28"/>
        </w:rPr>
        <w:t xml:space="preserve">В 2009 году Н. Morgan и его команда начали трехлетнее исследование, в ходе которого они добавили 40-минутный урок на открытом воздухе для группы детей в возрасте от 6 до 7 лет в шести школах Китая; дети </w:t>
      </w:r>
      <w:r w:rsidR="00016F77" w:rsidRPr="004804AA">
        <w:rPr>
          <w:rFonts w:ascii="Times New Roman" w:hAnsi="Times New Roman" w:cs="Times New Roman"/>
          <w:sz w:val="28"/>
          <w:szCs w:val="28"/>
        </w:rPr>
        <w:t>из</w:t>
      </w:r>
      <w:r w:rsidRPr="004804AA">
        <w:rPr>
          <w:rFonts w:ascii="Times New Roman" w:hAnsi="Times New Roman" w:cs="Times New Roman"/>
          <w:sz w:val="28"/>
          <w:szCs w:val="28"/>
        </w:rPr>
        <w:t xml:space="preserve"> шести других школах не имели изменений в расписании и служили в качестве контроля.</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По результатам наблюдения, через 4 года миопия развилась у 30% детей, посещавших занятия вне школы, по сравнению с 40% детей в контрольных школах</w:t>
      </w:r>
      <w:r w:rsidR="00231278">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{"citationID":"NO0ISHkK","properties":{"formattedCitation":"[179]","plainCitation":"[179]","noteIndex":0},"citationItems":[{"id":927,"uris":["http://zotero.org/users/local/XMo5Fvid/items/YQLKPPK9"],"itemData":{"id":927,"type":"article-journal","abstract":"IMPORTANCE: Myopia has reached epidemic levels in parts of East and Southeast Asia. However, there is no effective intervention to prevent the development of myopia.\nOBJECTIVE: To assess the efficacy of increasing time spent outdoors at school in preventing incident myopia.\nDESIGN, SETTING, AND PARTICIPANTS: Cluster randomized trial of children in grade 1 from 12 primary schools in Guangzhou, China, conducted between October 2010 and October 2013.\nINTERVENTIONS: For 6 intervention schools (n = 952 students), 1 additional 40-minute class of outdoor activities was added to each school day, and parents were encouraged to engage their children in outdoor activities after school hours, especially during weekends and holidays. Children and parents in the 6 control schools (n = 951 students) continued their usual pattern of activity.\nMAIN OUTCOMES AND MEASURES: The primary outcome measure was the 3-year cumulative incidence rate of myopia (defined using the Refractive Error Study in Children spherical equivalent refractive error standard of ≤-0.5 diopters [D]) among the students without established myopia at baseline. Secondary outcome measures were changes in spherical equivalent refraction and axial length among all students, analyzed using mixed linear models and intention-to-treat principles. Data from the right eyes were used for the analysis.\nRESULTS: There were 952 children in the intervention group and 951 in the control group with a mean (SD) age of 6.6 (0.34) years. The cumulative incidence rate of myopia was 30.4% in the intervention group (259 incident cases among 853 eligible participants) and 39.5% (287 incident cases among 726 eligible participants) in the control group (difference of -9.1% [95% CI, -14.1% to -4.1%]; P &lt; .001). There was also a significant difference in the 3-year change in spherical equivalent refraction for the intervention group (-1.42 D) compared with the control group (-1.59 D) (difference of 0.17 D [95% CI, 0.01 to 0.33 D]; P = .04). Elongation of axial length was not significantly different between the intervention group (0.95 mm) and the control group (0.98 mm) (difference of -0.03 mm [95% CI, -0.07 to 0.003 mm]; P = .07).\nCONCLUSIONS AND RELEVANCE: Among 6-year-old children in Guangzhou, China, the addition of 40 minutes of outdoor activity at school compared with usual activity resulted in a reduced incidence rate of myopia over the next 3 years. Further studies are needed to assess long-term follow-up of these children and the generalizability of these findings.\nTRIAL REGISTRATION: clinicaltrials.gov Identifier: NCT00848900.","container-title":"JAMA","DOI":"10.1001/jama.2015.10803","ISSN":"1538-3598","issue":"11","journalAbbreviation":"JAMA","language":"eng","note":"PMID: 26372583","page":"1142-1148","source":"PubMed","title":"Effect of Time Spent Outdoors at School on the Development of Myopia Among Children in China: A Randomized Clinical Trial","title-short":"Effect of Time Spent Outdoors at School on the Development of Myopia Among Children in China","volume":"314","author":[{"family":"He","given":"Mingguang"},{"family":"Xiang","given":"Fan"},{"family":"Zeng","given":"Yangfa"},{"family":"Mai","given":"Jincheng"},{"family":"Chen","given":"Qianyun"},{"family":"Zhang","given":"Jian"},{"family":"Smith","given":"Wayne"},{"family":"Rose","given":"Kathryn"},{"family":"Morgan","given":"Ian G."}],"issued":{"date-parts":[["2015",9,15]]}}}],"schema":"https://github.com/citation-style-language/schema/raw/master/csl-citation.json"}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[179]</w:t>
      </w:r>
      <w:r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p>
    <w:p w14:paraId="037361A6" w14:textId="75508F38" w:rsidR="00590E5B" w:rsidRPr="004804AA" w:rsidRDefault="00590E5B" w:rsidP="005C37DF">
      <w:pPr>
        <w:spacing w:after="0" w:line="240" w:lineRule="auto"/>
        <w:ind w:firstLine="709"/>
        <w:jc w:val="both"/>
        <w:rPr>
          <w:rFonts w:ascii="Times New Roman" w:hAnsi="Times New Roman" w:cs="Times New Roman"/>
          <w:sz w:val="28"/>
          <w:szCs w:val="28"/>
        </w:rPr>
      </w:pPr>
      <w:r w:rsidRPr="004804AA">
        <w:rPr>
          <w:rFonts w:ascii="Times New Roman" w:eastAsiaTheme="minorHAnsi" w:hAnsi="Times New Roman" w:cs="Times New Roman"/>
          <w:sz w:val="28"/>
          <w:szCs w:val="28"/>
          <w:lang w:eastAsia="en-US"/>
        </w:rPr>
        <w:t xml:space="preserve">Исследование China Education Panel Survey </w:t>
      </w:r>
      <w:r w:rsidR="009E7C8F">
        <w:rPr>
          <w:rFonts w:ascii="Times New Roman" w:eastAsiaTheme="minorHAnsi" w:hAnsi="Times New Roman" w:cs="Times New Roman"/>
          <w:sz w:val="28"/>
          <w:szCs w:val="28"/>
          <w:lang w:eastAsia="en-US"/>
        </w:rPr>
        <w:t xml:space="preserve">также </w:t>
      </w:r>
      <w:r w:rsidRPr="004804AA">
        <w:rPr>
          <w:rFonts w:ascii="Times New Roman" w:eastAsiaTheme="minorHAnsi" w:hAnsi="Times New Roman" w:cs="Times New Roman"/>
          <w:sz w:val="28"/>
          <w:szCs w:val="28"/>
          <w:lang w:eastAsia="en-US"/>
        </w:rPr>
        <w:t>подтвердило тенденцию к снижению риска миопии с увеличением времени, проведенного на открытом воздухе:</w:t>
      </w:r>
      <w:r w:rsidR="009E7C8F">
        <w:rPr>
          <w:rFonts w:ascii="Times New Roman" w:eastAsiaTheme="minorHAnsi" w:hAnsi="Times New Roman" w:cs="Times New Roman"/>
          <w:sz w:val="28"/>
          <w:szCs w:val="28"/>
          <w:lang w:eastAsia="en-US"/>
        </w:rPr>
        <w:t xml:space="preserve"> </w:t>
      </w:r>
      <w:r w:rsidRPr="004804AA">
        <w:rPr>
          <w:rFonts w:ascii="Times New Roman" w:eastAsiaTheme="minorHAnsi" w:hAnsi="Times New Roman" w:cs="Times New Roman"/>
          <w:sz w:val="28"/>
          <w:szCs w:val="28"/>
          <w:lang w:eastAsia="en-US"/>
        </w:rPr>
        <w:t xml:space="preserve">у учащихся, проводящих на открытом воздухе &lt;7 часов в неделю, сохраняется высокий уровень миопии, в сравнении с учащимися, проводящими на открытом </w:t>
      </w:r>
      <w:r w:rsidR="002552D7" w:rsidRPr="004804AA">
        <w:rPr>
          <w:rFonts w:ascii="Times New Roman" w:eastAsiaTheme="minorHAnsi" w:hAnsi="Times New Roman" w:cs="Times New Roman"/>
          <w:sz w:val="28"/>
          <w:szCs w:val="28"/>
          <w:lang w:eastAsia="en-US"/>
        </w:rPr>
        <w:t>воздухе ≥</w:t>
      </w:r>
      <w:r w:rsidRPr="004804AA">
        <w:rPr>
          <w:rFonts w:ascii="Times New Roman" w:eastAsiaTheme="minorHAnsi" w:hAnsi="Times New Roman" w:cs="Times New Roman"/>
          <w:sz w:val="28"/>
          <w:szCs w:val="28"/>
          <w:lang w:eastAsia="en-US"/>
        </w:rPr>
        <w:t xml:space="preserve">14 часов в неделю </w:t>
      </w:r>
      <w:r w:rsidRPr="00F66D9A">
        <w:rPr>
          <w:rFonts w:ascii="Times New Roman" w:eastAsiaTheme="minorHAnsi" w:hAnsi="Times New Roman" w:cs="Times New Roman"/>
          <w:sz w:val="28"/>
          <w:szCs w:val="28"/>
          <w:lang w:eastAsia="en-US"/>
        </w:rPr>
        <w:t>(</w:t>
      </w:r>
      <w:r w:rsidR="00991DCA" w:rsidRPr="00F66D9A">
        <w:rPr>
          <w:rFonts w:ascii="Times New Roman" w:eastAsiaTheme="minorHAnsi" w:hAnsi="Times New Roman" w:cs="Times New Roman"/>
          <w:sz w:val="28"/>
          <w:szCs w:val="28"/>
          <w:lang w:eastAsia="en-US"/>
        </w:rPr>
        <w:t>ОШ</w:t>
      </w:r>
      <w:r w:rsidR="00444869" w:rsidRPr="00F66D9A">
        <w:rPr>
          <w:rFonts w:ascii="Times New Roman" w:eastAsiaTheme="minorHAnsi" w:hAnsi="Times New Roman" w:cs="Times New Roman"/>
          <w:sz w:val="28"/>
          <w:szCs w:val="28"/>
          <w:lang w:eastAsia="en-US"/>
        </w:rPr>
        <w:t xml:space="preserve"> </w:t>
      </w:r>
      <w:r w:rsidRPr="00F66D9A">
        <w:rPr>
          <w:rFonts w:ascii="Times New Roman" w:eastAsiaTheme="minorHAnsi" w:hAnsi="Times New Roman" w:cs="Times New Roman"/>
          <w:sz w:val="28"/>
          <w:szCs w:val="28"/>
          <w:lang w:eastAsia="en-US"/>
        </w:rPr>
        <w:t xml:space="preserve">1,250; 95% </w:t>
      </w:r>
      <w:r w:rsidRPr="004804AA">
        <w:rPr>
          <w:rFonts w:ascii="Times New Roman" w:eastAsiaTheme="minorHAnsi" w:hAnsi="Times New Roman" w:cs="Times New Roman"/>
          <w:sz w:val="28"/>
          <w:szCs w:val="28"/>
          <w:lang w:eastAsia="en-US"/>
        </w:rPr>
        <w:t>ДИ</w:t>
      </w:r>
      <w:r w:rsidRPr="00F66D9A">
        <w:rPr>
          <w:rFonts w:ascii="Times New Roman" w:eastAsiaTheme="minorHAnsi" w:hAnsi="Times New Roman" w:cs="Times New Roman"/>
          <w:sz w:val="28"/>
          <w:szCs w:val="28"/>
          <w:lang w:eastAsia="en-US"/>
        </w:rPr>
        <w:t>: 1,070–1,460)</w:t>
      </w:r>
      <w:r w:rsidR="00231278">
        <w:rPr>
          <w:rFonts w:ascii="Times New Roman" w:eastAsiaTheme="minorHAnsi" w:hAnsi="Times New Roman" w:cs="Times New Roman"/>
          <w:sz w:val="28"/>
          <w:szCs w:val="28"/>
          <w:lang w:eastAsia="en-US"/>
        </w:rPr>
        <w:t xml:space="preserve"> </w:t>
      </w:r>
      <w:r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{"citationID":"mfvTPf59","properties":{"formattedCitation":"[120]","plainCitation":"[120]","noteIndex":0},"citationItems":[{"id":1223,"uris":["http://zotero.org/users/local/XMo5Fvid/items/QPVPNGEU"],"itemData":{"id":1223,"type":"article-journal","abstract":"This study sought to investigate the recent incidence rate of myopia in Chinese junior high school students and analyze the effect of time spent outdoors on myopia, in addition to facilitating the prevention and control of myopia among students.This study was derived from a national panel study, the China Education Panel Survey. We conducted three rounds of follow-up visits among 10,279 seventh grade students from 112 middle schools in 20 provinces in 2013. In total, 3571 students were selected for the analysis in 2020 by excluding those lost to follow-up and students who were myopic in the first round. The primary outcomes were the prevalence of myopia and the effect of time outdoors on myopia. The baseline characteristics of the included students were described, and the correlation between time spent outdoors and myopia in the three rounds of data was analyzed by a correlation chi-square test. Then, the generalized estimation equation (GEE) was used to estimate the influence of time spent outdoors on myopia after follow-up.There were 3571 students with normal baseline vision, and 1508 (42.23%) students progressed from having a normal vision to myopia in the third round, of whom 706 (46.82%) were male and 802 (53.18%) were female. The results of the chi-square test showed that the time spent outdoors of all students and girls, specifically, was related to myopia (P &lt; .05). Next, the GEE was used to analyze the influence of time spent outdoors on myopia after follow-up. After two model adjustments (individual and family-related characteristics of students), students with &lt; 7 hours/week time spent outdoors retained a high myopia rate than ≥14 hours/week (OR = 1.250; 95% CI: 1.070-1.460). Among boys, there was no statistical correlation between time spent outdoors and myopia (P &gt; .05). For girls, compared with students who spent ≥14 hours/week outdoors, students with &lt;7 hours/week spent outdoors retained a higher myopia rate (OR = 1.355; 95%CI: 1.067-1.720).Increased time spent outdoors can delay the development of myopia. In terms of gender, girls should be targeted to more effectively prevent and control the development and progression of myopia.","container-title":"Medicine","DOI":"10.1097/MD.0000000000023462","ISSN":"1536-5964","issue":"50","journalAbbreviation":"Medicine (Baltimore)","language":"eng","note":"PMID: 33327278\nPMCID: PMC7738137","page":"e23462","source":"PubMed","title":"Association between time spent outdoors and myopia among junior high school students: A 3-wave panel study in China","title-short":"Association between time spent outdoors and myopia among junior high school students","volume":"99","author":[{"family":"Zhang","given":"Linjie"},{"family":"Wang","given":"Weidong"},{"family":"Dong","given":"Xiaoyang"},{"family":"Zhao","given":"Li"},{"family":"Peng","given":"Jia"},{"family":"Wang","given":"Ronghai"}],"issued":{"date-parts":[["2020",12,11]]}}}],"schema":"https://github.com/citation-style-language/schema/raw/master/csl-citation.json"} </w:instrText>
      </w:r>
      <w:r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[120]</w:t>
      </w:r>
      <w:r w:rsidRPr="004804AA">
        <w:rPr>
          <w:rFonts w:ascii="Times New Roman" w:eastAsiaTheme="minorHAnsi" w:hAnsi="Times New Roman" w:cs="Times New Roman"/>
          <w:sz w:val="28"/>
          <w:szCs w:val="28"/>
          <w:lang w:eastAsia="en-US"/>
        </w:rPr>
        <w:fldChar w:fldCharType="end"/>
      </w:r>
      <w:r w:rsidR="00231278">
        <w:rPr>
          <w:rFonts w:ascii="Times New Roman" w:eastAsiaTheme="minorHAnsi" w:hAnsi="Times New Roman" w:cs="Times New Roman"/>
          <w:sz w:val="28"/>
          <w:szCs w:val="28"/>
          <w:lang w:eastAsia="en-US"/>
        </w:rPr>
        <w:t>.</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Однако</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в</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том</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же</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китайском</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исследовании</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время</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проведенное</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на</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улице</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учениками</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разного</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пола</w:t>
      </w:r>
      <w:r w:rsidR="001F2580" w:rsidRPr="006E34BC">
        <w:rPr>
          <w:rFonts w:ascii="Times New Roman" w:hAnsi="Times New Roman" w:cs="Times New Roman"/>
          <w:color w:val="000000"/>
          <w:sz w:val="28"/>
          <w:szCs w:val="28"/>
          <w:shd w:val="clear" w:color="auto" w:fill="FFFFFF"/>
        </w:rPr>
        <w:t xml:space="preserve">, </w:t>
      </w:r>
      <w:r w:rsidR="00231278" w:rsidRPr="004804AA">
        <w:rPr>
          <w:rFonts w:ascii="Times New Roman" w:hAnsi="Times New Roman" w:cs="Times New Roman"/>
          <w:color w:val="000000"/>
          <w:sz w:val="28"/>
          <w:szCs w:val="28"/>
          <w:shd w:val="clear" w:color="auto" w:fill="FFFFFF"/>
        </w:rPr>
        <w:t>по</w:t>
      </w:r>
      <w:r w:rsidR="00231278" w:rsidRPr="006E34BC">
        <w:rPr>
          <w:rFonts w:ascii="Times New Roman" w:hAnsi="Times New Roman" w:cs="Times New Roman"/>
          <w:color w:val="000000"/>
          <w:sz w:val="28"/>
          <w:szCs w:val="28"/>
          <w:shd w:val="clear" w:color="auto" w:fill="FFFFFF"/>
        </w:rPr>
        <w:t>-разному</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влия</w:t>
      </w:r>
      <w:r w:rsidR="009E7C8F">
        <w:rPr>
          <w:rFonts w:ascii="Times New Roman" w:hAnsi="Times New Roman" w:cs="Times New Roman"/>
          <w:color w:val="000000"/>
          <w:sz w:val="28"/>
          <w:szCs w:val="28"/>
          <w:shd w:val="clear" w:color="auto" w:fill="FFFFFF"/>
        </w:rPr>
        <w:t>ло</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на</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развитие</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миопии</w:t>
      </w:r>
      <w:r w:rsidR="001F2580" w:rsidRPr="006E34BC">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 xml:space="preserve">По сравнению с мальчиками </w:t>
      </w:r>
      <w:r w:rsidR="00D95190" w:rsidRPr="004804AA">
        <w:rPr>
          <w:rFonts w:ascii="Times New Roman" w:hAnsi="Times New Roman" w:cs="Times New Roman"/>
          <w:color w:val="000000"/>
          <w:sz w:val="28"/>
          <w:szCs w:val="28"/>
          <w:shd w:val="clear" w:color="auto" w:fill="FFFFFF"/>
        </w:rPr>
        <w:t>(</w:t>
      </w:r>
      <w:r w:rsidR="00991DCA" w:rsidRPr="00991DCA">
        <w:rPr>
          <w:rFonts w:ascii="Times New Roman" w:hAnsi="Times New Roman" w:cs="Times New Roman"/>
          <w:color w:val="000000"/>
          <w:sz w:val="28"/>
          <w:szCs w:val="28"/>
          <w:shd w:val="clear" w:color="auto" w:fill="FFFFFF"/>
        </w:rPr>
        <w:t>ОШ</w:t>
      </w:r>
      <w:r w:rsidR="00444869">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 xml:space="preserve">1,121; 95% ДИ: 0,940. –1,336), увеличение количества времени, проведенного на открытом воздухе среди девочек </w:t>
      </w:r>
      <w:r w:rsidR="00991DCA" w:rsidRPr="00991DCA">
        <w:rPr>
          <w:rFonts w:ascii="Times New Roman" w:hAnsi="Times New Roman" w:cs="Times New Roman"/>
          <w:color w:val="000000"/>
          <w:sz w:val="28"/>
          <w:szCs w:val="28"/>
          <w:shd w:val="clear" w:color="auto" w:fill="FFFFFF"/>
        </w:rPr>
        <w:t>ОШ</w:t>
      </w:r>
      <w:r w:rsidR="00444869">
        <w:rPr>
          <w:rFonts w:ascii="Times New Roman" w:hAnsi="Times New Roman" w:cs="Times New Roman"/>
          <w:color w:val="000000"/>
          <w:sz w:val="28"/>
          <w:szCs w:val="28"/>
          <w:shd w:val="clear" w:color="auto" w:fill="FFFFFF"/>
        </w:rPr>
        <w:t xml:space="preserve"> </w:t>
      </w:r>
      <w:r w:rsidR="001F2580" w:rsidRPr="004804AA">
        <w:rPr>
          <w:rFonts w:ascii="Times New Roman" w:hAnsi="Times New Roman" w:cs="Times New Roman"/>
          <w:color w:val="000000"/>
          <w:sz w:val="28"/>
          <w:szCs w:val="28"/>
          <w:shd w:val="clear" w:color="auto" w:fill="FFFFFF"/>
        </w:rPr>
        <w:t xml:space="preserve">1,625; 95% ДИ: 1,334–1,979), было более эффективным для предотвращения миопии. </w:t>
      </w:r>
      <w:r w:rsidR="00636689" w:rsidRPr="004804AA">
        <w:rPr>
          <w:rFonts w:ascii="Times New Roman" w:hAnsi="Times New Roman" w:cs="Times New Roman"/>
          <w:sz w:val="28"/>
          <w:szCs w:val="28"/>
        </w:rPr>
        <w:t xml:space="preserve">На основании </w:t>
      </w:r>
      <w:r w:rsidR="00016F77" w:rsidRPr="004804AA">
        <w:rPr>
          <w:rFonts w:ascii="Times New Roman" w:hAnsi="Times New Roman" w:cs="Times New Roman"/>
          <w:sz w:val="28"/>
          <w:szCs w:val="28"/>
        </w:rPr>
        <w:t>этих</w:t>
      </w:r>
      <w:r w:rsidR="00636689" w:rsidRPr="004804AA">
        <w:rPr>
          <w:rFonts w:ascii="Times New Roman" w:hAnsi="Times New Roman" w:cs="Times New Roman"/>
          <w:sz w:val="28"/>
          <w:szCs w:val="28"/>
        </w:rPr>
        <w:t xml:space="preserve"> исследований, для профилактики близорукости детям рекоменд</w:t>
      </w:r>
      <w:r w:rsidR="00016F77" w:rsidRPr="004804AA">
        <w:rPr>
          <w:rFonts w:ascii="Times New Roman" w:hAnsi="Times New Roman" w:cs="Times New Roman"/>
          <w:sz w:val="28"/>
          <w:szCs w:val="28"/>
        </w:rPr>
        <w:t>овалось</w:t>
      </w:r>
      <w:r w:rsidR="00636689" w:rsidRPr="004804AA">
        <w:rPr>
          <w:rFonts w:ascii="Times New Roman" w:hAnsi="Times New Roman" w:cs="Times New Roman"/>
          <w:sz w:val="28"/>
          <w:szCs w:val="28"/>
        </w:rPr>
        <w:t xml:space="preserve"> проводить около трех часов в день при освещенности минимум 10 000 люкс. Этот уровень, соответствует освещенности в солнечных очках в яркий летний день</w:t>
      </w:r>
      <w:r w:rsidR="00231278">
        <w:rPr>
          <w:rFonts w:ascii="Times New Roman" w:hAnsi="Times New Roman" w:cs="Times New Roman"/>
          <w:sz w:val="28"/>
          <w:szCs w:val="28"/>
        </w:rPr>
        <w:t xml:space="preserve"> </w:t>
      </w:r>
      <w:r w:rsidR="00636689"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HQEHO3u","properties":{"formattedCitation":"[180]","plainCitation":"[180]","noteIndex":0},"citationItems":[{"id":921,"uris":["http://zotero.org/users/local/XMo5Fvid/items/CHQ3V92R"],"itemData":{"id":921,"type":"article-journal","container-title":"Ophthalmology","DOI":"10.1016/j.ophtha.2018.04.016","ISSN":"1549-4713","issue":"8","journalAbbreviation":"Ophthalmology","language":"eng","note":"PMID: 30032796","page":"1251-1252","source":"PubMed","title":"Myopia Prevention and Outdoor Light Intensity in a School-based Cluster Randomized Trial","volume":"125","author":[{"family":"Morgan","given":"Ian G."}],"issued":{"date-parts":[["2018"]]}}}],"schema":"https://github.com/citation-style-language/schema/raw/master/csl-citation.json"} </w:instrText>
      </w:r>
      <w:r w:rsidR="00636689"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[180]</w:t>
      </w:r>
      <w:r w:rsidR="00636689" w:rsidRPr="004804AA">
        <w:rPr>
          <w:rFonts w:ascii="Times New Roman" w:hAnsi="Times New Roman" w:cs="Times New Roman"/>
          <w:sz w:val="28"/>
          <w:szCs w:val="28"/>
        </w:rPr>
        <w:fldChar w:fldCharType="end"/>
      </w:r>
      <w:r w:rsidR="00636689" w:rsidRPr="004804AA">
        <w:rPr>
          <w:rFonts w:ascii="Times New Roman" w:hAnsi="Times New Roman" w:cs="Times New Roman"/>
          <w:sz w:val="28"/>
          <w:szCs w:val="28"/>
        </w:rPr>
        <w:t>.</w:t>
      </w:r>
      <w:r w:rsidR="00444869">
        <w:rPr>
          <w:rFonts w:ascii="Times New Roman" w:hAnsi="Times New Roman" w:cs="Times New Roman"/>
          <w:sz w:val="28"/>
          <w:szCs w:val="28"/>
        </w:rPr>
        <w:t xml:space="preserve"> </w:t>
      </w:r>
      <w:r w:rsidR="00636689" w:rsidRPr="004804AA">
        <w:rPr>
          <w:rFonts w:ascii="Times New Roman" w:hAnsi="Times New Roman" w:cs="Times New Roman"/>
          <w:sz w:val="28"/>
          <w:szCs w:val="28"/>
        </w:rPr>
        <w:t>Три или более часов ежедневного времени на открытом воздухе являются нормой для детей в Австралии, где всего около 30% 17-летних подростков имеют ту или иною степени близорукости</w:t>
      </w:r>
      <w:r w:rsidR="00231278">
        <w:rPr>
          <w:rFonts w:ascii="Times New Roman" w:hAnsi="Times New Roman" w:cs="Times New Roman"/>
          <w:sz w:val="28"/>
          <w:szCs w:val="28"/>
        </w:rPr>
        <w:t xml:space="preserve"> </w:t>
      </w:r>
      <w:r w:rsidR="00636689"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{"citationID":"NnXempr3","properties":{"formattedCitation":"[181]","plainCitation":"[181]","noteIndex":0},"citationItems":[{"id":939,"uris":["http://zotero.org/users/local/XMo5Fvid/items/X8CJRK36"],"itemData":{"id":939,"type":"article-journal","abstract":"OBJECTIVE: To compare the prevalence and risk factors for myopia in 6- and 7-year-old children of Chinese ethnicity in Sydney and Singapore.\nMETHODS: Two cross-sectional samples of age- and ethnicity-matched primary school children participated: 124 from the Sydney Myopia Study and 628 from the Singapore Cohort Study on the Risk Factors for Myopia. Cycloplegic autorefraction was used to determine myopia prevalence (spherical equivalent &lt; or = -0.5 diopter). Lifestyle activities were ascertained by questionnaire.\nRESULTS: The prevalence of myopia in 6- and 7-year-old children of Chinese ethnicity was significantly lower in Sydney (3.3%) than in Singapore (29.1%) (P &lt; .001). The prevalence of myopia in 1 or more parents was 68% in Sydney and 71% in Singapore. Children in Sydney read more books per week (P &lt; .001) and did more total near-work activity (P = .002). Children in Sydney spent more time on outdoor activities (13.75 vs 3.05 hours per week; P &lt; .001), which was the most significant factor associated with the differences in the prevalence of myopia between the 2 sites.\nCONCLUSIONS: The lower prevalence of myopia in Sydney was associated with increased hours of outdoor activities. We hypothesize that another factor contributing to the differences in the prevalence of myopia may be the early educational pressures found in Singapore but not in Sydney.","container-title":"Archives of Ophthalmology (Chicago, Ill.: 1960)","DOI":"10.1001/archopht.126.4.527","ISSN":"1538-3601","issue":"4","journalAbbreviation":"Arch. Ophthalmol.","language":"eng","note":"PMID: 18413523","page":"527-530","source":"PubMed","title":"Myopia, lifestyle, and schooling in students of Chinese ethnicity in Singapore and Sydney","volume":"126","author":[{"family":"Rose","given":"Kathryn A."},{"family":"Morgan","given":"Ian G."},{"family":"Smith","given":"Wayne"},{"family":"Burlutsky","given":"George"},{"family":"Mitchell","given":"Paul"},{"family":"Saw","given":"Seang-Mei"}],"issued":{"date-parts":[["2008",4]]}}}],"schema":"https://github.com/citation-style-language/schema/raw/master/csl-citation.json"} </w:instrText>
      </w:r>
      <w:r w:rsidR="00636689"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[181]</w:t>
      </w:r>
      <w:r w:rsidR="00636689"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r w:rsidR="00636689" w:rsidRPr="004804AA">
        <w:rPr>
          <w:rFonts w:ascii="Times New Roman" w:hAnsi="Times New Roman" w:cs="Times New Roman"/>
          <w:sz w:val="28"/>
          <w:szCs w:val="28"/>
        </w:rPr>
        <w:t xml:space="preserve"> </w:t>
      </w:r>
    </w:p>
    <w:p w14:paraId="15A22AB8" w14:textId="64B6CA59" w:rsidR="00DE7606" w:rsidRPr="004804AA" w:rsidRDefault="00DE7606"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Проведенный в 2012 году метаанализ работ, изучающих связь между временем на открытом воздухе и развитием миопии</w:t>
      </w:r>
      <w:r w:rsidR="00444869">
        <w:rPr>
          <w:rFonts w:ascii="Times New Roman" w:hAnsi="Times New Roman" w:cs="Times New Roman"/>
          <w:sz w:val="28"/>
          <w:szCs w:val="28"/>
        </w:rPr>
        <w:t xml:space="preserve"> </w:t>
      </w:r>
      <w:r w:rsidR="005A2FF5" w:rsidRPr="004804AA">
        <w:rPr>
          <w:rFonts w:ascii="Times New Roman" w:hAnsi="Times New Roman" w:cs="Times New Roman"/>
          <w:sz w:val="28"/>
          <w:szCs w:val="28"/>
        </w:rPr>
        <w:t xml:space="preserve">показал снижение шансов миопии на 2% за </w:t>
      </w:r>
      <w:r w:rsidR="009E7C8F">
        <w:rPr>
          <w:rFonts w:ascii="Times New Roman" w:hAnsi="Times New Roman" w:cs="Times New Roman"/>
          <w:sz w:val="28"/>
          <w:szCs w:val="28"/>
        </w:rPr>
        <w:t xml:space="preserve">каждый </w:t>
      </w:r>
      <w:r w:rsidR="005A2FF5" w:rsidRPr="004804AA">
        <w:rPr>
          <w:rFonts w:ascii="Times New Roman" w:hAnsi="Times New Roman" w:cs="Times New Roman"/>
          <w:sz w:val="28"/>
          <w:szCs w:val="28"/>
        </w:rPr>
        <w:t>дополнительный час времени, проведенного на открытом воздухе в неделю, после поправки на коварианты (</w:t>
      </w:r>
      <w:r w:rsidR="00991DCA">
        <w:rPr>
          <w:rFonts w:ascii="Times New Roman" w:hAnsi="Times New Roman" w:cs="Times New Roman"/>
          <w:sz w:val="28"/>
          <w:szCs w:val="28"/>
        </w:rPr>
        <w:t>ОШ</w:t>
      </w:r>
      <w:r w:rsidR="005A2FF5" w:rsidRPr="004804AA">
        <w:rPr>
          <w:rFonts w:ascii="Times New Roman" w:hAnsi="Times New Roman" w:cs="Times New Roman"/>
          <w:sz w:val="28"/>
          <w:szCs w:val="28"/>
        </w:rPr>
        <w:t xml:space="preserve"> 0,87 для дополнительного часа времени, проводимого на открытом воздухе каждый день</w:t>
      </w:r>
      <w:r w:rsidR="00AF4098" w:rsidRPr="004804AA">
        <w:rPr>
          <w:rFonts w:ascii="Times New Roman" w:hAnsi="Times New Roman" w:cs="Times New Roman"/>
          <w:sz w:val="28"/>
          <w:szCs w:val="28"/>
        </w:rPr>
        <w:t>)</w:t>
      </w:r>
      <w:r w:rsidR="00231278">
        <w:rPr>
          <w:rFonts w:ascii="Times New Roman" w:hAnsi="Times New Roman" w:cs="Times New Roman"/>
          <w:sz w:val="28"/>
          <w:szCs w:val="28"/>
        </w:rPr>
        <w:t xml:space="preserve"> </w:t>
      </w:r>
      <w:r w:rsidR="00AF4098"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{"citationID":"S8JabUW2","properties":{"formattedCitation":"[182]","plainCitation":"[182]","noteIndex":0},"citationItems":[{"id":1465,"uris":["http://zotero.org/users/local/XMo5Fvid/items/JC3V5HZ2"],"itemData":{"id":1465,"type":"article-journal","abstract":"OBJECTIVE: To summarize relevant evidence investigating the association between time spent outdoors and myopia in children and adolescents (up to 20 years).\nDESIGN: Systematic review and meta-analysis.\nPARTICIPANTS: Results from 7 cross-sectional studies were pooled in a meta-analysis. A further 16 studies (8 cross-sectional not meeting criteria for meta-analysis; 7 prospective cohort studies; 1 randomized, controlled trial [RCT]) were reported in the systematic review.\nMETHODS: The literature search included 4 databases (Medline, Embase, Web of Science, and Cochrane Central Register of Controlled Trials [CENTRAL]), and reference lists of retrieved studies. Estimates of association were pooled using random effects meta-analysis. We summarized data examining the association between time spent outdoors and prevalent myopia, incident myopia, and myopic progression.\nMAIN OUTCOME MEASURES: Pooled odds ratios (ORs) and 95% confidence intervals (CIs) for myopia for each additional hour spent outdoors per week from a meta-analysis.\nRESULTS: The pooled OR for myopia indicated a 2% reduced odds of myopia per additional hour of time spent outdoors per week, after adjustment for covariates (OR, 0.981; 95% CI, 0.973-0.990; P&lt;0.001; I(2), 44.3%). This is equivalent to an OR of 0.87 for an additional hour of time spent outdoors each day. Three prospective cohort studies provided estimates of risk of incident myopia according to time spent outdoors, adjusted for possible confounders, although estimates could not be pooled, and the quality of studies and length of follow-up times varied. Three studies (2 prospective cohort and 1 RCT) investigated time spent outdoors and myopic progression and found increasing time spent outdoors significantly reduced myopic progression.\nCONCLUSIONS: The overall findings indicate that increasing time spent outdoors may be a simple strategy by which to reduce the risk of developing myopia and its progression in children and adolescents. Therefore, further RCTs are warranted to investigate the efficacy of increasing time outdoors as a possible intervention to prevent myopia and its progression.","container-title":"Ophthalmology","DOI":"10.1016/j.ophtha.2012.04.020","ISSN":"1549-4713","issue":"10","journalAbbreviation":"Ophthalmology","language":"eng","note":"PMID: 22809757","page":"2141-2151","source":"PubMed","title":"The association between time spent outdoors and myopia in children and adolescents: a systematic review and meta-analysis","title-short":"The association between time spent outdoors and myopia in children and adolescents","volume":"119","author":[{"family":"Sherwin","given":"Justin C."},{"family":"Reacher","given":"Mark H."},{"family":"Keogh","given":"Ruth H."},{"family":"Khawaja","given":"Anthony P."},{"family":"Mackey","given":"David A."},{"family":"Foster","given":"Paul J."}],"issued":{"date-parts":[["2012",10]]}}}],"schema":"https://github.com/citation-style-language/schema/raw/master/csl-citation.json"} </w:instrText>
      </w:r>
      <w:r w:rsidR="00AF4098"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[182]</w:t>
      </w:r>
      <w:r w:rsidR="00AF4098" w:rsidRPr="004804AA">
        <w:rPr>
          <w:rFonts w:ascii="Times New Roman" w:hAnsi="Times New Roman" w:cs="Times New Roman"/>
          <w:sz w:val="28"/>
          <w:szCs w:val="28"/>
        </w:rPr>
        <w:fldChar w:fldCharType="end"/>
      </w:r>
      <w:r w:rsidR="00231278">
        <w:rPr>
          <w:rFonts w:ascii="Times New Roman" w:hAnsi="Times New Roman" w:cs="Times New Roman"/>
          <w:sz w:val="28"/>
          <w:szCs w:val="28"/>
        </w:rPr>
        <w:t>.</w:t>
      </w:r>
    </w:p>
    <w:p w14:paraId="30FC75DD" w14:textId="12A176E8" w:rsidR="00590E5B" w:rsidRPr="004804AA" w:rsidRDefault="007A3015" w:rsidP="005C37DF">
      <w:pPr>
        <w:pStyle w:val="a4"/>
        <w:ind w:firstLine="709"/>
        <w:jc w:val="both"/>
        <w:rPr>
          <w:rFonts w:ascii="Times New Roman" w:hAnsi="Times New Roman" w:cs="Times New Roman"/>
          <w:sz w:val="28"/>
          <w:szCs w:val="28"/>
        </w:rPr>
      </w:pPr>
      <w:r w:rsidRPr="004804AA">
        <w:rPr>
          <w:rFonts w:ascii="Times New Roman" w:hAnsi="Times New Roman" w:cs="Times New Roman"/>
          <w:color w:val="212121"/>
          <w:sz w:val="28"/>
          <w:szCs w:val="28"/>
          <w:shd w:val="clear" w:color="auto" w:fill="FFFFFF"/>
        </w:rPr>
        <w:t xml:space="preserve">Таким образом, </w:t>
      </w:r>
      <w:r w:rsidR="009E7C8F">
        <w:rPr>
          <w:rFonts w:ascii="Times New Roman" w:hAnsi="Times New Roman" w:cs="Times New Roman"/>
          <w:color w:val="212121"/>
          <w:sz w:val="28"/>
          <w:szCs w:val="28"/>
          <w:shd w:val="clear" w:color="auto" w:fill="FFFFFF"/>
        </w:rPr>
        <w:t>на сегодняшний день, в</w:t>
      </w:r>
      <w:r w:rsidRPr="004804AA">
        <w:rPr>
          <w:rFonts w:ascii="Times New Roman" w:hAnsi="Times New Roman" w:cs="Times New Roman"/>
          <w:color w:val="212121"/>
          <w:sz w:val="28"/>
          <w:szCs w:val="28"/>
          <w:shd w:val="clear" w:color="auto" w:fill="FFFFFF"/>
        </w:rPr>
        <w:t xml:space="preserve">ремя, проведенное на открытом воздухе, </w:t>
      </w:r>
      <w:r w:rsidR="009E7C8F">
        <w:rPr>
          <w:rFonts w:ascii="Times New Roman" w:hAnsi="Times New Roman" w:cs="Times New Roman"/>
          <w:color w:val="212121"/>
          <w:sz w:val="28"/>
          <w:szCs w:val="28"/>
          <w:shd w:val="clear" w:color="auto" w:fill="FFFFFF"/>
        </w:rPr>
        <w:t>считается</w:t>
      </w:r>
      <w:r w:rsidRPr="004804AA">
        <w:rPr>
          <w:rFonts w:ascii="Times New Roman" w:hAnsi="Times New Roman" w:cs="Times New Roman"/>
          <w:color w:val="212121"/>
          <w:sz w:val="28"/>
          <w:szCs w:val="28"/>
          <w:shd w:val="clear" w:color="auto" w:fill="FFFFFF"/>
        </w:rPr>
        <w:t xml:space="preserve"> доминирующим фактором развития близорукости у детей. </w:t>
      </w:r>
      <w:r w:rsidR="009E7C8F">
        <w:rPr>
          <w:rFonts w:ascii="Times New Roman" w:hAnsi="Times New Roman" w:cs="Times New Roman"/>
          <w:color w:val="212121"/>
          <w:sz w:val="28"/>
          <w:szCs w:val="28"/>
          <w:shd w:val="clear" w:color="auto" w:fill="FFFFFF"/>
        </w:rPr>
        <w:t>У</w:t>
      </w:r>
      <w:r w:rsidRPr="004804AA">
        <w:rPr>
          <w:rFonts w:ascii="Times New Roman" w:hAnsi="Times New Roman" w:cs="Times New Roman"/>
          <w:color w:val="212121"/>
          <w:sz w:val="28"/>
          <w:szCs w:val="28"/>
          <w:shd w:val="clear" w:color="auto" w:fill="FFFFFF"/>
        </w:rPr>
        <w:t>величение времени, проводимого на открытом воздухе, может быть простой стратегией, с помощью которой можно снизить риск развития миопии и ее прогрессирования у детей и подростков. </w:t>
      </w:r>
    </w:p>
    <w:p w14:paraId="1E068C3A" w14:textId="77777777" w:rsidR="00AE761E" w:rsidRDefault="00AE761E" w:rsidP="005C37DF">
      <w:pPr>
        <w:pStyle w:val="a4"/>
        <w:ind w:firstLine="709"/>
        <w:jc w:val="both"/>
        <w:rPr>
          <w:rFonts w:ascii="Times New Roman" w:hAnsi="Times New Roman" w:cs="Times New Roman"/>
          <w:sz w:val="28"/>
          <w:szCs w:val="28"/>
        </w:rPr>
      </w:pPr>
    </w:p>
    <w:p w14:paraId="5BBA656E" w14:textId="1D53418D" w:rsidR="006A2CE3" w:rsidRPr="004804AA" w:rsidRDefault="00AE0E7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1.3.4. </w:t>
      </w:r>
      <w:r w:rsidR="006A2CE3" w:rsidRPr="004804AA">
        <w:rPr>
          <w:rFonts w:ascii="Times New Roman" w:hAnsi="Times New Roman" w:cs="Times New Roman"/>
          <w:sz w:val="28"/>
          <w:szCs w:val="28"/>
        </w:rPr>
        <w:t>Другие факторы</w:t>
      </w:r>
    </w:p>
    <w:p w14:paraId="3F48C3A2" w14:textId="723940A2" w:rsidR="00C73A54" w:rsidRPr="004804AA" w:rsidRDefault="00C73A54" w:rsidP="005C37DF">
      <w:pPr>
        <w:pStyle w:val="a4"/>
        <w:ind w:firstLine="709"/>
        <w:jc w:val="both"/>
        <w:rPr>
          <w:rFonts w:ascii="Times New Roman" w:hAnsi="Times New Roman" w:cs="Times New Roman"/>
          <w:color w:val="000000"/>
          <w:sz w:val="28"/>
          <w:szCs w:val="28"/>
          <w:shd w:val="clear" w:color="auto" w:fill="FFFFFF"/>
        </w:rPr>
      </w:pPr>
      <w:r w:rsidRPr="002321AB">
        <w:rPr>
          <w:rFonts w:ascii="Times New Roman" w:hAnsi="Times New Roman" w:cs="Times New Roman"/>
          <w:i/>
          <w:iCs/>
          <w:color w:val="000000"/>
          <w:sz w:val="28"/>
          <w:szCs w:val="28"/>
          <w:shd w:val="clear" w:color="auto" w:fill="FFFFFF"/>
        </w:rPr>
        <w:t>Возраст</w:t>
      </w:r>
      <w:r w:rsidRPr="004804AA">
        <w:rPr>
          <w:rFonts w:ascii="Times New Roman" w:hAnsi="Times New Roman" w:cs="Times New Roman"/>
          <w:color w:val="000000"/>
          <w:sz w:val="28"/>
          <w:szCs w:val="28"/>
          <w:shd w:val="clear" w:color="auto" w:fill="FFFFFF"/>
        </w:rPr>
        <w:t xml:space="preserve">. </w:t>
      </w:r>
      <w:r w:rsidR="002321AB">
        <w:rPr>
          <w:rFonts w:ascii="Times New Roman" w:hAnsi="Times New Roman" w:cs="Times New Roman"/>
          <w:color w:val="000000"/>
          <w:sz w:val="28"/>
          <w:szCs w:val="28"/>
          <w:shd w:val="clear" w:color="auto" w:fill="FFFFFF"/>
        </w:rPr>
        <w:t>Доказано</w:t>
      </w:r>
      <w:r w:rsidR="007C606C" w:rsidRPr="004804AA">
        <w:rPr>
          <w:rFonts w:ascii="Times New Roman" w:hAnsi="Times New Roman" w:cs="Times New Roman"/>
          <w:color w:val="000000"/>
          <w:sz w:val="28"/>
          <w:szCs w:val="28"/>
          <w:shd w:val="clear" w:color="auto" w:fill="FFFFFF"/>
        </w:rPr>
        <w:t xml:space="preserve">, что более ранний дебют миопии является значительным фактором риска развития миопии высокой степени в будущем </w:t>
      </w:r>
      <w:r w:rsidR="007C606C"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{"citationID":"9cQoTfSN","properties":{"formattedCitation":"[27]","plainCitation":"[27]","noteIndex":0},"citationItems":[{"id":1729,"uris":["http://zotero.org/users/local/XMo5Fvid/items/SZQRHYSU"],"itemData":{"id":1729,"type":"article-journal","abstract":"PURPOSE: To evaluate factors associated with the development of high myopia (worse than -6.00 D) over 7 years of follow-up in the COMET cohort.\nMETHODS: COMET enrolled 469 ethnically diverse children (6-11 years) with myopia between -1.25 and -4.50 D. They were randomized to either progressive addition lenses (PALs) or single vision lenses (SVLs), and followed for 5 years in their original lens assignment and 2 additional years wearing either spectacles (PALs or SVLs) or contact lenses. Refractive error was measured annually by cycloplegic autorefraction and axial length by A-Scan ultrasonography. Myopia for each child was defined as the mean spherical equivalent refractive error (SER) of the 2 eyes. Analyses were based on 7 years of follow-up. Time to high myopia was analyzed by Cox proportional hazard models and linear regression. Parental refraction data were available from 240 COMET subjects.\nRESULTS: Younger (6-7 years) versus older (11 years) age at baseline was a significant risk factor (adjusted hazard ratio (HR) = 6.6, 95% CI = 3.4, 12.7) for having high myopia within 7 years. More (SER from -2.26 to -4.50 D) vs. less (SER from -1.25 to -2.25 D) baseline myopia was also a significant risk factor for high myopia at 7 years (adjusted HR = 7.4, 95% CI = 4.4, 12.4). Gender, ethnicity, and treatment assignment were not associated with the risk of high myopia within 7 years. Increased number of myopic parents was associated with a significant risk of high myopia in the children (p = 0.008).\nCONCLUSIONS: Children who developed high myopia during 7 years of follow-up were younger and had more myopia at baseline. They also were more likely to have two myopic parents. These children may be at greater risk for sight-threatening conditions later in life.","container-title":"Ophthalmic Epidemiology","DOI":"10.1080/01658100701486459","ISSN":"0928-6586","issue":"4","journalAbbreviation":"Ophthalmic Epidemiol","language":"eng","note":"PMID: 17896302","page":"230-237","source":"PubMed","title":"Factors associated with high myopia after 7 years of follow-up in the Correction of Myopia Evaluation Trial (COMET) Cohort","volume":"14","author":[{"family":"Gwiazda","given":"Jane"},{"family":"Hyman","given":"Leslie"},{"family":"Dong","given":"Li Ming"},{"family":"Everett","given":"Don"},{"family":"Norton","given":"Tom"},{"family":"Kurtz","given":"Dan"},{"family":"Manny","given":"Ruth"},{"family":"Marsh-Tootle","given":"Wendy"},{"family":"Scheiman","given":"Mitch"},{"literal":"Comet Group"}],"issued":{"date-parts":[["2007",8]]}}}],"schema":"https://github.com/citation-style-language/schema/raw/master/csl-citation.json"} </w:instrText>
      </w:r>
      <w:r w:rsidR="007C606C"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[27]</w:t>
      </w:r>
      <w:r w:rsidR="007C606C" w:rsidRPr="004804AA">
        <w:rPr>
          <w:rFonts w:ascii="Times New Roman" w:hAnsi="Times New Roman" w:cs="Times New Roman"/>
          <w:color w:val="000000"/>
          <w:sz w:val="28"/>
          <w:szCs w:val="28"/>
          <w:shd w:val="clear" w:color="auto" w:fill="FFFFFF"/>
        </w:rPr>
        <w:fldChar w:fldCharType="end"/>
      </w:r>
      <w:r w:rsidR="007C606C" w:rsidRPr="004804AA">
        <w:rPr>
          <w:rFonts w:ascii="Times New Roman" w:hAnsi="Times New Roman" w:cs="Times New Roman"/>
          <w:color w:val="000000"/>
          <w:sz w:val="28"/>
          <w:szCs w:val="28"/>
          <w:shd w:val="clear" w:color="auto" w:fill="FFFFFF"/>
        </w:rPr>
        <w:t xml:space="preserve">. После подросткового возраста прогрессирование миопии у большинства людей постепенно стабилизируется. Раннее начало миопии у </w:t>
      </w:r>
      <w:r w:rsidR="00984622" w:rsidRPr="004804AA">
        <w:rPr>
          <w:rFonts w:ascii="Times New Roman" w:hAnsi="Times New Roman" w:cs="Times New Roman"/>
          <w:color w:val="000000"/>
          <w:sz w:val="28"/>
          <w:szCs w:val="28"/>
          <w:shd w:val="clear" w:color="auto" w:fill="FFFFFF"/>
        </w:rPr>
        <w:t>китайских детей было</w:t>
      </w:r>
      <w:r w:rsidR="007C606C" w:rsidRPr="004804AA">
        <w:rPr>
          <w:rFonts w:ascii="Times New Roman" w:hAnsi="Times New Roman" w:cs="Times New Roman"/>
          <w:color w:val="000000"/>
          <w:sz w:val="28"/>
          <w:szCs w:val="28"/>
          <w:shd w:val="clear" w:color="auto" w:fill="FFFFFF"/>
        </w:rPr>
        <w:t xml:space="preserve"> связано с </w:t>
      </w:r>
      <w:r w:rsidR="00984622" w:rsidRPr="004804AA">
        <w:rPr>
          <w:rFonts w:ascii="Times New Roman" w:hAnsi="Times New Roman" w:cs="Times New Roman"/>
          <w:color w:val="000000"/>
          <w:sz w:val="28"/>
          <w:szCs w:val="28"/>
          <w:shd w:val="clear" w:color="auto" w:fill="FFFFFF"/>
        </w:rPr>
        <w:t xml:space="preserve">высокой скоростью прогрессирования (-1 D в год) и более долгим периодом </w:t>
      </w:r>
      <w:r w:rsidR="007C606C" w:rsidRPr="004804AA">
        <w:rPr>
          <w:rFonts w:ascii="Times New Roman" w:hAnsi="Times New Roman" w:cs="Times New Roman"/>
          <w:color w:val="000000"/>
          <w:sz w:val="28"/>
          <w:szCs w:val="28"/>
          <w:shd w:val="clear" w:color="auto" w:fill="FFFFFF"/>
        </w:rPr>
        <w:t>стабил</w:t>
      </w:r>
      <w:r w:rsidR="00984622" w:rsidRPr="004804AA">
        <w:rPr>
          <w:rFonts w:ascii="Times New Roman" w:hAnsi="Times New Roman" w:cs="Times New Roman"/>
          <w:color w:val="000000"/>
          <w:sz w:val="28"/>
          <w:szCs w:val="28"/>
          <w:shd w:val="clear" w:color="auto" w:fill="FFFFFF"/>
        </w:rPr>
        <w:t>изации</w:t>
      </w:r>
      <w:r w:rsidR="007C606C" w:rsidRPr="004804AA">
        <w:rPr>
          <w:rFonts w:ascii="Times New Roman" w:hAnsi="Times New Roman" w:cs="Times New Roman"/>
          <w:color w:val="000000"/>
          <w:sz w:val="28"/>
          <w:szCs w:val="28"/>
          <w:shd w:val="clear" w:color="auto" w:fill="FFFFFF"/>
        </w:rPr>
        <w:t xml:space="preserve"> рефракции</w:t>
      </w:r>
      <w:r w:rsidR="00907829">
        <w:rPr>
          <w:rFonts w:ascii="Times New Roman" w:hAnsi="Times New Roman" w:cs="Times New Roman"/>
          <w:color w:val="000000"/>
          <w:sz w:val="28"/>
          <w:szCs w:val="28"/>
          <w:shd w:val="clear" w:color="auto" w:fill="FFFFFF"/>
        </w:rPr>
        <w:t>.</w:t>
      </w:r>
      <w:r w:rsidR="00984622"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{"citationID":"jftwHB20","properties":{"formattedCitation":"[183]","plainCitation":"[183]","noteIndex":0},"citationItems":[{"id":1731,"uris":["http://zotero.org/users/local/XMo5Fvid/items/JZTZRCLX"],"itemData":{"id":1731,"type":"article-journal","abstract":"Although 1% atropine effectively slows myopia progression, it is associated with adverse effects, including photophobia, blurred near vision, and poor compliance. We investigated whether lower doses of atropine would control myopia progression. One hundred and eighty-six children, from 6 to 13 years of age, were treated each night with different concentrations of atropine eye drops or a control treatment for up to 2 years. The mean myopic progression in each of the groups was 0.04 +/-0.63 diopter per year (D/Y) in the 0.5% atropine group, 0.45+/-0.55 D/Y in the 0.25% atropine group, and 0.47+/-0.91 D/Y in the 0.1% atropine group. All atropine groups showed significantly less myopic progression than the control group (1.06+/-0.61 D/Y) (p&lt;0.01). Our study also showed that 61% of students in the 0.5% atropine group, 49% in the 0.25% atropine group and 42% in the 0.1% atropine group had no myopic progression. However, 4% of children in the 0.5% atropine group, 17% in the 0.25% atropine group, and 33% in the 0.1% atropine group still had fast myopic progression (&gt;-1.0 D/Y). In contrast, only 8% of the control group showed no myopic progression and 44% had fast myopic progression. These results suggest that all three concentrations of atropine had significant effects on controlling myopia; however, treatment with 0.5% atropine was the most effective.","container-title":"Journal of Ocular Pharmacology and Therapeutics: The Official Journal of the Association for Ocular Pharmacology and Therapeutics","DOI":"10.1089/jop.1999.15.85","ISSN":"1080-7683","issue":"1","journalAbbreviation":"J Ocul Pharmacol Ther","language":"eng","note":"PMID: 10048351","page":"85-90","source":"PubMed","title":"Effects of different concentrations of atropine on controlling myopia in myopic children","volume":"15","author":[{"family":"Shih","given":"Y. F."},{"family":"Chen","given":"C. H."},{"family":"Chou","given":"A. C."},{"family":"Ho","given":"T. C."},{"family":"Lin","given":"L. L."},{"family":"Hung","given":"P. T."}],"issued":{"date-parts":[["1999",2]]}}}],"schema":"https://github.com/citation-style-language/schema/raw/master/csl-citation.json"} </w:instrText>
      </w:r>
      <w:r w:rsidR="00984622"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[183]</w:t>
      </w:r>
      <w:r w:rsidR="00984622" w:rsidRPr="004804AA">
        <w:rPr>
          <w:rFonts w:ascii="Times New Roman" w:hAnsi="Times New Roman" w:cs="Times New Roman"/>
          <w:color w:val="000000"/>
          <w:sz w:val="28"/>
          <w:szCs w:val="28"/>
          <w:shd w:val="clear" w:color="auto" w:fill="FFFFFF"/>
        </w:rPr>
        <w:fldChar w:fldCharType="end"/>
      </w:r>
      <w:r w:rsidR="004665AE" w:rsidRPr="004804AA">
        <w:rPr>
          <w:rFonts w:ascii="Times New Roman" w:hAnsi="Times New Roman" w:cs="Times New Roman"/>
          <w:color w:val="000000"/>
          <w:sz w:val="28"/>
          <w:szCs w:val="28"/>
          <w:shd w:val="clear" w:color="auto" w:fill="FFFFFF"/>
        </w:rPr>
        <w:t xml:space="preserve"> </w:t>
      </w:r>
      <w:r w:rsidR="005E08BB" w:rsidRPr="004804AA">
        <w:rPr>
          <w:rFonts w:ascii="Times New Roman" w:hAnsi="Times New Roman" w:cs="Times New Roman"/>
          <w:color w:val="000000"/>
          <w:sz w:val="28"/>
          <w:szCs w:val="28"/>
          <w:shd w:val="clear" w:color="auto" w:fill="FFFFFF"/>
        </w:rPr>
        <w:t>В исследовании COMET, д</w:t>
      </w:r>
      <w:r w:rsidR="004665AE" w:rsidRPr="004804AA">
        <w:rPr>
          <w:rFonts w:ascii="Times New Roman" w:hAnsi="Times New Roman" w:cs="Times New Roman"/>
          <w:color w:val="000000"/>
          <w:sz w:val="28"/>
          <w:szCs w:val="28"/>
          <w:shd w:val="clear" w:color="auto" w:fill="FFFFFF"/>
        </w:rPr>
        <w:t>ети, имеющие уже в 6-7 летнем возрасте рефракцию менее -1,25D, имеют более высокий риск быстрого прогрессирования близорукости по сравнению с детьми с более поздним дебютом миопии</w:t>
      </w:r>
      <w:r w:rsidR="00966BEC">
        <w:rPr>
          <w:rFonts w:ascii="Times New Roman" w:hAnsi="Times New Roman" w:cs="Times New Roman"/>
          <w:color w:val="000000"/>
          <w:sz w:val="28"/>
          <w:szCs w:val="28"/>
          <w:shd w:val="clear" w:color="auto" w:fill="FFFFFF"/>
        </w:rPr>
        <w:t xml:space="preserve"> </w:t>
      </w:r>
      <w:r w:rsidR="005E08BB"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{"citationID":"4gFQsfSv","properties":{"formattedCitation":"[184]","plainCitation":"[184]","noteIndex":0},"citationItems":[{"id":1733,"uris":["http://zotero.org/users/local/XMo5Fvid/items/SME65TFL"],"itemData":{"id":1733,"type":"article-journal","abstract":"PURPOSE: To use the Gompertz function to estimate the age and the amount of myopia at stabilization and to evaluate associated factors in the Correction of Myopia Evaluation Trial (COMET) cohort, a large ethnically diverse group of myopic children.\nMETHODS: The COMET enrolled 469 ethnically diverse children aged 6 to younger than 12 years with spherical equivalent refraction between -1.25 and -4.50 diopters (D). Noncycloplegic refraction was measured semiannually for 4 years and annually thereafter. Right eye data were fit to individual Gompertz functions in participants with at least 6 years of follow-up and at least seven refraction measurements over 11 years. Function parameters were estimated using a nonlinear least squares procedure. Associated factors were evaluated using linear regression.\nRESULTS: In total, 426 participants (91%) had valid Gompertz curve fits. The mean (SD) age at myopia stabilization was 15.61 (4.17) years, and the mean (SD) amount of myopia at stabilization was -4.87 (2.01) D. Ethnicity (P &lt; 0.0001) but not sex or the number of myopic parents was associated with the age at stabilization. Ethnicity (P = 0.02) and the number of myopic parents (P = 0.01) but not sex were associated with myopia magnitude at stabilization. At stabilization, African Americans were youngest (mean age, 13.82 years) and had the least myopia (mean, -4.36 D). Participants with two versus no myopic parents had approximately 1.00 D more myopia at stabilization. The age and the amount of myopia at stabilization were correlated (r = -0.60, P &lt; 0.0001).\nCONCLUSIONS: The Gompertz function provides estimates of the age and the amount of myopia at stabilization in an ethnically diverse cohort. These findings should provide guidance on the time course of myopia and on decisions regarding the type and timing of interventions.","container-title":"Investigative Ophthalmology &amp; Visual Science","DOI":"10.1167/iovs.13-12403","ISSN":"1552-5783","issue":"13","journalAbbreviation":"Invest Ophthalmol Vis Sci","language":"eng","note":"PMID: 24159085\nPMCID: PMC3850666","page":"7871-7884","source":"PubMed","title":"Myopia stabilization and associated factors among participants in the Correction of Myopia Evaluation Trial (COMET)","volume":"54","author":[{"literal":"COMET Group"}],"issued":{"date-parts":[["2013",12,3]]}}}],"schema":"https://github.com/citation-style-language/schema/raw/master/csl-citation.json"} </w:instrText>
      </w:r>
      <w:r w:rsidR="005E08BB"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[184]</w:t>
      </w:r>
      <w:r w:rsidR="005E08BB" w:rsidRPr="004804AA">
        <w:rPr>
          <w:rFonts w:ascii="Times New Roman" w:hAnsi="Times New Roman" w:cs="Times New Roman"/>
          <w:color w:val="000000"/>
          <w:sz w:val="28"/>
          <w:szCs w:val="28"/>
          <w:shd w:val="clear" w:color="auto" w:fill="FFFFFF"/>
        </w:rPr>
        <w:fldChar w:fldCharType="end"/>
      </w:r>
      <w:r w:rsidR="00966BEC">
        <w:rPr>
          <w:rFonts w:ascii="Times New Roman" w:hAnsi="Times New Roman" w:cs="Times New Roman"/>
          <w:color w:val="000000"/>
          <w:sz w:val="28"/>
          <w:szCs w:val="28"/>
          <w:shd w:val="clear" w:color="auto" w:fill="FFFFFF"/>
        </w:rPr>
        <w:t>.</w:t>
      </w:r>
      <w:r w:rsidR="004665AE" w:rsidRPr="004804AA">
        <w:rPr>
          <w:rFonts w:ascii="Times New Roman" w:hAnsi="Times New Roman" w:cs="Times New Roman"/>
          <w:color w:val="000000"/>
          <w:sz w:val="28"/>
          <w:szCs w:val="28"/>
          <w:shd w:val="clear" w:color="auto" w:fill="FFFFFF"/>
        </w:rPr>
        <w:t xml:space="preserve"> </w:t>
      </w:r>
      <w:r w:rsidR="005E08BB" w:rsidRPr="004804AA">
        <w:rPr>
          <w:rFonts w:ascii="Times New Roman" w:hAnsi="Times New Roman" w:cs="Times New Roman"/>
          <w:color w:val="000000"/>
          <w:sz w:val="28"/>
          <w:szCs w:val="28"/>
          <w:shd w:val="clear" w:color="auto" w:fill="FFFFFF"/>
        </w:rPr>
        <w:t>Таким образом</w:t>
      </w:r>
      <w:r w:rsidR="007C606C" w:rsidRPr="004804AA">
        <w:rPr>
          <w:rFonts w:ascii="Times New Roman" w:hAnsi="Times New Roman" w:cs="Times New Roman"/>
          <w:color w:val="000000"/>
          <w:sz w:val="28"/>
          <w:szCs w:val="28"/>
          <w:shd w:val="clear" w:color="auto" w:fill="FFFFFF"/>
        </w:rPr>
        <w:t>, отсрочка начала миопи</w:t>
      </w:r>
      <w:r w:rsidR="00792030" w:rsidRPr="004804AA">
        <w:rPr>
          <w:rFonts w:ascii="Times New Roman" w:hAnsi="Times New Roman" w:cs="Times New Roman"/>
          <w:color w:val="000000"/>
          <w:sz w:val="28"/>
          <w:szCs w:val="28"/>
          <w:shd w:val="clear" w:color="auto" w:fill="FFFFFF"/>
        </w:rPr>
        <w:t>зации</w:t>
      </w:r>
      <w:r w:rsidR="007C606C" w:rsidRPr="004804AA">
        <w:rPr>
          <w:rFonts w:ascii="Times New Roman" w:hAnsi="Times New Roman" w:cs="Times New Roman"/>
          <w:color w:val="000000"/>
          <w:sz w:val="28"/>
          <w:szCs w:val="28"/>
          <w:shd w:val="clear" w:color="auto" w:fill="FFFFFF"/>
        </w:rPr>
        <w:t xml:space="preserve"> и замедление </w:t>
      </w:r>
      <w:r w:rsidR="00792030" w:rsidRPr="004804AA">
        <w:rPr>
          <w:rFonts w:ascii="Times New Roman" w:hAnsi="Times New Roman" w:cs="Times New Roman"/>
          <w:color w:val="000000"/>
          <w:sz w:val="28"/>
          <w:szCs w:val="28"/>
          <w:shd w:val="clear" w:color="auto" w:fill="FFFFFF"/>
        </w:rPr>
        <w:t>темпов ее п</w:t>
      </w:r>
      <w:r w:rsidR="007C606C" w:rsidRPr="004804AA">
        <w:rPr>
          <w:rFonts w:ascii="Times New Roman" w:hAnsi="Times New Roman" w:cs="Times New Roman"/>
          <w:color w:val="000000"/>
          <w:sz w:val="28"/>
          <w:szCs w:val="28"/>
          <w:shd w:val="clear" w:color="auto" w:fill="FFFFFF"/>
        </w:rPr>
        <w:t xml:space="preserve">рогрессирования у </w:t>
      </w:r>
      <w:r w:rsidR="00792030" w:rsidRPr="004804AA">
        <w:rPr>
          <w:rFonts w:ascii="Times New Roman" w:hAnsi="Times New Roman" w:cs="Times New Roman"/>
          <w:color w:val="000000"/>
          <w:sz w:val="28"/>
          <w:szCs w:val="28"/>
          <w:shd w:val="clear" w:color="auto" w:fill="FFFFFF"/>
        </w:rPr>
        <w:t xml:space="preserve">детей </w:t>
      </w:r>
      <w:r w:rsidR="007C606C" w:rsidRPr="004804AA">
        <w:rPr>
          <w:rFonts w:ascii="Times New Roman" w:hAnsi="Times New Roman" w:cs="Times New Roman"/>
          <w:color w:val="000000"/>
          <w:sz w:val="28"/>
          <w:szCs w:val="28"/>
          <w:shd w:val="clear" w:color="auto" w:fill="FFFFFF"/>
        </w:rPr>
        <w:t>потенциально является ключом к уменьшению миопии высокой степени в более позднем возрасте.</w:t>
      </w:r>
      <w:r w:rsidR="00792030" w:rsidRPr="004804AA">
        <w:rPr>
          <w:rFonts w:ascii="Times New Roman" w:hAnsi="Times New Roman" w:cs="Times New Roman"/>
          <w:color w:val="000000"/>
          <w:sz w:val="28"/>
          <w:szCs w:val="28"/>
          <w:shd w:val="clear" w:color="auto" w:fill="FFFFFF"/>
        </w:rPr>
        <w:t xml:space="preserve"> </w:t>
      </w:r>
    </w:p>
    <w:p w14:paraId="5FCA47D6" w14:textId="58439FFB" w:rsidR="00C73A54" w:rsidRPr="004804AA" w:rsidRDefault="00703F95" w:rsidP="005C37DF">
      <w:pPr>
        <w:pStyle w:val="a4"/>
        <w:ind w:firstLine="709"/>
        <w:jc w:val="both"/>
        <w:rPr>
          <w:rFonts w:ascii="Times New Roman" w:hAnsi="Times New Roman" w:cs="Times New Roman"/>
          <w:color w:val="000000"/>
          <w:sz w:val="28"/>
          <w:szCs w:val="28"/>
          <w:shd w:val="clear" w:color="auto" w:fill="FFFFFF"/>
        </w:rPr>
      </w:pPr>
      <w:r w:rsidRPr="002321AB">
        <w:rPr>
          <w:rFonts w:ascii="Times New Roman" w:hAnsi="Times New Roman" w:cs="Times New Roman"/>
          <w:i/>
          <w:iCs/>
          <w:color w:val="000000"/>
          <w:sz w:val="28"/>
          <w:szCs w:val="28"/>
          <w:shd w:val="clear" w:color="auto" w:fill="FFFFFF"/>
        </w:rPr>
        <w:t>Этническая принадлежность</w:t>
      </w:r>
      <w:r w:rsidRPr="004804AA">
        <w:rPr>
          <w:rFonts w:ascii="Times New Roman" w:hAnsi="Times New Roman" w:cs="Times New Roman"/>
          <w:color w:val="000000"/>
          <w:sz w:val="28"/>
          <w:szCs w:val="28"/>
          <w:shd w:val="clear" w:color="auto" w:fill="FFFFFF"/>
        </w:rPr>
        <w:t xml:space="preserve">. Распространенность миопии во всем мире сильно варьируется в зависимости от региональных и этнических различий. Распространенность миопии превышает </w:t>
      </w:r>
      <w:r w:rsidR="00324911" w:rsidRPr="004804AA">
        <w:rPr>
          <w:rFonts w:ascii="Times New Roman" w:hAnsi="Times New Roman" w:cs="Times New Roman"/>
          <w:color w:val="000000"/>
          <w:sz w:val="28"/>
          <w:szCs w:val="28"/>
          <w:shd w:val="clear" w:color="auto" w:fill="FFFFFF"/>
        </w:rPr>
        <w:t>90</w:t>
      </w:r>
      <w:r w:rsidRPr="004804AA">
        <w:rPr>
          <w:rFonts w:ascii="Times New Roman" w:hAnsi="Times New Roman" w:cs="Times New Roman"/>
          <w:color w:val="000000"/>
          <w:sz w:val="28"/>
          <w:szCs w:val="28"/>
          <w:shd w:val="clear" w:color="auto" w:fill="FFFFFF"/>
        </w:rPr>
        <w:t>% в некоторых регионах Восточной Азии,</w:t>
      </w:r>
      <w:r w:rsidR="00324911" w:rsidRPr="004804AA">
        <w:rPr>
          <w:rFonts w:ascii="Times New Roman" w:hAnsi="Times New Roman" w:cs="Times New Roman"/>
          <w:color w:val="000000"/>
          <w:sz w:val="28"/>
          <w:szCs w:val="28"/>
          <w:shd w:val="clear" w:color="auto" w:fill="FFFFFF"/>
        </w:rPr>
        <w:t xml:space="preserve"> но</w:t>
      </w:r>
      <w:r w:rsidRPr="004804AA">
        <w:rPr>
          <w:rFonts w:ascii="Times New Roman" w:hAnsi="Times New Roman" w:cs="Times New Roman"/>
          <w:color w:val="000000"/>
          <w:sz w:val="28"/>
          <w:szCs w:val="28"/>
          <w:shd w:val="clear" w:color="auto" w:fill="FFFFFF"/>
        </w:rPr>
        <w:t xml:space="preserve"> </w:t>
      </w:r>
      <w:r w:rsidR="00324911" w:rsidRPr="004804AA">
        <w:rPr>
          <w:rFonts w:ascii="Times New Roman" w:hAnsi="Times New Roman" w:cs="Times New Roman"/>
          <w:color w:val="000000"/>
          <w:sz w:val="28"/>
          <w:szCs w:val="28"/>
          <w:shd w:val="clear" w:color="auto" w:fill="FFFFFF"/>
        </w:rPr>
        <w:t xml:space="preserve">составляет &lt;10% в африканских странах. </w:t>
      </w:r>
      <w:bookmarkStart w:id="5" w:name="_Hlk100571854"/>
      <w:r w:rsidR="00324911" w:rsidRPr="004804AA">
        <w:rPr>
          <w:rFonts w:ascii="Times New Roman" w:hAnsi="Times New Roman" w:cs="Times New Roman"/>
          <w:color w:val="000000"/>
          <w:sz w:val="28"/>
          <w:szCs w:val="28"/>
          <w:shd w:val="clear" w:color="auto" w:fill="FFFFFF"/>
        </w:rPr>
        <w:t xml:space="preserve">Высокая частота и тяжесть близорукости в странах Азии </w:t>
      </w:r>
      <w:bookmarkEnd w:id="5"/>
      <w:r w:rsidR="00324911" w:rsidRPr="004804AA">
        <w:rPr>
          <w:rFonts w:ascii="Times New Roman" w:hAnsi="Times New Roman" w:cs="Times New Roman"/>
          <w:color w:val="000000"/>
          <w:sz w:val="28"/>
          <w:szCs w:val="28"/>
          <w:shd w:val="clear" w:color="auto" w:fill="FFFFFF"/>
        </w:rPr>
        <w:t>привела к появлению термина «азиатская миопия».</w:t>
      </w:r>
      <w:r w:rsidRPr="004804AA">
        <w:rPr>
          <w:rFonts w:ascii="Times New Roman" w:hAnsi="Times New Roman" w:cs="Times New Roman"/>
          <w:color w:val="000000"/>
          <w:sz w:val="28"/>
          <w:szCs w:val="28"/>
          <w:shd w:val="clear" w:color="auto" w:fill="FFFFFF"/>
        </w:rPr>
        <w:t xml:space="preserve"> В исследовании COMET когорта участников афроамериканцев имела более ранний средний возраст стабилизации миопии (13,8 года против 15,4 у европейских детей) и, следовательно, наименьш</w:t>
      </w:r>
      <w:r w:rsidR="00324911" w:rsidRPr="004804AA">
        <w:rPr>
          <w:rFonts w:ascii="Times New Roman" w:hAnsi="Times New Roman" w:cs="Times New Roman"/>
          <w:color w:val="000000"/>
          <w:sz w:val="28"/>
          <w:szCs w:val="28"/>
          <w:shd w:val="clear" w:color="auto" w:fill="FFFFFF"/>
        </w:rPr>
        <w:t>ую среднюю степень</w:t>
      </w:r>
      <w:r w:rsidRPr="004804AA">
        <w:rPr>
          <w:rFonts w:ascii="Times New Roman" w:hAnsi="Times New Roman" w:cs="Times New Roman"/>
          <w:color w:val="000000"/>
          <w:sz w:val="28"/>
          <w:szCs w:val="28"/>
          <w:shd w:val="clear" w:color="auto" w:fill="FFFFFF"/>
        </w:rPr>
        <w:t xml:space="preserve"> миопи</w:t>
      </w:r>
      <w:r w:rsidR="00324911" w:rsidRPr="004804AA">
        <w:rPr>
          <w:rFonts w:ascii="Times New Roman" w:hAnsi="Times New Roman" w:cs="Times New Roman"/>
          <w:color w:val="000000"/>
          <w:sz w:val="28"/>
          <w:szCs w:val="28"/>
          <w:shd w:val="clear" w:color="auto" w:fill="FFFFFF"/>
        </w:rPr>
        <w:t>ческих изменений</w:t>
      </w:r>
      <w:r w:rsidRPr="004804AA">
        <w:rPr>
          <w:rFonts w:ascii="Times New Roman" w:hAnsi="Times New Roman" w:cs="Times New Roman"/>
          <w:color w:val="000000"/>
          <w:sz w:val="28"/>
          <w:szCs w:val="28"/>
          <w:shd w:val="clear" w:color="auto" w:fill="FFFFFF"/>
        </w:rPr>
        <w:t xml:space="preserve"> по сравнению с другими этническими группами</w:t>
      </w:r>
      <w:r w:rsidR="00966BEC">
        <w:rPr>
          <w:rFonts w:ascii="Times New Roman" w:hAnsi="Times New Roman" w:cs="Times New Roman"/>
          <w:color w:val="000000"/>
          <w:sz w:val="28"/>
          <w:szCs w:val="28"/>
          <w:shd w:val="clear" w:color="auto" w:fill="FFFFFF"/>
        </w:rPr>
        <w:t xml:space="preserve"> </w:t>
      </w:r>
      <w:r w:rsidR="00DE130E"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{"citationID":"GkXDGJVZ","properties":{"formattedCitation":"[184]","plainCitation":"[184]","noteIndex":0},"citationItems":[{"id":1733,"uris":["http://zotero.org/users/local/XMo5Fvid/items/SME65TFL"],"itemData":{"id":1733,"type":"article-journal","abstract":"PURPOSE: To use the Gompertz function to estimate the age and the amount of myopia at stabilization and to evaluate associated factors in the Correction of Myopia Evaluation Trial (COMET) cohort, a large ethnically diverse group of myopic children.\nMETHODS: The COMET enrolled 469 ethnically diverse children aged 6 to younger than 12 years with spherical equivalent refraction between -1.25 and -4.50 diopters (D). Noncycloplegic refraction was measured semiannually for 4 years and annually thereafter. Right eye data were fit to individual Gompertz functions in participants with at least 6 years of follow-up and at least seven refraction measurements over 11 years. Function parameters were estimated using a nonlinear least squares procedure. Associated factors were evaluated using linear regression.\nRESULTS: In total, 426 participants (91%) had valid Gompertz curve fits. The mean (SD) age at myopia stabilization was 15.61 (4.17) years, and the mean (SD) amount of myopia at stabilization was -4.87 (2.01) D. Ethnicity (P &lt; 0.0001) but not sex or the number of myopic parents was associated with the age at stabilization. Ethnicity (P = 0.02) and the number of myopic parents (P = 0.01) but not sex were associated with myopia magnitude at stabilization. At stabilization, African Americans were youngest (mean age, 13.82 years) and had the least myopia (mean, -4.36 D). Participants with two versus no myopic parents had approximately 1.00 D more myopia at stabilization. The age and the amount of myopia at stabilization were correlated (r = -0.60, P &lt; 0.0001).\nCONCLUSIONS: The Gompertz function provides estimates of the age and the amount of myopia at stabilization in an ethnically diverse cohort. These findings should provide guidance on the time course of myopia and on decisions regarding the type and timing of interventions.","container-title":"Investigative Ophthalmology &amp; Visual Science","DOI":"10.1167/iovs.13-12403","ISSN":"1552-5783","issue":"13","journalAbbreviation":"Invest Ophthalmol Vis Sci","language":"eng","note":"PMID: 24159085\nPMCID: PMC3850666","page":"7871-7884","source":"PubMed","title":"Myopia stabilization and associated factors among participants in the Correction of Myopia Evaluation Trial (COMET)","volume":"54","author":[{"literal":"COMET Group"}],"issued":{"date-parts":[["2013",12,3]]}}}],"schema":"https://github.com/citation-style-language/schema/raw/master/csl-citation.json"} </w:instrText>
      </w:r>
      <w:r w:rsidR="00DE130E"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[184]</w:t>
      </w:r>
      <w:r w:rsidR="00DE130E" w:rsidRPr="004804AA">
        <w:rPr>
          <w:rFonts w:ascii="Times New Roman" w:hAnsi="Times New Roman" w:cs="Times New Roman"/>
          <w:color w:val="000000"/>
          <w:sz w:val="28"/>
          <w:szCs w:val="28"/>
          <w:shd w:val="clear" w:color="auto" w:fill="FFFFFF"/>
        </w:rPr>
        <w:fldChar w:fldCharType="end"/>
      </w:r>
      <w:r w:rsidR="00966BEC">
        <w:rPr>
          <w:rFonts w:ascii="Times New Roman" w:hAnsi="Times New Roman" w:cs="Times New Roman"/>
          <w:color w:val="000000"/>
          <w:sz w:val="28"/>
          <w:szCs w:val="28"/>
          <w:shd w:val="clear" w:color="auto" w:fill="FFFFFF"/>
        </w:rPr>
        <w:t>.</w:t>
      </w:r>
    </w:p>
    <w:p w14:paraId="6AFE592A" w14:textId="0AEAE127" w:rsidR="00FA3FC2" w:rsidRPr="004804AA" w:rsidRDefault="009E043E"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color w:val="212121"/>
          <w:sz w:val="28"/>
          <w:szCs w:val="28"/>
          <w:shd w:val="clear" w:color="auto" w:fill="FFFFFF"/>
        </w:rPr>
        <w:t>Стоит также отметить, что н</w:t>
      </w:r>
      <w:r w:rsidR="006A2CE3" w:rsidRPr="004804AA">
        <w:rPr>
          <w:rFonts w:ascii="Times New Roman" w:hAnsi="Times New Roman" w:cs="Times New Roman"/>
          <w:color w:val="212121"/>
          <w:sz w:val="28"/>
          <w:szCs w:val="28"/>
          <w:shd w:val="clear" w:color="auto" w:fill="FFFFFF"/>
        </w:rPr>
        <w:t>епрекращающиеся попытки выявить факторы</w:t>
      </w:r>
      <w:r>
        <w:rPr>
          <w:rFonts w:ascii="Times New Roman" w:hAnsi="Times New Roman" w:cs="Times New Roman"/>
          <w:color w:val="212121"/>
          <w:sz w:val="28"/>
          <w:szCs w:val="28"/>
          <w:shd w:val="clear" w:color="auto" w:fill="FFFFFF"/>
        </w:rPr>
        <w:t xml:space="preserve">, способствующие </w:t>
      </w:r>
      <w:r w:rsidR="006A2CE3" w:rsidRPr="004804AA">
        <w:rPr>
          <w:rFonts w:ascii="Times New Roman" w:hAnsi="Times New Roman" w:cs="Times New Roman"/>
          <w:color w:val="212121"/>
          <w:sz w:val="28"/>
          <w:szCs w:val="28"/>
          <w:shd w:val="clear" w:color="auto" w:fill="FFFFFF"/>
        </w:rPr>
        <w:t>развити</w:t>
      </w:r>
      <w:r>
        <w:rPr>
          <w:rFonts w:ascii="Times New Roman" w:hAnsi="Times New Roman" w:cs="Times New Roman"/>
          <w:color w:val="212121"/>
          <w:sz w:val="28"/>
          <w:szCs w:val="28"/>
          <w:shd w:val="clear" w:color="auto" w:fill="FFFFFF"/>
        </w:rPr>
        <w:t>ю</w:t>
      </w:r>
      <w:r w:rsidR="006A2CE3" w:rsidRPr="004804AA">
        <w:rPr>
          <w:rFonts w:ascii="Times New Roman" w:hAnsi="Times New Roman" w:cs="Times New Roman"/>
          <w:color w:val="212121"/>
          <w:sz w:val="28"/>
          <w:szCs w:val="28"/>
          <w:shd w:val="clear" w:color="auto" w:fill="FFFFFF"/>
        </w:rPr>
        <w:t xml:space="preserve"> миопии, в том числе миопии с ранним началом, прив</w:t>
      </w:r>
      <w:r>
        <w:rPr>
          <w:rFonts w:ascii="Times New Roman" w:hAnsi="Times New Roman" w:cs="Times New Roman"/>
          <w:color w:val="212121"/>
          <w:sz w:val="28"/>
          <w:szCs w:val="28"/>
          <w:shd w:val="clear" w:color="auto" w:fill="FFFFFF"/>
        </w:rPr>
        <w:t>одят помимо прочего к</w:t>
      </w:r>
      <w:r w:rsidR="006A2CE3" w:rsidRPr="004804AA">
        <w:rPr>
          <w:rFonts w:ascii="Times New Roman" w:hAnsi="Times New Roman" w:cs="Times New Roman"/>
          <w:color w:val="212121"/>
          <w:sz w:val="28"/>
          <w:szCs w:val="28"/>
          <w:shd w:val="clear" w:color="auto" w:fill="FFFFFF"/>
        </w:rPr>
        <w:t xml:space="preserve"> ряду неоднозначных результатов: так, </w:t>
      </w:r>
      <w:r w:rsidR="006A2CE3" w:rsidRPr="004804AA">
        <w:rPr>
          <w:rFonts w:ascii="Times New Roman" w:hAnsi="Times New Roman" w:cs="Times New Roman"/>
          <w:color w:val="212121"/>
          <w:sz w:val="28"/>
          <w:szCs w:val="28"/>
          <w:shd w:val="clear" w:color="auto" w:fill="FFFFFF"/>
          <w:lang w:val="en-US"/>
        </w:rPr>
        <w:t>C</w:t>
      </w:r>
      <w:r w:rsidR="006A2CE3" w:rsidRPr="004804AA">
        <w:rPr>
          <w:rFonts w:ascii="Times New Roman" w:hAnsi="Times New Roman" w:cs="Times New Roman"/>
          <w:color w:val="212121"/>
          <w:sz w:val="28"/>
          <w:szCs w:val="28"/>
          <w:shd w:val="clear" w:color="auto" w:fill="FFFFFF"/>
        </w:rPr>
        <w:t>.</w:t>
      </w:r>
      <w:r w:rsidR="006A2CE3" w:rsidRPr="004804AA">
        <w:rPr>
          <w:rFonts w:ascii="Times New Roman" w:hAnsi="Times New Roman" w:cs="Times New Roman"/>
          <w:color w:val="212121"/>
          <w:sz w:val="28"/>
          <w:szCs w:val="28"/>
          <w:shd w:val="clear" w:color="auto" w:fill="FFFFFF"/>
          <w:lang w:val="en-US"/>
        </w:rPr>
        <w:t>Williams</w:t>
      </w:r>
      <w:r w:rsidR="006A2CE3" w:rsidRPr="004804AA">
        <w:rPr>
          <w:rFonts w:ascii="Times New Roman" w:hAnsi="Times New Roman" w:cs="Times New Roman"/>
          <w:color w:val="212121"/>
          <w:sz w:val="28"/>
          <w:szCs w:val="28"/>
          <w:shd w:val="clear" w:color="auto" w:fill="FFFFFF"/>
        </w:rPr>
        <w:t xml:space="preserve"> с соавторами (2019) в исследовании </w:t>
      </w:r>
      <w:r w:rsidR="006A2CE3" w:rsidRPr="004804AA">
        <w:rPr>
          <w:rFonts w:ascii="Times New Roman" w:hAnsi="Times New Roman" w:cs="Times New Roman"/>
          <w:color w:val="000000"/>
          <w:sz w:val="28"/>
          <w:szCs w:val="28"/>
          <w:shd w:val="clear" w:color="auto" w:fill="FFFFFF"/>
        </w:rPr>
        <w:t xml:space="preserve">Avon Longitudinal Study of Parents and Children (ALSPAC), проводимом на Юго-Западе Англии </w:t>
      </w:r>
      <w:r w:rsidR="006A2CE3" w:rsidRPr="004804AA">
        <w:rPr>
          <w:rFonts w:ascii="Times New Roman" w:hAnsi="Times New Roman" w:cs="Times New Roman"/>
          <w:color w:val="212121"/>
          <w:sz w:val="28"/>
          <w:szCs w:val="28"/>
          <w:shd w:val="clear" w:color="auto" w:fill="FFFFFF"/>
        </w:rPr>
        <w:t>обнаружили, что распространенность миопии в возрасте 7 лет была ниже, если бабушка по отцовской линии курила во время беременности (</w:t>
      </w:r>
      <w:r w:rsidR="00991DCA">
        <w:rPr>
          <w:rFonts w:ascii="Times New Roman" w:hAnsi="Times New Roman" w:cs="Times New Roman"/>
          <w:color w:val="212121"/>
          <w:sz w:val="28"/>
          <w:szCs w:val="28"/>
          <w:shd w:val="clear" w:color="auto" w:fill="FFFFFF"/>
        </w:rPr>
        <w:t>ОШ</w:t>
      </w:r>
      <w:r w:rsidR="00444869">
        <w:rPr>
          <w:rFonts w:ascii="Times New Roman" w:hAnsi="Times New Roman" w:cs="Times New Roman"/>
          <w:color w:val="212121"/>
          <w:sz w:val="28"/>
          <w:szCs w:val="28"/>
          <w:shd w:val="clear" w:color="auto" w:fill="FFFFFF"/>
        </w:rPr>
        <w:t xml:space="preserve"> </w:t>
      </w:r>
      <w:r w:rsidR="006A2CE3" w:rsidRPr="004804AA">
        <w:rPr>
          <w:rFonts w:ascii="Times New Roman" w:hAnsi="Times New Roman" w:cs="Times New Roman"/>
          <w:color w:val="212121"/>
          <w:sz w:val="28"/>
          <w:szCs w:val="28"/>
          <w:shd w:val="clear" w:color="auto" w:fill="FFFFFF"/>
        </w:rPr>
        <w:t>0,49</w:t>
      </w:r>
      <w:r w:rsidR="00907829">
        <w:rPr>
          <w:rFonts w:ascii="Times New Roman" w:hAnsi="Times New Roman" w:cs="Times New Roman"/>
          <w:color w:val="212121"/>
          <w:sz w:val="28"/>
          <w:szCs w:val="28"/>
          <w:shd w:val="clear" w:color="auto" w:fill="FFFFFF"/>
        </w:rPr>
        <w:t xml:space="preserve">; </w:t>
      </w:r>
      <w:r w:rsidR="006A2CE3" w:rsidRPr="004804AA">
        <w:rPr>
          <w:rFonts w:ascii="Times New Roman" w:hAnsi="Times New Roman" w:cs="Times New Roman"/>
          <w:color w:val="212121"/>
          <w:sz w:val="28"/>
          <w:szCs w:val="28"/>
          <w:shd w:val="clear" w:color="auto" w:fill="FFFFFF"/>
        </w:rPr>
        <w:t>95%</w:t>
      </w:r>
      <w:r w:rsidR="00907829">
        <w:rPr>
          <w:rFonts w:ascii="Times New Roman" w:hAnsi="Times New Roman" w:cs="Times New Roman"/>
          <w:color w:val="212121"/>
          <w:sz w:val="28"/>
          <w:szCs w:val="28"/>
          <w:shd w:val="clear" w:color="auto" w:fill="FFFFFF"/>
        </w:rPr>
        <w:t xml:space="preserve">; </w:t>
      </w:r>
      <w:r w:rsidR="006A2CE3" w:rsidRPr="004804AA">
        <w:rPr>
          <w:rFonts w:ascii="Times New Roman" w:hAnsi="Times New Roman" w:cs="Times New Roman"/>
          <w:color w:val="212121"/>
          <w:sz w:val="28"/>
          <w:szCs w:val="28"/>
          <w:shd w:val="clear" w:color="auto" w:fill="FFFFFF"/>
        </w:rPr>
        <w:t>ДИ 0,32</w:t>
      </w:r>
      <w:r w:rsidR="00907829">
        <w:rPr>
          <w:rFonts w:ascii="Times New Roman" w:hAnsi="Times New Roman" w:cs="Times New Roman"/>
          <w:color w:val="212121"/>
          <w:sz w:val="28"/>
          <w:szCs w:val="28"/>
          <w:shd w:val="clear" w:color="auto" w:fill="FFFFFF"/>
        </w:rPr>
        <w:t>-</w:t>
      </w:r>
      <w:r w:rsidR="006A2CE3" w:rsidRPr="004804AA">
        <w:rPr>
          <w:rFonts w:ascii="Times New Roman" w:hAnsi="Times New Roman" w:cs="Times New Roman"/>
          <w:color w:val="212121"/>
          <w:sz w:val="28"/>
          <w:szCs w:val="28"/>
          <w:shd w:val="clear" w:color="auto" w:fill="FFFFFF"/>
        </w:rPr>
        <w:t>0,75)</w:t>
      </w:r>
      <w:r w:rsidR="0075549B" w:rsidRPr="004804AA">
        <w:rPr>
          <w:rFonts w:ascii="Times New Roman" w:hAnsi="Times New Roman" w:cs="Times New Roman"/>
          <w:color w:val="212121"/>
          <w:sz w:val="28"/>
          <w:szCs w:val="28"/>
          <w:shd w:val="clear" w:color="auto" w:fill="FFFFFF"/>
        </w:rPr>
        <w:t>.</w:t>
      </w:r>
      <w:r w:rsidR="006A2CE3" w:rsidRPr="004804AA">
        <w:rPr>
          <w:rFonts w:ascii="Times New Roman" w:hAnsi="Times New Roman" w:cs="Times New Roman"/>
          <w:color w:val="212121"/>
          <w:sz w:val="28"/>
          <w:szCs w:val="28"/>
          <w:shd w:val="clear" w:color="auto" w:fill="FFFFFF"/>
        </w:rPr>
        <w:t xml:space="preserve"> Наблюдалось более слабое, не зависящее от пола, снижение </w:t>
      </w:r>
      <w:r w:rsidR="006A2CE3" w:rsidRPr="004804AA">
        <w:rPr>
          <w:rFonts w:ascii="Times New Roman" w:hAnsi="Times New Roman" w:cs="Times New Roman"/>
          <w:color w:val="212121"/>
          <w:sz w:val="28"/>
          <w:szCs w:val="28"/>
          <w:shd w:val="clear" w:color="auto" w:fill="FFFFFF"/>
        </w:rPr>
        <w:lastRenderedPageBreak/>
        <w:t>распространенности миопии в возрасте 7 лет, если бабушка по материнской линии курила во время беременности (</w:t>
      </w:r>
      <w:r w:rsidR="00991DCA">
        <w:rPr>
          <w:rFonts w:ascii="Times New Roman" w:hAnsi="Times New Roman" w:cs="Times New Roman"/>
          <w:color w:val="000000"/>
          <w:sz w:val="28"/>
          <w:szCs w:val="28"/>
          <w:shd w:val="clear" w:color="auto" w:fill="FFFFFF"/>
        </w:rPr>
        <w:t>ОШ</w:t>
      </w:r>
      <w:r w:rsidR="00444869">
        <w:rPr>
          <w:rFonts w:ascii="Times New Roman" w:hAnsi="Times New Roman" w:cs="Times New Roman"/>
          <w:color w:val="000000"/>
          <w:sz w:val="28"/>
          <w:szCs w:val="28"/>
          <w:shd w:val="clear" w:color="auto" w:fill="FFFFFF"/>
        </w:rPr>
        <w:t xml:space="preserve"> </w:t>
      </w:r>
      <w:r w:rsidR="006A2CE3" w:rsidRPr="004804AA">
        <w:rPr>
          <w:rFonts w:ascii="Times New Roman" w:hAnsi="Times New Roman" w:cs="Times New Roman"/>
          <w:color w:val="000000"/>
          <w:sz w:val="28"/>
          <w:szCs w:val="28"/>
          <w:shd w:val="clear" w:color="auto" w:fill="FFFFFF"/>
        </w:rPr>
        <w:t>0,62</w:t>
      </w:r>
      <w:r w:rsidR="00907829">
        <w:rPr>
          <w:rFonts w:ascii="Times New Roman" w:hAnsi="Times New Roman" w:cs="Times New Roman"/>
          <w:color w:val="000000"/>
          <w:sz w:val="28"/>
          <w:szCs w:val="28"/>
          <w:shd w:val="clear" w:color="auto" w:fill="FFFFFF"/>
        </w:rPr>
        <w:t xml:space="preserve">; </w:t>
      </w:r>
      <w:r w:rsidR="006A2CE3" w:rsidRPr="004804AA">
        <w:rPr>
          <w:rFonts w:ascii="Times New Roman" w:hAnsi="Times New Roman" w:cs="Times New Roman"/>
          <w:color w:val="000000"/>
          <w:sz w:val="28"/>
          <w:szCs w:val="28"/>
          <w:shd w:val="clear" w:color="auto" w:fill="FFFFFF"/>
        </w:rPr>
        <w:t>95%</w:t>
      </w:r>
      <w:r w:rsidR="00907829">
        <w:rPr>
          <w:rFonts w:ascii="Times New Roman" w:hAnsi="Times New Roman" w:cs="Times New Roman"/>
          <w:color w:val="000000"/>
          <w:sz w:val="28"/>
          <w:szCs w:val="28"/>
          <w:shd w:val="clear" w:color="auto" w:fill="FFFFFF"/>
        </w:rPr>
        <w:t>;</w:t>
      </w:r>
      <w:r w:rsidR="003D11E9">
        <w:rPr>
          <w:rFonts w:ascii="Times New Roman" w:hAnsi="Times New Roman" w:cs="Times New Roman"/>
          <w:color w:val="000000"/>
          <w:sz w:val="28"/>
          <w:szCs w:val="28"/>
          <w:shd w:val="clear" w:color="auto" w:fill="FFFFFF"/>
        </w:rPr>
        <w:t xml:space="preserve"> </w:t>
      </w:r>
      <w:r w:rsidR="006A2CE3" w:rsidRPr="004804AA">
        <w:rPr>
          <w:rFonts w:ascii="Times New Roman" w:hAnsi="Times New Roman" w:cs="Times New Roman"/>
          <w:color w:val="000000"/>
          <w:sz w:val="28"/>
          <w:szCs w:val="28"/>
          <w:shd w:val="clear" w:color="auto" w:fill="FFFFFF"/>
        </w:rPr>
        <w:t>ДИ 0,41</w:t>
      </w:r>
      <w:r w:rsidR="00907829">
        <w:rPr>
          <w:rFonts w:ascii="Times New Roman" w:hAnsi="Times New Roman" w:cs="Times New Roman"/>
          <w:color w:val="000000"/>
          <w:sz w:val="28"/>
          <w:szCs w:val="28"/>
          <w:shd w:val="clear" w:color="auto" w:fill="FFFFFF"/>
        </w:rPr>
        <w:t>-</w:t>
      </w:r>
      <w:r w:rsidR="006A2CE3" w:rsidRPr="004804AA">
        <w:rPr>
          <w:rFonts w:ascii="Times New Roman" w:hAnsi="Times New Roman" w:cs="Times New Roman"/>
          <w:color w:val="000000"/>
          <w:sz w:val="28"/>
          <w:szCs w:val="28"/>
          <w:shd w:val="clear" w:color="auto" w:fill="FFFFFF"/>
        </w:rPr>
        <w:t>0,91)</w:t>
      </w:r>
      <w:r w:rsidR="00966BEC">
        <w:rPr>
          <w:rFonts w:ascii="Times New Roman" w:hAnsi="Times New Roman" w:cs="Times New Roman"/>
          <w:color w:val="000000"/>
          <w:sz w:val="28"/>
          <w:szCs w:val="28"/>
          <w:shd w:val="clear" w:color="auto" w:fill="FFFFFF"/>
        </w:rPr>
        <w:t xml:space="preserve"> </w:t>
      </w:r>
      <w:r w:rsidR="006A2CE3" w:rsidRPr="004804AA">
        <w:rPr>
          <w:rFonts w:ascii="Times New Roman" w:hAnsi="Times New Roman" w:cs="Times New Roman"/>
          <w:color w:val="000000"/>
          <w:sz w:val="28"/>
          <w:szCs w:val="28"/>
          <w:shd w:val="clear" w:color="auto" w:fill="FFFFFF"/>
        </w:rPr>
        <w:fldChar w:fldCharType="begin"/>
      </w:r>
      <w:r w:rsidR="00A00EFF">
        <w:rPr>
          <w:rFonts w:ascii="Times New Roman" w:hAnsi="Times New Roman" w:cs="Times New Roman"/>
          <w:color w:val="000000"/>
          <w:sz w:val="28"/>
          <w:szCs w:val="28"/>
          <w:shd w:val="clear" w:color="auto" w:fill="FFFFFF"/>
        </w:rPr>
        <w:instrText xml:space="preserve"> ADDIN ZOTERO_ITEM CSL_CITATION {"citationID":"sb4B0eJx","properties":{"formattedCitation":"[103]","plainCitation":"[103]","noteIndex":0},"citationItems":[{"id":1213,"uris":["http://zotero.org/users/local/XMo5Fvid/items/W3CCUHAF"],"itemData":{"id":1213,"type":"article-journal","abstract":"Myopia (near sightedness) is the most common vision disorder resulting in visual impairment worldwide. We tested the hypothesis that intergenerational, non-genetic heritable effects influence refractive development, using grandparental prenatal smoking as a candidate exposure. Using data from the Avon Longitudinal Study of Parents and Children (ALSPAC), we found that the prevalence of myopia at age 7 was lower if the paternal grandmother had smoked in pregnancy, an association primarily found among grandsons compared to granddaughters. There was a weaker, non-sex-specific, reduction in the prevalence of myopia at age 7 if the maternal grandmother had smoked in pregnancy. For children who became myopic later (between 7 and 15 years of age) there were no associations with either grandmother smoking. Differences between early and late-onset myopia were confirmed with DNA methylation patterns: there were very distinct and strong associations with methylation for early-onset but not later-onset myopia.","container-title":"Scientific Reports","DOI":"10.1038/s41598-019-51678-9","ISSN":"2045-2322","journalAbbreviation":"Sci Rep","note":"PMID: 31659193\nPMCID: PMC6817861","source":"PubMed Central","title":"Grandmothers’ smoking in pregnancy is associated with a reduced prevalence of early-onset myopia","URL":"https://www.ncbi.nlm.nih.gov/pmc/articles/PMC6817861/","volume":"9","author":[{"family":"Williams","given":"Cathy"},{"family":"Suderman","given":"Matthew"},{"family":"Guggenheim","given":"Jeremy A."},{"family":"Ellis","given":"Genette"},{"family":"Gregory","given":"Steve"},{"family":"Iles-Caven","given":"Yasmin"},{"family":"Northstone","given":"Kate"},{"family":"Golding","given":"Jean"},{"family":"Pembrey","given":"Marcus"}],"accessed":{"date-parts":[["2021",1,12]]},"issued":{"date-parts":[["2019",10,28]]}}}],"schema":"https://github.com/citation-style-language/schema/raw/master/csl-citation.json"} </w:instrText>
      </w:r>
      <w:r w:rsidR="006A2CE3" w:rsidRPr="004804AA">
        <w:rPr>
          <w:rFonts w:ascii="Times New Roman" w:hAnsi="Times New Roman" w:cs="Times New Roman"/>
          <w:color w:val="000000"/>
          <w:sz w:val="28"/>
          <w:szCs w:val="28"/>
          <w:shd w:val="clear" w:color="auto" w:fill="FFFFFF"/>
        </w:rPr>
        <w:fldChar w:fldCharType="separate"/>
      </w:r>
      <w:r w:rsidR="00A00EFF" w:rsidRPr="00A00EFF">
        <w:rPr>
          <w:rFonts w:ascii="Times New Roman" w:hAnsi="Times New Roman" w:cs="Times New Roman"/>
          <w:sz w:val="28"/>
        </w:rPr>
        <w:t>[103]</w:t>
      </w:r>
      <w:r w:rsidR="006A2CE3" w:rsidRPr="004804AA">
        <w:rPr>
          <w:rFonts w:ascii="Times New Roman" w:hAnsi="Times New Roman" w:cs="Times New Roman"/>
          <w:color w:val="000000"/>
          <w:sz w:val="28"/>
          <w:szCs w:val="28"/>
          <w:shd w:val="clear" w:color="auto" w:fill="FFFFFF"/>
        </w:rPr>
        <w:fldChar w:fldCharType="end"/>
      </w:r>
      <w:r w:rsidR="00966BEC">
        <w:rPr>
          <w:rFonts w:ascii="Times New Roman" w:hAnsi="Times New Roman" w:cs="Times New Roman"/>
          <w:color w:val="000000"/>
          <w:sz w:val="28"/>
          <w:szCs w:val="28"/>
          <w:shd w:val="clear" w:color="auto" w:fill="FFFFFF"/>
        </w:rPr>
        <w:t>.</w:t>
      </w:r>
    </w:p>
    <w:p w14:paraId="08BFBB15" w14:textId="785505C6" w:rsidR="00636689" w:rsidRPr="004804AA" w:rsidRDefault="00636689"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Таким образом, анализ результатов, имеющихся популяционных данных однозначно указывают лишь на один из факторов риска развития и прогрессирования миопии – недостаточное время пребывания на открытом воздухе, что вероятно связанно с нехваткой освещенности. </w:t>
      </w:r>
      <w:r w:rsidR="0075549B" w:rsidRPr="004804AA">
        <w:rPr>
          <w:rFonts w:ascii="Times New Roman" w:hAnsi="Times New Roman" w:cs="Times New Roman"/>
          <w:sz w:val="28"/>
          <w:szCs w:val="28"/>
        </w:rPr>
        <w:t>Ф</w:t>
      </w:r>
      <w:r w:rsidR="006C04D5" w:rsidRPr="004804AA">
        <w:rPr>
          <w:rFonts w:ascii="Times New Roman" w:hAnsi="Times New Roman" w:cs="Times New Roman"/>
          <w:sz w:val="28"/>
          <w:szCs w:val="28"/>
        </w:rPr>
        <w:t>акторы</w:t>
      </w:r>
      <w:r w:rsidR="00AD4C8B">
        <w:rPr>
          <w:rFonts w:ascii="Times New Roman" w:hAnsi="Times New Roman" w:cs="Times New Roman"/>
          <w:sz w:val="28"/>
          <w:szCs w:val="28"/>
        </w:rPr>
        <w:t xml:space="preserve"> </w:t>
      </w:r>
      <w:r w:rsidR="006C04D5" w:rsidRPr="004804AA">
        <w:rPr>
          <w:rFonts w:ascii="Times New Roman" w:hAnsi="Times New Roman" w:cs="Times New Roman"/>
          <w:sz w:val="28"/>
          <w:szCs w:val="28"/>
        </w:rPr>
        <w:t>окружающей среды</w:t>
      </w:r>
      <w:r w:rsidR="0075549B" w:rsidRPr="004804AA">
        <w:rPr>
          <w:rFonts w:ascii="Times New Roman" w:hAnsi="Times New Roman" w:cs="Times New Roman"/>
          <w:sz w:val="28"/>
          <w:szCs w:val="28"/>
        </w:rPr>
        <w:t xml:space="preserve"> и генетические факторы</w:t>
      </w:r>
      <w:r w:rsidR="00AD4C8B">
        <w:rPr>
          <w:rFonts w:ascii="Times New Roman" w:hAnsi="Times New Roman" w:cs="Times New Roman"/>
          <w:sz w:val="28"/>
          <w:szCs w:val="28"/>
        </w:rPr>
        <w:t>, вероятно</w:t>
      </w:r>
      <w:r w:rsidR="0075549B" w:rsidRPr="004804AA">
        <w:rPr>
          <w:rFonts w:ascii="Times New Roman" w:hAnsi="Times New Roman" w:cs="Times New Roman"/>
          <w:sz w:val="28"/>
          <w:szCs w:val="28"/>
        </w:rPr>
        <w:t xml:space="preserve"> также</w:t>
      </w:r>
      <w:r w:rsidR="006C04D5" w:rsidRPr="004804AA">
        <w:rPr>
          <w:rFonts w:ascii="Times New Roman" w:hAnsi="Times New Roman" w:cs="Times New Roman"/>
          <w:sz w:val="28"/>
          <w:szCs w:val="28"/>
        </w:rPr>
        <w:t xml:space="preserve"> играют роль в увеличивающейся распространенности миопии</w:t>
      </w:r>
      <w:r w:rsidR="00966BEC">
        <w:rPr>
          <w:rFonts w:ascii="Times New Roman" w:hAnsi="Times New Roman" w:cs="Times New Roman"/>
          <w:sz w:val="28"/>
          <w:szCs w:val="28"/>
        </w:rPr>
        <w:t xml:space="preserve"> </w:t>
      </w:r>
      <w:r w:rsidR="006C04D5" w:rsidRPr="004804AA">
        <w:rPr>
          <w:rFonts w:ascii="Times New Roman" w:hAnsi="Times New Roman" w:cs="Times New Roman"/>
          <w:sz w:val="28"/>
          <w:szCs w:val="28"/>
        </w:rPr>
        <w:fldChar w:fldCharType="begin"/>
      </w:r>
      <w:r w:rsidR="006D2708">
        <w:rPr>
          <w:rFonts w:ascii="Times New Roman" w:hAnsi="Times New Roman" w:cs="Times New Roman"/>
          <w:sz w:val="28"/>
          <w:szCs w:val="28"/>
        </w:rPr>
        <w:instrText xml:space="preserve"> ADDIN ZOTERO_ITEM CSL_CITATION {"citationID":"FIuFNjMQ","properties":{"formattedCitation":"[59]","plainCitation":"[59]","noteIndex":0},"citationItems":[{"id":"87BZElRc/9U1hI9vQ","uris":["http://zotero.org/users/local/XMo5Fvid/items/BM3HFXXE"],"itemData":{"id":1451,"type":"article-journal","abstract":"BACKGROUND: Due to high prevalence myopia has gained importance in epidemiological studies. Children with early onset are at particular risk of complications associated with myopia, as progression over time might result in high myopia and myopic macular degeneration. Both genetic and environmental factors play a role in the increasing prevalence of myopia. The aim of this study is to review the current literature on epidemiology and risk factors for myopia in school children (aged 6-19 years) around the world.\nMAIN BODY: PubMed and Medline were searched for the following keywords: prevalence, incidence, myopia, refractive error, risk factors, children and visual impairment. English language articles published between Jan 2013 and Mar 2019 were included in the study. Studies were critically reviewed for study methodology and robustness of data. Eighty studies were included in this literature review. Myopia prevalence remains higher in Asia (60%) compared with Europe (40%) using cycloplegic refraction examinations. Studies reporting on non-cycloplegic measurements show exceptionally high myopia prevalence rates in school children in East Asia (73%), and high rates in North America (42%). Low prevalence under 10% was described in African and South American children. In recent studies, risk factors for myopia in schoolchildren included low outdoor time and near work, dim light exposure, the use of LED lamps for homework, low sleeping hours, reading distance less than 25 cm and living in an urban environment.\nCONCLUSION: Low levels of outdoor activity and near work are well-established risk factors for myopia; this review provides evidence on additional environmental risk factors. New epidemiological studies should be carried out on implementation of public health strategies to tackle and avoid myopia. As the myopia prevalence rates in non-cycloplegic studies are overestimated, we recommend considering only cycloplegic measurements.","container-title":"BMC ophthalmology","DOI":"10.1186/s12886-019-1220-0","ISSN":"1471-2415","issue":"1","journalAbbreviation":"BMC Ophthalmol","language":"eng","note":"PMID: 31937276\nPMCID: PMC6961361","page":"27","source":"PubMed","title":"A review on the epidemiology of myopia in school children worldwide","volume":"20","author":[{"family":"Grzybowski","given":"Andrzej"},{"family":"Kanclerz","given":"Piotr"},{"family":"Tsubota","given":"Kazuo"},{"family":"Lanca","given":"Carla"},{"family":"Saw","given":"Seang-Mei"}],"issued":{"date-parts":[["2020",1,14]]}}}],"schema":"https://github.com/citation-style-language/schema/raw/master/csl-citation.json"} </w:instrText>
      </w:r>
      <w:r w:rsidR="006C04D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[59]</w:t>
      </w:r>
      <w:r w:rsidR="006C04D5"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032740" w:rsidRPr="004804AA">
        <w:rPr>
          <w:rFonts w:ascii="Times New Roman" w:hAnsi="Times New Roman" w:cs="Times New Roman"/>
          <w:sz w:val="28"/>
          <w:szCs w:val="28"/>
        </w:rPr>
        <w:t xml:space="preserve"> </w:t>
      </w:r>
      <w:r w:rsidRPr="004804AA">
        <w:rPr>
          <w:rFonts w:ascii="Times New Roman" w:hAnsi="Times New Roman" w:cs="Times New Roman"/>
          <w:sz w:val="28"/>
          <w:szCs w:val="28"/>
        </w:rPr>
        <w:t xml:space="preserve">Другие факторы, такие как зрительная нагрузка на близком расстоянии, уровень витамина Д, сезон рождения, связь с возрастом и вредными привычками матери во время беременности, ростом при рождении и </w:t>
      </w:r>
      <w:r w:rsidR="003567E4" w:rsidRPr="004804AA">
        <w:rPr>
          <w:rFonts w:ascii="Times New Roman" w:hAnsi="Times New Roman" w:cs="Times New Roman"/>
          <w:sz w:val="28"/>
          <w:szCs w:val="28"/>
        </w:rPr>
        <w:t>т. д.</w:t>
      </w:r>
      <w:r w:rsidRPr="004804AA">
        <w:rPr>
          <w:rFonts w:ascii="Times New Roman" w:hAnsi="Times New Roman" w:cs="Times New Roman"/>
          <w:sz w:val="28"/>
          <w:szCs w:val="28"/>
        </w:rPr>
        <w:t xml:space="preserve"> не являются убедительными и требуют дальнейших исследований. </w:t>
      </w:r>
    </w:p>
    <w:p w14:paraId="09C1E774" w14:textId="77777777" w:rsidR="00910B9C" w:rsidRPr="004804AA" w:rsidRDefault="00910B9C" w:rsidP="005C37DF">
      <w:pPr>
        <w:pStyle w:val="a4"/>
        <w:ind w:firstLine="709"/>
        <w:jc w:val="both"/>
        <w:rPr>
          <w:rFonts w:ascii="Times New Roman" w:hAnsi="Times New Roman" w:cs="Times New Roman"/>
          <w:sz w:val="28"/>
          <w:szCs w:val="28"/>
        </w:rPr>
      </w:pPr>
    </w:p>
    <w:p w14:paraId="6C40BD2D" w14:textId="14B502EB" w:rsidR="006C0A33" w:rsidRPr="00AE761E" w:rsidRDefault="006C0A33" w:rsidP="005C37DF">
      <w:pPr>
        <w:pStyle w:val="a4"/>
        <w:ind w:firstLine="709"/>
        <w:jc w:val="both"/>
        <w:rPr>
          <w:rFonts w:ascii="Times New Roman" w:hAnsi="Times New Roman" w:cs="Times New Roman"/>
          <w:b/>
          <w:bCs/>
          <w:sz w:val="28"/>
          <w:szCs w:val="28"/>
        </w:rPr>
      </w:pPr>
      <w:r w:rsidRPr="00AE761E">
        <w:rPr>
          <w:rFonts w:ascii="Times New Roman" w:hAnsi="Times New Roman" w:cs="Times New Roman"/>
          <w:b/>
          <w:bCs/>
          <w:sz w:val="28"/>
          <w:szCs w:val="28"/>
        </w:rPr>
        <w:t>1.</w:t>
      </w:r>
      <w:r w:rsidR="000E4D3D" w:rsidRPr="00AE761E">
        <w:rPr>
          <w:rFonts w:ascii="Times New Roman" w:hAnsi="Times New Roman" w:cs="Times New Roman"/>
          <w:b/>
          <w:bCs/>
          <w:sz w:val="28"/>
          <w:szCs w:val="28"/>
        </w:rPr>
        <w:t>4</w:t>
      </w:r>
      <w:r w:rsidRPr="00AE761E">
        <w:rPr>
          <w:rFonts w:ascii="Times New Roman" w:hAnsi="Times New Roman" w:cs="Times New Roman"/>
          <w:b/>
          <w:bCs/>
          <w:sz w:val="28"/>
          <w:szCs w:val="28"/>
        </w:rPr>
        <w:t xml:space="preserve"> </w:t>
      </w:r>
      <w:r w:rsidR="00AE0E7D" w:rsidRPr="00AE761E">
        <w:rPr>
          <w:rFonts w:ascii="Times New Roman" w:hAnsi="Times New Roman" w:cs="Times New Roman"/>
          <w:b/>
          <w:bCs/>
          <w:sz w:val="28"/>
          <w:szCs w:val="28"/>
        </w:rPr>
        <w:t>Программы</w:t>
      </w:r>
      <w:r w:rsidRPr="00AE761E">
        <w:rPr>
          <w:rFonts w:ascii="Times New Roman" w:hAnsi="Times New Roman" w:cs="Times New Roman"/>
          <w:b/>
          <w:bCs/>
          <w:sz w:val="28"/>
          <w:szCs w:val="28"/>
        </w:rPr>
        <w:t xml:space="preserve"> скрининг</w:t>
      </w:r>
      <w:r w:rsidR="00861A14" w:rsidRPr="00AE761E">
        <w:rPr>
          <w:rFonts w:ascii="Times New Roman" w:hAnsi="Times New Roman" w:cs="Times New Roman"/>
          <w:b/>
          <w:bCs/>
          <w:sz w:val="28"/>
          <w:szCs w:val="28"/>
        </w:rPr>
        <w:t>а</w:t>
      </w:r>
      <w:r w:rsidRPr="00AE761E">
        <w:rPr>
          <w:rFonts w:ascii="Times New Roman" w:hAnsi="Times New Roman" w:cs="Times New Roman"/>
          <w:b/>
          <w:bCs/>
          <w:sz w:val="28"/>
          <w:szCs w:val="28"/>
        </w:rPr>
        <w:t xml:space="preserve"> зрения </w:t>
      </w:r>
      <w:r w:rsidR="00EF2C8F" w:rsidRPr="00AE761E">
        <w:rPr>
          <w:rFonts w:ascii="Times New Roman" w:hAnsi="Times New Roman" w:cs="Times New Roman"/>
          <w:b/>
          <w:bCs/>
          <w:sz w:val="28"/>
          <w:szCs w:val="28"/>
        </w:rPr>
        <w:t>детей</w:t>
      </w:r>
      <w:r w:rsidR="00AE0E7D" w:rsidRPr="00AE761E">
        <w:rPr>
          <w:rFonts w:ascii="Times New Roman" w:hAnsi="Times New Roman" w:cs="Times New Roman"/>
          <w:b/>
          <w:bCs/>
          <w:sz w:val="28"/>
          <w:szCs w:val="28"/>
        </w:rPr>
        <w:t xml:space="preserve"> в мировой практике</w:t>
      </w:r>
    </w:p>
    <w:p w14:paraId="6370D239" w14:textId="35A24397" w:rsidR="00C7770F" w:rsidRPr="004804AA" w:rsidRDefault="00EF2C8F"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Учитывая высокую распространенность нарушений зрения из-за неисправленных аномалий рефракции у детей и простоту лечения, обнаружение и исправление аномалий рефракции стало одним из приоритетов инициативы Всемирной организации здравоохранения (ВОЗ) Vision 2020</w:t>
      </w:r>
      <w:r w:rsidR="00966BEC">
        <w:rPr>
          <w:rFonts w:ascii="Times New Roman" w:hAnsi="Times New Roman" w:cs="Times New Roman"/>
          <w:sz w:val="28"/>
          <w:szCs w:val="28"/>
        </w:rPr>
        <w:t xml:space="preserve"> </w:t>
      </w:r>
      <w:r w:rsidR="0016160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{"citationID":"6SVkRiIW","properties":{"formattedCitation":"[185]","plainCitation":"[185]","noteIndex":0},"citationItems":[{"id":1575,"uris":["http://zotero.org/users/local/XMo5Fvid/items/5YUHI3QA"],"itemData":{"id":1575,"type":"article-journal","abstract":"Blindness and visual impairment have far-reaching implications for society, the more so when it is realized that 80% of visual disability is avoidable. The marked increase in the size of the elderly population, with their greater propensity for visually disabling conditions, presents a further challenge in this respect. However, if available knowledge and skills were made accessible to those communities in greatest need, much of this needless blindness could be alleviated. Since its inception over 50 years ago, and beginning with trachoma control, WHO has spearheaded efforts to assist Member States to meet the challenge of needless blindness. Since the establishment of the WHO Programme for the Prevention of Blindness in 1978, vast strides have been made through various forms of technical support to establish national prevention of blindness programmes. A more recent initiative, \"The Global Initiative for the Elimination of Avoidable Blindness\" (referred to as \"VISION 2020--The Right to Sight\"), launched in 1999, is a collaborative effort between WHO and a number of international nongovernmental organizations and other interested partners. This effort is poised to take the steps necessary to achieve the goal of eliminating avoidable blindness worldwide by the year 2020.","container-title":"Bulletin of the World Health Organization","ISSN":"0042-9686","issue":"3","journalAbbreviation":"Bull World Health Organ","note":"PMID: 11285666\nPMCID: PMC2566377","page":"222-226","source":"PubMed Central","title":"Blindness prevention programmes: past, present, and future.","title-short":"Blindness prevention programmes","volume":"79","author":[{"family":"Resnikoff","given":"S."},{"family":"Pararajasegaram","given":"R."}],"issued":{"date-parts":[["2001"]]}}}],"schema":"https://github.com/citation-style-language/schema/raw/master/csl-citation.json"} </w:instrText>
      </w:r>
      <w:r w:rsidR="0016160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[185]</w:t>
      </w:r>
      <w:r w:rsidR="00161601"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3E6840">
        <w:rPr>
          <w:rFonts w:ascii="Times New Roman" w:hAnsi="Times New Roman" w:cs="Times New Roman"/>
          <w:sz w:val="28"/>
          <w:szCs w:val="28"/>
        </w:rPr>
        <w:t xml:space="preserve"> </w:t>
      </w:r>
      <w:r w:rsidR="007864F0" w:rsidRPr="004804AA">
        <w:rPr>
          <w:rFonts w:ascii="Times New Roman" w:hAnsi="Times New Roman" w:cs="Times New Roman"/>
          <w:sz w:val="28"/>
          <w:szCs w:val="28"/>
        </w:rPr>
        <w:t xml:space="preserve">В 2018 году Международное агентство профилактики слепоты совместно с Лондонской школой гигиены и тропической медицины и Институтом видения Брайена Холдена </w:t>
      </w:r>
      <w:r w:rsidR="001932A1" w:rsidRPr="004804AA">
        <w:rPr>
          <w:rFonts w:ascii="Times New Roman" w:hAnsi="Times New Roman" w:cs="Times New Roman"/>
          <w:sz w:val="28"/>
          <w:szCs w:val="28"/>
        </w:rPr>
        <w:t>рекоменд</w:t>
      </w:r>
      <w:r w:rsidR="007864F0" w:rsidRPr="004804AA">
        <w:rPr>
          <w:rFonts w:ascii="Times New Roman" w:hAnsi="Times New Roman" w:cs="Times New Roman"/>
          <w:sz w:val="28"/>
          <w:szCs w:val="28"/>
        </w:rPr>
        <w:t>овало</w:t>
      </w:r>
      <w:r w:rsidR="001932A1" w:rsidRPr="004804AA">
        <w:rPr>
          <w:rFonts w:ascii="Times New Roman" w:hAnsi="Times New Roman" w:cs="Times New Roman"/>
          <w:sz w:val="28"/>
          <w:szCs w:val="28"/>
        </w:rPr>
        <w:t xml:space="preserve"> проверять всех учащихся начальных классов на предмет снижения остроты зрения с последующим ежегодным обследованием новых учащихся</w:t>
      </w:r>
      <w:r w:rsidR="00966BEC">
        <w:rPr>
          <w:rFonts w:ascii="Times New Roman" w:hAnsi="Times New Roman" w:cs="Times New Roman"/>
          <w:sz w:val="28"/>
          <w:szCs w:val="28"/>
        </w:rPr>
        <w:t xml:space="preserve"> </w:t>
      </w:r>
      <w:r w:rsidR="007864F0"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{"citationID":"memyFfcX","properties":{"formattedCitation":"[186]","plainCitation":"[186]","noteIndex":0},"citationItems":[{"id":1651,"uris":["http://zotero.org/users/local/XMo5Fvid/items/AHG6SIH7"],"itemData":{"id":1651,"type":"webpage","abstract":"The purpose of these best practice guidelines is to provide direction to those planning and implementing eye health initiatives for schools, including policy makers, health care and educational authorities, health planners, eye care delivery organizations and professionals, in partnership with teachers, parents and children. In situations where resources for eye health are limited, decisions need to be made to ensure that programs not only address public health problems but are also implemented in a way that is effective, efficient and, wherever possible, sustainable.","container-title":"Source","language":"ru","title":"Standard school eye health guidelines for low and middle-income countries","URL":"https://asksource.info/resources/standard-school-eye-health-guidelines-low-and-middle-income-countries","accessed":{"date-parts":[["2021",4,12]]},"issued":{"date-parts":[["2018",8,10]]}}}],"schema":"https://github.com/citation-style-language/schema/raw/master/csl-citation.json"} </w:instrText>
      </w:r>
      <w:r w:rsidR="007864F0"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[186]</w:t>
      </w:r>
      <w:r w:rsidR="007864F0"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1932A1" w:rsidRPr="004804AA">
        <w:rPr>
          <w:rFonts w:ascii="Times New Roman" w:hAnsi="Times New Roman" w:cs="Times New Roman"/>
          <w:sz w:val="28"/>
          <w:szCs w:val="28"/>
        </w:rPr>
        <w:t xml:space="preserve"> </w:t>
      </w:r>
      <w:r w:rsidR="00C80C7F" w:rsidRPr="004804AA">
        <w:rPr>
          <w:rFonts w:ascii="Times New Roman" w:hAnsi="Times New Roman" w:cs="Times New Roman"/>
          <w:sz w:val="28"/>
          <w:szCs w:val="28"/>
        </w:rPr>
        <w:t>Многие страны в настоящее время включают программы проверки зрения для школьников, основанные на совместных рекомендациях Всемирной организации здравоохранения и Международного агентства по профилактике слепоты</w:t>
      </w:r>
      <w:r w:rsidR="00966BEC">
        <w:rPr>
          <w:rFonts w:ascii="Times New Roman" w:hAnsi="Times New Roman" w:cs="Times New Roman"/>
          <w:sz w:val="28"/>
          <w:szCs w:val="28"/>
        </w:rPr>
        <w:t xml:space="preserve"> </w:t>
      </w:r>
      <w:r w:rsidR="00C80C7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{"citationID":"r4r792JV","properties":{"formattedCitation":"[187; 188]","plainCitation":"[187; 188]","noteIndex":0},"citationItems":[{"id":1561,"uris":["http://zotero.org/users/local/XMo5Fvid/items/ISD8UYUT"],"itemData":{"id":1561,"type":"article-journal","abstract":"Uncorrected refractive errors are the main cause of severely impaired vision in India. This in itself indicates that there is a shortage of basic eye care services and spectacles, and too little public awareness of the need for them. A simple method for screening schoolchildren for refractive errors is described and the results are analysed. Evaluation of the materials used and the accuracy of the screening shows that this method can be used successfully by teachers.","container-title":"World Health Forum","ISSN":"0251-2432","issue":"2","journalAbbreviation":"World Health Forum","language":"eng","note":"PMID: 7794456","page":"173-178","source":"PubMed","title":"Cost-effective screening of schoolchildren for refractive errors","volume":"16","author":[{"family":"Limburg","given":"H."},{"family":"Vaidyanathan","given":"K."},{"family":"Dalal","given":"H. P."}],"issued":{"date-parts":[["1995"]]}},"label":"page"},{"id":1570,"uris":["http://zotero.org/users/local/XMo5Fvid/items/SU7MDXI3"],"itemData":{"id":1570,"type":"article-journal","abstract":"In 2007, the World Health Organization, together with United Nations and international organization as well as experts, met to draw upon existing evidence and practical experience from regions, countries and individual schools in promoting health through schools. The goal of the meeting was to identify current and emerging global factors affecting schools, and to help them respond more effectively to health, education and development opportunities. At the meeting, a Statement was developed describing effective approaches and strategies that can be adopted by schools to promote health, education and development. Five key challenges were identified. These described the need to continue building evidence and capturing practical experience in school health; the importance of improving implementation processes to ensure optimal transfer of evidence into practice; the need to alleviating social and economic disadvantage in access to and successful completion of school education; the opportunity to harness media influences for positive benefit, and the continuing challenge to improve partnerships among different sectors and organizations. The participants also identified a range of actions needed to respond to these challenges, highlighting the need for action by local school communities, governments and international organizations to invest in quality education, and to increase participation of children and young people in school education. This paper describes the rationale for and process of the meeting and the development of the Statement and outlines some of the most immediate efforts made to implement the actions identified in the Statement. It also suggests further joint actions required for the implementation of the Statement.","container-title":"Health Promotion International","DOI":"10.1093/heapro/dan037","ISSN":"1460-2245","issue":"1","journalAbbreviation":"Health Promot Int","language":"eng","note":"PMID: 19039034","page":"68-77","source":"PubMed","title":"Schools for health, education and development: a call for action","title-short":"Schools for health, education and development","volume":"24","author":[{"family":"Tang","given":"Kwok-Cho"},{"family":"Nutbeam","given":"Don"},{"family":"Aldinger","given":"Carmen"},{"family":"St Leger","given":"Lawrence"},{"family":"Bundy","given":"Donald"},{"family":"Hoffmann","given":"Anna Maria"},{"family":"Yankah","given":"Ekua"},{"family":"McCall","given":"Doug"},{"family":"Buijs","given":"Goof"},{"family":"Arnaout","given":"Said"},{"family":"Morales","given":"Sofialeticia"},{"family":"Robinson","given":"Faye"},{"family":"Torranin","given":"Charuaypon"},{"family":"Drake","given":"Lesley"},{"family":"Abolfotouh","given":"Mostafa"},{"family":"Whitman","given":"Cheryl Vince"},{"family":"Meresman","given":"Sergio"},{"family":"Odete","given":"Cossa"},{"family":"Joukhadar","given":"Abdul-Halim"},{"family":"Avison","given":"Claire"},{"family":"Wright","given":"Cream"},{"family":"Huerta","given":"Franscico"},{"family":"Munodawafa","given":"Davison"},{"family":"Nyamwaya","given":"David"},{"family":"Heckert","given":"Karen"}],"issued":{"date-parts":[["2009",3]]}},"label":"page"}],"schema":"https://github.com/citation-style-language/schema/raw/master/csl-citation.json"} </w:instrText>
      </w:r>
      <w:r w:rsidR="00C80C7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[187; 188]</w:t>
      </w:r>
      <w:r w:rsidR="00C80C7F"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C80C7F" w:rsidRPr="004804AA">
        <w:rPr>
          <w:rFonts w:ascii="Times New Roman" w:hAnsi="Times New Roman" w:cs="Times New Roman"/>
          <w:sz w:val="28"/>
          <w:szCs w:val="28"/>
        </w:rPr>
        <w:t xml:space="preserve"> Большинство авторов отмечают экономическую обоснованность подобных программ</w:t>
      </w:r>
      <w:r w:rsidR="002100B2" w:rsidRPr="004804AA">
        <w:rPr>
          <w:rFonts w:ascii="Times New Roman" w:hAnsi="Times New Roman" w:cs="Times New Roman"/>
          <w:sz w:val="28"/>
          <w:szCs w:val="28"/>
        </w:rPr>
        <w:t xml:space="preserve"> </w:t>
      </w:r>
      <w:r w:rsidR="002444D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BlTU1mfx","properties":{"formattedCitation":"[189\\uc0\\u8211{}193]","plainCitation":"[189–193]","noteIndex":0},"citationItems":[{"id":1567,"uris":["http://zotero.org/users/local/XMo5Fvid/items/UXS7BFSM"],"itemData":{"id":1567,"type":"article-journal","container-title":"Cochrane Database of Systematic Reviews","DOI":"10.1002/14651858.CD005023.pub2","ISSN":"1465-1858","issue":"4","language":"en","note":"publisher: John Wiley &amp; Sons, Ltd","source":"www.cochranelibrary.com","title":"Vision screening for correctable visual acuity deficits in school‐age children and adolescents","URL":"https://www.cochranelibrary.com/cdsr/doi/10.1002/14651858.CD005023.pub2/full?cookiesEnabled","author":[{"family":"Powell","given":"Christine"},{"family":"Wedner","given":"Susanne"},{"family":"Hatt","given":"Sarah R."}],"accessed":{"date-parts":[["2021",4,11]]},"issued":{"date-parts":[["2004"]]}},"label":"page"},{"id":1557,"uris":["http://zotero.org/users/local/XMo5Fvid/items/NE6DEL9M"],"itemData":{"id":1557,"type":"article-journal","abstract":"PURPOSE:\nThe purpose was to compare vision and ocular disease among orphans to age-matched school children and determine the barriers they faced for ophthalmic care in Riyadh, Saudi Arabia.\n\nMETHODS:\nChildren of four orphanages of Riyadh (Gr1) were screened for vision refractive error (RE) and eye ailment on “World Sight Day–2019.” They were compared to age-matched school children (comparison group; Gr2). The rates of RE, strabismus, amblyopia, and allergic conjunctivitis were estimated in two groups. The coverage of existing eye services for orphan children was reviewed.\n\nRESULTS:\nWe screened 53 children of Gr1 and 106 school children of Gr2. The risk of RE was statistically significantly higher in school children compared to orphan children (odds ratio [OR] = 2.4 [95% confidence interval (CI) 1.2; 4.8] P = 0.01). The coverage of refractive services for Gr1 was significantly lower than for Gr2 (OR = 0.09 [95% CI 0.02; 0.4] P = 0.001). In Gr1, blurry vision (12 children), red eye (2), and itchy eyes (1) were the main symptoms. In Gr2, no child had eye complaints. In Gr1, amblyopia (1), strabismus (1), history of ocular trauma and surgery (1), eye medications needed (2), and systemic health problems were noted in 9 children. In Gr2, amblyopia (4), strabismus (4), and history of ocular surgery were noted in 2 children.\n\nCONCLUSION:\nOrphan children had less rate of myopia compared to school children. However, unattended ocular pathologies were detected during the screening campaign. The coverage of refractive services was low in these underprivileged children compared to school children.","container-title":"Middle East African Journal of Ophthalmology","DOI":"10.4103/meajo.MEAJO_241_20","ISSN":"0974-9233","issue":"3","journalAbbreviation":"Middle East Afr J Ophthalmol","note":"PMID: 33488014\nPMCID: PMC7813143","page":"172-176","source":"PubMed Central","title":"Comparison of Outcomes of Vision and Eye Screening of Children of Four Orphanages and School Children of Riyadh","volume":"27","author":[{"family":"Nawaysir","given":"Sara"},{"family":"Al Saeedan","given":"Abdulaziz M."},{"family":"AlMusa","given":"Suha"},{"family":"Albalawi","given":"Arwa"},{"family":"Khandekar","given":"Rajiv"}],"issued":{"date-parts":[["2020",10,30]]}},"label":"page"},{"id":1559,"uris":["http://zotero.org/users/local/XMo5Fvid/items/PLY9Y3JL"],"itemData":{"id":1559,"type":"article-journal","abstract":"PURPOSE:\nThe purpose of this study is to evaluate the changing trends in myopia over an 11-year period among Omani schoolchildren.\n\nMETHODS:\nThis retrospective study took place from January to June 2012. National vision screening data from 1999 to 2010 were reviewed for information concerning all children in the fourth, seventh, and tenth grades of Omani public schools. Changes in the rate of myopia by gender, grade, severity, and governorate were evaluated.\n\nRESULTS:\nAmong 397,430 fourth-grade students, the prevalence of myopia was 2.44%. In contrast, the prevalence of myopia among 533,003 and 461,307 children in the seventh and tenth grades, respectively, was 4.41% and 7.36%. Compared to 2002, the rate of myopia in 2010 was 1.43% higher for fourth-grade students (P &lt; 0.001). Myopia prevalence rates among seventh-grade students increased by (5.36–3.36 = 2.0) 1.11% between 1999 and 2010, but declined by 7.62% versus 6.34% = 1.28% between 1999 and 2010 for seventh- and tenth-grade students, respectively (P &lt; 0.010 and &lt;0.001, respectively). The risk of myopia in the fourth, seventh, and tenth grades was significantly higher for females in 2002 and 2010 (P &lt; 0.001). The regional variation of myopia was also significant (χ\n2= 495; P &lt; 0.001). Among seventh- and tenth-grade students in 2010, the ratio of children with mild-to-moderate/severe myopia was 1.5:1 and 1:2.7, respectively.\n\nCONCLUSION:\nAlthough the rate of myopia increased with grade, the trend over time suggests that myopia affected more children at a younger age. Female students had a significantly higher risk of myopia.","container-title":"Oman Journal of Ophthalmology","DOI":"10.4103/ojo.OJO_55_2017","ISSN":"0974-620X","issue":"3","journalAbbreviation":"Oman J Ophthalmol","note":"PMID: 30505113\nPMCID: PMC6219335","page":"232-236","source":"PubMed Central","title":"Changing trends in myopia among schoolchildren in Oman: Screening information over 11 years","title-short":"Changing trends in myopia among schoolchildren in Oman","volume":"11","author":[{"family":"Khandekar","given":"Rajiv"},{"family":"Gogri","given":"Urmi"},{"family":"Al-Harby","given":"Salah"}],"issued":{"date-parts":[["2018"]]}},"label":"page"},{"id":1552,"uris":["http://zotero.org/users/local/XMo5Fvid/items/87E7VISJ"],"itemData":{"id":1552,"type":"article-journal","abstract":"Background/aims: The prevalence of significant refractive errors and other eye diseases was measured in 2511 secondary school students aged 11–27 years in Mwanza City, Tanzania. Risk factors for myopia were explored., Methods: A questionnaire assessed the students’ socioeconomic background and exposure to near work followed by visual acuity assessment and a full eye examination. Non-cycloplegic objective and subjective refraction was done on all participants with visual acuity of worse than 6/12 in either eye without an obvious cause., Results: 154 (6.1%) students had significant refractive errors. Myopia was the leading refractive error (5.6%). Amblyopia (0.4%), strabismus (0.2%), and other treatable eye disorders were uncommon. Only 30.3% of students with significant refractive errors wore spectacles before the survey. Age, sex, ethnicity, father’s educational status, and a family history of siblings with spectacles were significant independent risk factors for myopia., Conclusion: The prevalence of uncorrected significant refractive errors is high enough to justify a regular school eye screening programme in secondary schools in Tanzania. Risk factors for myopia are similar to those reported in European, North-American, and Asian populations.","container-title":"The British Journal of Ophthalmology","ISSN":"0007-1161","issue":"11","journalAbbreviation":"Br J Ophthalmol","note":"PMID: 12386067\nPMCID: PMC1771368","page":"1200-1206","source":"PubMed Central","title":"Myopia in secondary school students in Mwanza City, Tanzania: the need for a national screening programme","title-short":"Myopia in secondary school students in Mwanza City, Tanzania","volume":"86","author":[{"family":"Wedner","given":"S H"},{"family":"Ross","given":"D A"},{"family":"Todd","given":"J"},{"family":"Anemona","given":"A"},{"family":"Balira","given":"R"},{"family":"Foster","given":"A"}],"issued":{"date-parts":[["2002",11]]}},"label":"page"},{"id":1573,"uris":["http://zotero.org/users/local/XMo5Fvid/items/PQJ9N2GJ"],"itemData":{"id":1573,"type":"article-journal","abstract":"OBJECTIVE: To estimate the costs and effects of alternative strategies for annual screening of school children for refractive errors, and the provision of spectacles, in different WHO sub-regions in Africa, Asia, America and Europe.\nMETHODS: We developed a mathematical simulation model for uncorrected refractive error, using prevailing prevalence and incidence rates. Remission rates reflected the absence or presence of screening strategies for school children. All screening strategies were implemented for a period of 10 years and were compared to a situation were no screening was implemented. Outcome measures were life years adjusted for disability (DALYs), costs of screening and provision of spectacles and follow-up for six different screening strategies, and cost-effectiveness in international dollars per DALY averted. Epidemiological information was derived from the burden of disease study from the World Health Organization (WHO). Cost data were derived from large databases from the WHO. Both univariate and multivariate sensitivity analyses were performed on key parameters to determine the robustness of the model results.\nRESULTS: In all regions, screening of 5-15 years old children yields most health effects, followed by screening of 11-15 years old, 5-10 years old, and screening of 8 and 13 years old. Screening of broad-age intervals is always more costly than screening of single-age intervals, and there are important economies of scale for simultaneous screening of both 5-10 and 11-15-year-old children. In all regions, screening of 11-15 years old is the most cost-effective intervention, with the cost per DALY averted ranging from I$67 per DALY averted in the Asian sub-region to I$458 per DALY averted in the European sub-region. The incremental cost per DALY averted of screening 5-15 years old ranges between I$111 in the Asian sub-region to I$672 in the European sub-region.\nCONCLUSIONS: Considering the conservative study assumptions and the robustness of study conclusions towards changes in these assumptions, screening of school children for refractive error is economically attractive in all regions in the world.","container-title":"Health Policy (Amsterdam, Netherlands)","DOI":"10.1016/j.healthpol.2008.06.003","ISSN":"0168-8510","issue":"2","journalAbbreviation":"Health Policy","language":"eng","note":"PMID: 18621429","page":"201-215","source":"PubMed","title":"Cost-effectiveness of screening and correcting refractive errors in school children in Africa, Asia, America and Europe","volume":"89","author":[{"family":"Baltussen","given":"Rob"},{"family":"Naus","given":"Jeroen"},{"family":"Limburg","given":"Hans"}],"issued":{"date-parts":[["2009",2]]}},"label":"page"}],"schema":"https://github.com/citation-style-language/schema/raw/master/csl-citation.json"} </w:instrText>
      </w:r>
      <w:r w:rsidR="002444D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[189–193]</w:t>
      </w:r>
      <w:r w:rsidR="002444D1" w:rsidRPr="004804AA">
        <w:rPr>
          <w:rFonts w:ascii="Times New Roman" w:hAnsi="Times New Roman" w:cs="Times New Roman"/>
          <w:sz w:val="28"/>
          <w:szCs w:val="28"/>
        </w:rPr>
        <w:fldChar w:fldCharType="end"/>
      </w:r>
      <w:r w:rsidR="002444D1" w:rsidRPr="004804AA">
        <w:rPr>
          <w:rFonts w:ascii="Times New Roman" w:hAnsi="Times New Roman" w:cs="Times New Roman"/>
          <w:sz w:val="28"/>
          <w:szCs w:val="28"/>
        </w:rPr>
        <w:t xml:space="preserve"> </w:t>
      </w:r>
      <w:r w:rsidR="002100B2" w:rsidRPr="004804AA">
        <w:rPr>
          <w:rFonts w:ascii="Times New Roman" w:hAnsi="Times New Roman" w:cs="Times New Roman"/>
          <w:sz w:val="28"/>
          <w:szCs w:val="28"/>
        </w:rPr>
        <w:t xml:space="preserve">и </w:t>
      </w:r>
      <w:r w:rsidR="00C80C7F" w:rsidRPr="004804AA">
        <w:rPr>
          <w:rFonts w:ascii="Times New Roman" w:hAnsi="Times New Roman" w:cs="Times New Roman"/>
          <w:sz w:val="28"/>
          <w:szCs w:val="28"/>
        </w:rPr>
        <w:t>рекомендуют</w:t>
      </w:r>
      <w:r w:rsidR="00444869">
        <w:rPr>
          <w:rFonts w:ascii="Times New Roman" w:hAnsi="Times New Roman" w:cs="Times New Roman"/>
          <w:sz w:val="28"/>
          <w:szCs w:val="28"/>
        </w:rPr>
        <w:t xml:space="preserve"> </w:t>
      </w:r>
      <w:r w:rsidR="002100B2" w:rsidRPr="004804AA">
        <w:rPr>
          <w:rFonts w:ascii="Times New Roman" w:hAnsi="Times New Roman" w:cs="Times New Roman"/>
          <w:sz w:val="28"/>
          <w:szCs w:val="28"/>
        </w:rPr>
        <w:t>интегрировать</w:t>
      </w:r>
      <w:r w:rsidR="00C80C7F" w:rsidRPr="004804AA">
        <w:rPr>
          <w:rFonts w:ascii="Times New Roman" w:hAnsi="Times New Roman" w:cs="Times New Roman"/>
          <w:sz w:val="28"/>
          <w:szCs w:val="28"/>
        </w:rPr>
        <w:t xml:space="preserve"> их</w:t>
      </w:r>
      <w:r w:rsidR="002100B2" w:rsidRPr="004804AA">
        <w:rPr>
          <w:rFonts w:ascii="Times New Roman" w:hAnsi="Times New Roman" w:cs="Times New Roman"/>
          <w:sz w:val="28"/>
          <w:szCs w:val="28"/>
        </w:rPr>
        <w:t xml:space="preserve"> в </w:t>
      </w:r>
      <w:r w:rsidR="00C80C7F" w:rsidRPr="004804AA">
        <w:rPr>
          <w:rFonts w:ascii="Times New Roman" w:hAnsi="Times New Roman" w:cs="Times New Roman"/>
          <w:sz w:val="28"/>
          <w:szCs w:val="28"/>
        </w:rPr>
        <w:t>Национальные</w:t>
      </w:r>
      <w:r w:rsidR="002100B2" w:rsidRPr="004804AA">
        <w:rPr>
          <w:rFonts w:ascii="Times New Roman" w:hAnsi="Times New Roman" w:cs="Times New Roman"/>
          <w:sz w:val="28"/>
          <w:szCs w:val="28"/>
        </w:rPr>
        <w:t xml:space="preserve"> программы здравоохранения</w:t>
      </w:r>
      <w:r w:rsidR="00966BEC">
        <w:rPr>
          <w:rFonts w:ascii="Times New Roman" w:hAnsi="Times New Roman" w:cs="Times New Roman"/>
          <w:sz w:val="28"/>
          <w:szCs w:val="28"/>
        </w:rPr>
        <w:t xml:space="preserve"> </w:t>
      </w:r>
      <w:r w:rsidR="00C80C7F"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{"citationID":"5FikFu05","properties":{"formattedCitation":"[68]","plainCitation":"[68]","noteIndex":0},"citationItems":[{"id":1500,"uris":["http://zotero.org/users/local/XMo5Fvid/items/AIKB2JF6"],"itemData":{"id":1500,"type":"article-journal","abstract":"Estimates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P."}],"issued":{"date-parts":[["2008",1]]}}}],"schema":"https://github.com/citation-style-language/schema/raw/master/csl-citation.json"} </w:instrText>
      </w:r>
      <w:r w:rsidR="00C80C7F"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[68]</w:t>
      </w:r>
      <w:r w:rsidR="00C80C7F"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2100B2" w:rsidRPr="004804AA">
        <w:rPr>
          <w:rFonts w:ascii="Times New Roman" w:hAnsi="Times New Roman" w:cs="Times New Roman"/>
          <w:sz w:val="28"/>
          <w:szCs w:val="28"/>
        </w:rPr>
        <w:t xml:space="preserve"> </w:t>
      </w:r>
    </w:p>
    <w:p w14:paraId="0E8A811F" w14:textId="69B603F1" w:rsidR="0026568F" w:rsidRDefault="00CE6880"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Скрининг зрительных нарушений — это метод массового обследования и выявления детей с нарушениями зрения, для дальнейшего их обследования и лечения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{"citationID":"boLWufTx","properties":{"formattedCitation":"[189]","plainCitation":"[189]","noteIndex":0},"citationItems":[{"id":1567,"uris":["http://zotero.org/users/local/XMo5Fvid/items/UXS7BFSM"],"itemData":{"id":1567,"type":"article-journal","container-title":"Cochrane Database of Systematic Reviews","DOI":"10.1002/14651858.CD005023.pub2","ISSN":"1465-1858","issue":"4","language":"en","note":"publisher: John Wiley &amp; Sons, Ltd","source":"www.cochranelibrary.com","title":"Vision screening for correctable visual acuity deficits in school‐age children and adolescents","URL":"https://www.cochranelibrary.com/cdsr/doi/10.1002/14651858.CD005023.pub2/full?cookiesEnabled","author":[{"family":"Powell","given":"Christine"},{"family":"Wedner","given":"Susanne"},{"family":"Hatt","given":"Sarah R."}],"accessed":{"date-parts":[["2021",4,11]]},"issued":{"date-parts":[["2004"]]}}}],"schema":"https://github.com/citation-style-language/schema/raw/master/csl-citation.json"}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[189]</w:t>
      </w:r>
      <w:r w:rsidRPr="004804AA">
        <w:rPr>
          <w:rFonts w:ascii="Times New Roman" w:hAnsi="Times New Roman" w:cs="Times New Roman"/>
          <w:sz w:val="28"/>
          <w:szCs w:val="28"/>
        </w:rPr>
        <w:fldChar w:fldCharType="end"/>
      </w:r>
      <w:r w:rsidR="001E5888" w:rsidRPr="004804AA">
        <w:rPr>
          <w:rFonts w:ascii="Times New Roman" w:hAnsi="Times New Roman" w:cs="Times New Roman"/>
          <w:sz w:val="28"/>
          <w:szCs w:val="28"/>
        </w:rPr>
        <w:t xml:space="preserve">. </w:t>
      </w:r>
      <w:r w:rsidR="00E072DF" w:rsidRPr="004804AA">
        <w:rPr>
          <w:rFonts w:ascii="Times New Roman" w:hAnsi="Times New Roman" w:cs="Times New Roman"/>
          <w:sz w:val="28"/>
          <w:szCs w:val="28"/>
        </w:rPr>
        <w:t>Целью скрининга детей в странах с низким и средним уровнем доходов зачастую является сокращение доли детей с нескорректированным</w:t>
      </w:r>
      <w:r w:rsidR="00F4458E" w:rsidRPr="004804AA">
        <w:rPr>
          <w:rFonts w:ascii="Times New Roman" w:hAnsi="Times New Roman" w:cs="Times New Roman"/>
          <w:sz w:val="28"/>
          <w:szCs w:val="28"/>
        </w:rPr>
        <w:t>и</w:t>
      </w:r>
      <w:r w:rsidR="00E072DF" w:rsidRPr="004804AA">
        <w:rPr>
          <w:rFonts w:ascii="Times New Roman" w:hAnsi="Times New Roman" w:cs="Times New Roman"/>
          <w:sz w:val="28"/>
          <w:szCs w:val="28"/>
        </w:rPr>
        <w:t xml:space="preserve"> нарушени</w:t>
      </w:r>
      <w:r w:rsidR="00F4458E" w:rsidRPr="004804AA">
        <w:rPr>
          <w:rFonts w:ascii="Times New Roman" w:hAnsi="Times New Roman" w:cs="Times New Roman"/>
          <w:sz w:val="28"/>
          <w:szCs w:val="28"/>
        </w:rPr>
        <w:t>ями</w:t>
      </w:r>
      <w:r w:rsidR="00E072DF" w:rsidRPr="004804AA">
        <w:rPr>
          <w:rFonts w:ascii="Times New Roman" w:hAnsi="Times New Roman" w:cs="Times New Roman"/>
          <w:sz w:val="28"/>
          <w:szCs w:val="28"/>
        </w:rPr>
        <w:t xml:space="preserve"> зрения, которы</w:t>
      </w:r>
      <w:r w:rsidR="00F4458E" w:rsidRPr="004804AA">
        <w:rPr>
          <w:rFonts w:ascii="Times New Roman" w:hAnsi="Times New Roman" w:cs="Times New Roman"/>
          <w:sz w:val="28"/>
          <w:szCs w:val="28"/>
        </w:rPr>
        <w:t xml:space="preserve">е </w:t>
      </w:r>
      <w:r w:rsidR="00E072DF" w:rsidRPr="004804AA">
        <w:rPr>
          <w:rFonts w:ascii="Times New Roman" w:hAnsi="Times New Roman" w:cs="Times New Roman"/>
          <w:sz w:val="28"/>
          <w:szCs w:val="28"/>
        </w:rPr>
        <w:t>можно исправить с помощью очков.</w:t>
      </w:r>
      <w:r w:rsidR="002D471D" w:rsidRPr="004804AA">
        <w:rPr>
          <w:rFonts w:ascii="Times New Roman" w:eastAsiaTheme="minorEastAsia" w:hAnsi="Times New Roman" w:cs="Times New Roman"/>
          <w:color w:val="000000"/>
          <w:sz w:val="28"/>
          <w:szCs w:val="28"/>
          <w:shd w:val="clear" w:color="auto" w:fill="FFFFFF"/>
          <w:lang w:eastAsia="ru-RU"/>
        </w:rPr>
        <w:t xml:space="preserve"> </w:t>
      </w:r>
      <w:r w:rsidR="002D471D" w:rsidRPr="004804AA">
        <w:rPr>
          <w:rFonts w:ascii="Times New Roman" w:hAnsi="Times New Roman" w:cs="Times New Roman"/>
          <w:sz w:val="28"/>
          <w:szCs w:val="28"/>
        </w:rPr>
        <w:t>Результаты исследований Evans (2018) предоставляют достоверные доказательства того, что скрининг зрения с предоставлением бесплатных очков приводит к значительному увеличению доли детей, носящих очки</w:t>
      </w:r>
      <w:r w:rsidR="003E6840">
        <w:rPr>
          <w:rFonts w:ascii="Times New Roman" w:hAnsi="Times New Roman" w:cs="Times New Roman"/>
          <w:sz w:val="28"/>
          <w:szCs w:val="28"/>
        </w:rPr>
        <w:t xml:space="preserve"> и, соответственно, повышению остроты зрения и улучшению качество жизни</w:t>
      </w:r>
      <w:r w:rsidR="00966BEC">
        <w:rPr>
          <w:rFonts w:ascii="Times New Roman" w:hAnsi="Times New Roman" w:cs="Times New Roman"/>
          <w:sz w:val="28"/>
          <w:szCs w:val="28"/>
        </w:rPr>
        <w:t xml:space="preserve"> </w:t>
      </w:r>
      <w:r w:rsidR="002D471D"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{"citationID":"T9sGG4Sz","properties":{"formattedCitation":"[194]","plainCitation":"[194]","noteIndex":0},"citationItems":[{"id":617,"uris":["http://zotero.org/users/local/XMo5Fvid/items/SEWCPBWY"],"itemData":{"id":617,"type":"article-journal","container-title":"Cochrane Database of Systematic Reviews","DOI":"10.1002/14651858.CD005023.pub3","ISSN":"1465-1858","issue":"2","language":"en","source":"www.cochranelibrary.com","title":"Vision screening for correctable visual acuity deficits in school‐age children and adolescents","URL":"https://www.cochranelibrary.com/cdsr/doi/10.1002/14651858.CD005023.pub3/full?highlightAbstract=refract%7Cscreening%7Crefraction%7Cchildren%7Cwithdrawn%7Cscreen%7Cerror%7Cerrors%7Cchild","author":[{"family":"Evans","given":"Jennifer R."},{"family":"Morjaria","given":"Priya"},{"family":"Powell","given":"Christine"}],"accessed":{"date-parts":[["2019",5,11]]},"issued":{"date-parts":[["2018"]]}}}],"schema":"https://github.com/citation-style-language/schema/raw/master/csl-citation.json"} </w:instrText>
      </w:r>
      <w:r w:rsidR="002D471D"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[194]</w:t>
      </w:r>
      <w:r w:rsidR="002D471D"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p>
    <w:p w14:paraId="5A932972" w14:textId="7E4591A8" w:rsidR="008F5B11" w:rsidRPr="004804AA" w:rsidRDefault="00862A1D"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Эффективность с</w:t>
      </w:r>
      <w:r w:rsidR="005F5A7F" w:rsidRPr="004804AA">
        <w:rPr>
          <w:rFonts w:ascii="Times New Roman" w:hAnsi="Times New Roman" w:cs="Times New Roman"/>
          <w:sz w:val="28"/>
          <w:szCs w:val="28"/>
        </w:rPr>
        <w:t>крининговы</w:t>
      </w:r>
      <w:r w:rsidRPr="004804AA">
        <w:rPr>
          <w:rFonts w:ascii="Times New Roman" w:hAnsi="Times New Roman" w:cs="Times New Roman"/>
          <w:sz w:val="28"/>
          <w:szCs w:val="28"/>
        </w:rPr>
        <w:t>х</w:t>
      </w:r>
      <w:r w:rsidR="005F5A7F" w:rsidRPr="004804AA">
        <w:rPr>
          <w:rFonts w:ascii="Times New Roman" w:hAnsi="Times New Roman" w:cs="Times New Roman"/>
          <w:sz w:val="28"/>
          <w:szCs w:val="28"/>
        </w:rPr>
        <w:t xml:space="preserve"> программ мо</w:t>
      </w:r>
      <w:r w:rsidRPr="004804AA">
        <w:rPr>
          <w:rFonts w:ascii="Times New Roman" w:hAnsi="Times New Roman" w:cs="Times New Roman"/>
          <w:sz w:val="28"/>
          <w:szCs w:val="28"/>
        </w:rPr>
        <w:t>жет</w:t>
      </w:r>
      <w:r w:rsidR="005F5A7F" w:rsidRPr="004804AA">
        <w:rPr>
          <w:rFonts w:ascii="Times New Roman" w:hAnsi="Times New Roman" w:cs="Times New Roman"/>
          <w:sz w:val="28"/>
          <w:szCs w:val="28"/>
        </w:rPr>
        <w:t xml:space="preserve"> значительно варьировать в зависимости от возраста обследования детей. </w:t>
      </w:r>
      <w:r w:rsidR="008F5B11" w:rsidRPr="004804AA">
        <w:rPr>
          <w:rFonts w:ascii="Times New Roman" w:hAnsi="Times New Roman" w:cs="Times New Roman"/>
          <w:sz w:val="28"/>
          <w:szCs w:val="28"/>
        </w:rPr>
        <w:t xml:space="preserve">В 2009 году </w:t>
      </w:r>
      <w:hyperlink r:id="rId8" w:history="1">
        <w:r w:rsidR="008F5B11" w:rsidRPr="004804AA">
          <w:rPr>
            <w:rFonts w:ascii="Times New Roman" w:hAnsi="Times New Roman" w:cs="Times New Roman"/>
            <w:sz w:val="28"/>
            <w:szCs w:val="28"/>
          </w:rPr>
          <w:t>Rob Baltussen</w:t>
        </w:r>
      </w:hyperlink>
      <w:r w:rsidR="008F5B11" w:rsidRPr="004804AA">
        <w:rPr>
          <w:rFonts w:ascii="Times New Roman" w:hAnsi="Times New Roman" w:cs="Times New Roman"/>
          <w:sz w:val="28"/>
          <w:szCs w:val="28"/>
        </w:rPr>
        <w:t xml:space="preserve"> провел анализ </w:t>
      </w:r>
      <w:r w:rsidRPr="004804AA">
        <w:rPr>
          <w:rFonts w:ascii="Times New Roman" w:hAnsi="Times New Roman" w:cs="Times New Roman"/>
          <w:sz w:val="28"/>
          <w:szCs w:val="28"/>
        </w:rPr>
        <w:t xml:space="preserve">медицинской и </w:t>
      </w:r>
      <w:r w:rsidR="005F5A7F" w:rsidRPr="004804AA">
        <w:rPr>
          <w:rFonts w:ascii="Times New Roman" w:hAnsi="Times New Roman" w:cs="Times New Roman"/>
          <w:sz w:val="28"/>
          <w:szCs w:val="28"/>
        </w:rPr>
        <w:t>э</w:t>
      </w:r>
      <w:r w:rsidR="008F5B11" w:rsidRPr="004804AA">
        <w:rPr>
          <w:rFonts w:ascii="Times New Roman" w:hAnsi="Times New Roman" w:cs="Times New Roman"/>
          <w:sz w:val="28"/>
          <w:szCs w:val="28"/>
        </w:rPr>
        <w:t>кономическ</w:t>
      </w:r>
      <w:r w:rsidR="005F5A7F" w:rsidRPr="004804AA">
        <w:rPr>
          <w:rFonts w:ascii="Times New Roman" w:hAnsi="Times New Roman" w:cs="Times New Roman"/>
          <w:sz w:val="28"/>
          <w:szCs w:val="28"/>
        </w:rPr>
        <w:t>ой</w:t>
      </w:r>
      <w:r w:rsidR="008F5B11" w:rsidRPr="004804AA">
        <w:rPr>
          <w:rFonts w:ascii="Times New Roman" w:hAnsi="Times New Roman" w:cs="Times New Roman"/>
          <w:sz w:val="28"/>
          <w:szCs w:val="28"/>
        </w:rPr>
        <w:t xml:space="preserve"> эффективност</w:t>
      </w:r>
      <w:r w:rsidR="005F5A7F" w:rsidRPr="004804AA">
        <w:rPr>
          <w:rFonts w:ascii="Times New Roman" w:hAnsi="Times New Roman" w:cs="Times New Roman"/>
          <w:sz w:val="28"/>
          <w:szCs w:val="28"/>
        </w:rPr>
        <w:t>и</w:t>
      </w:r>
      <w:r w:rsidR="008F5B11" w:rsidRPr="004804AA">
        <w:rPr>
          <w:rFonts w:ascii="Times New Roman" w:hAnsi="Times New Roman" w:cs="Times New Roman"/>
          <w:sz w:val="28"/>
          <w:szCs w:val="28"/>
        </w:rPr>
        <w:t xml:space="preserve"> скрининга рефракции у школьников в Африке, Азии, Америке и Европе и пр</w:t>
      </w:r>
      <w:r w:rsidR="005F5A7F" w:rsidRPr="004804AA">
        <w:rPr>
          <w:rFonts w:ascii="Times New Roman" w:hAnsi="Times New Roman" w:cs="Times New Roman"/>
          <w:sz w:val="28"/>
          <w:szCs w:val="28"/>
        </w:rPr>
        <w:t>и</w:t>
      </w:r>
      <w:r w:rsidR="008F5B11" w:rsidRPr="004804AA">
        <w:rPr>
          <w:rFonts w:ascii="Times New Roman" w:hAnsi="Times New Roman" w:cs="Times New Roman"/>
          <w:sz w:val="28"/>
          <w:szCs w:val="28"/>
        </w:rPr>
        <w:t xml:space="preserve">шел к выводу, что </w:t>
      </w:r>
      <w:r w:rsidR="005F5A7F" w:rsidRPr="004804AA">
        <w:rPr>
          <w:rFonts w:ascii="Times New Roman" w:hAnsi="Times New Roman" w:cs="Times New Roman"/>
          <w:sz w:val="28"/>
          <w:szCs w:val="28"/>
        </w:rPr>
        <w:t>в</w:t>
      </w:r>
      <w:r w:rsidR="008F5B11" w:rsidRPr="004804AA">
        <w:rPr>
          <w:rFonts w:ascii="Times New Roman" w:hAnsi="Times New Roman" w:cs="Times New Roman"/>
          <w:sz w:val="28"/>
          <w:szCs w:val="28"/>
        </w:rPr>
        <w:t>о всех регионах наибольшее влияние на здоровье оказывает обследование детей в возрасте 5–15 лет</w:t>
      </w:r>
      <w:r w:rsidR="00204947" w:rsidRPr="004804AA">
        <w:rPr>
          <w:rFonts w:ascii="Times New Roman" w:hAnsi="Times New Roman" w:cs="Times New Roman"/>
          <w:sz w:val="28"/>
          <w:szCs w:val="28"/>
        </w:rPr>
        <w:t xml:space="preserve">. </w:t>
      </w:r>
      <w:r w:rsidR="008F5B11" w:rsidRPr="004804AA">
        <w:rPr>
          <w:rFonts w:ascii="Times New Roman" w:hAnsi="Times New Roman" w:cs="Times New Roman"/>
          <w:sz w:val="28"/>
          <w:szCs w:val="28"/>
        </w:rPr>
        <w:t xml:space="preserve">Скрининг широких </w:t>
      </w:r>
      <w:r w:rsidR="008F5B11" w:rsidRPr="004804AA">
        <w:rPr>
          <w:rFonts w:ascii="Times New Roman" w:hAnsi="Times New Roman" w:cs="Times New Roman"/>
          <w:sz w:val="28"/>
          <w:szCs w:val="28"/>
        </w:rPr>
        <w:lastRenderedPageBreak/>
        <w:t>возрастных интервалов всегда дороже, чем скрининг одновозрастных интервалов</w:t>
      </w:r>
      <w:r w:rsidR="00204947" w:rsidRPr="004804AA">
        <w:rPr>
          <w:rFonts w:ascii="Times New Roman" w:hAnsi="Times New Roman" w:cs="Times New Roman"/>
          <w:sz w:val="28"/>
          <w:szCs w:val="28"/>
        </w:rPr>
        <w:t xml:space="preserve">. </w:t>
      </w:r>
      <w:r w:rsidR="008F5B11" w:rsidRPr="004804AA">
        <w:rPr>
          <w:rFonts w:ascii="Times New Roman" w:hAnsi="Times New Roman" w:cs="Times New Roman"/>
          <w:sz w:val="28"/>
          <w:szCs w:val="28"/>
        </w:rPr>
        <w:t xml:space="preserve">Во всех регионах </w:t>
      </w:r>
      <w:r w:rsidRPr="004804AA">
        <w:rPr>
          <w:rFonts w:ascii="Times New Roman" w:hAnsi="Times New Roman" w:cs="Times New Roman"/>
          <w:sz w:val="28"/>
          <w:szCs w:val="28"/>
        </w:rPr>
        <w:t xml:space="preserve">наиболее экономически эффективным вмешательством было </w:t>
      </w:r>
      <w:r w:rsidR="008F5B11" w:rsidRPr="004804AA">
        <w:rPr>
          <w:rFonts w:ascii="Times New Roman" w:hAnsi="Times New Roman" w:cs="Times New Roman"/>
          <w:sz w:val="28"/>
          <w:szCs w:val="28"/>
        </w:rPr>
        <w:t>обследование детей в возрасте 11-15 лет, при этом стоимость составляет от 67$ за предотвращенный DALY в азиатском субрегионе до 458$ в европейском субрегионе</w:t>
      </w:r>
      <w:r w:rsidR="00966BEC">
        <w:rPr>
          <w:rFonts w:ascii="Times New Roman" w:hAnsi="Times New Roman" w:cs="Times New Roman"/>
          <w:sz w:val="28"/>
          <w:szCs w:val="28"/>
        </w:rPr>
        <w:t xml:space="preserve"> </w:t>
      </w:r>
      <w:r w:rsidR="008F5B1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{"citationID":"rQ6GZGtl","properties":{"formattedCitation":"[193]","plainCitation":"[193]","noteIndex":0},"citationItems":[{"id":1573,"uris":["http://zotero.org/users/local/XMo5Fvid/items/PQJ9N2GJ"],"itemData":{"id":1573,"type":"article-journal","abstract":"OBJECTIVE: To estimate the costs and effects of alternative strategies for annual screening of school children for refractive errors, and the provision of spectacles, in different WHO sub-regions in Africa, Asia, America and Europe.\nMETHODS: We developed a mathematical simulation model for uncorrected refractive error, using prevailing prevalence and incidence rates. Remission rates reflected the absence or presence of screening strategies for school children. All screening strategies were implemented for a period of 10 years and were compared to a situation were no screening was implemented. Outcome measures were life years adjusted for disability (DALYs), costs of screening and provision of spectacles and follow-up for six different screening strategies, and cost-effectiveness in international dollars per DALY averted. Epidemiological information was derived from the burden of disease study from the World Health Organization (WHO). Cost data were derived from large databases from the WHO. Both univariate and multivariate sensitivity analyses were performed on key parameters to determine the robustness of the model results.\nRESULTS: In all regions, screening of 5-15 years old children yields most health effects, followed by screening of 11-15 years old, 5-10 years old, and screening of 8 and 13 years old. Screening of broad-age intervals is always more costly than screening of single-age intervals, and there are important economies of scale for simultaneous screening of both 5-10 and 11-15-year-old children. In all regions, screening of 11-15 years old is the most cost-effective intervention, with the cost per DALY averted ranging from I$67 per DALY averted in the Asian sub-region to I$458 per DALY averted in the European sub-region. The incremental cost per DALY averted of screening 5-15 years old ranges between I$111 in the Asian sub-region to I$672 in the European sub-region.\nCONCLUSIONS: Considering the conservative study assumptions and the robustness of study conclusions towards changes in these assumptions, screening of school children for refractive error is economically attractive in all regions in the world.","container-title":"Health Policy (Amsterdam, Netherlands)","DOI":"10.1016/j.healthpol.2008.06.003","ISSN":"0168-8510","issue":"2","journalAbbreviation":"Health Policy","language":"eng","note":"PMID: 18621429","page":"201-215","source":"PubMed","title":"Cost-effectiveness of screening and correcting refractive errors in school children in Africa, Asia, America and Europe","volume":"89","author":[{"family":"Baltussen","given":"Rob"},{"family":"Naus","given":"Jeroen"},{"family":"Limburg","given":"Hans"}],"issued":{"date-parts":[["2009",2]]}}}],"schema":"https://github.com/citation-style-language/schema/raw/master/csl-citation.json"} </w:instrText>
      </w:r>
      <w:r w:rsidR="008F5B1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[193]</w:t>
      </w:r>
      <w:r w:rsidR="008F5B11"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876DD5" w:rsidRPr="004804AA">
        <w:rPr>
          <w:rFonts w:ascii="Times New Roman" w:hAnsi="Times New Roman" w:cs="Times New Roman"/>
          <w:sz w:val="28"/>
          <w:szCs w:val="28"/>
        </w:rPr>
        <w:t xml:space="preserve"> Таким образом, </w:t>
      </w:r>
      <w:r w:rsidR="005012FB" w:rsidRPr="004804AA">
        <w:rPr>
          <w:rFonts w:ascii="Times New Roman" w:hAnsi="Times New Roman" w:cs="Times New Roman"/>
          <w:sz w:val="28"/>
          <w:szCs w:val="28"/>
        </w:rPr>
        <w:t>школа была признана наиболее подходящей средой для профилактических программ здравоохранения</w:t>
      </w:r>
      <w:r w:rsidR="00966BEC">
        <w:rPr>
          <w:rFonts w:ascii="Times New Roman" w:hAnsi="Times New Roman" w:cs="Times New Roman"/>
          <w:sz w:val="28"/>
          <w:szCs w:val="28"/>
        </w:rPr>
        <w:t xml:space="preserve"> </w:t>
      </w:r>
      <w:r w:rsidR="005012F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{"citationID":"75Do74Af","properties":{"formattedCitation":"[188]","plainCitation":"[188]","noteIndex":0},"citationItems":[{"id":1570,"uris":["http://zotero.org/users/local/XMo5Fvid/items/SU7MDXI3"],"itemData":{"id":1570,"type":"article-journal","abstract":"In 2007, the World Health Organization, together with United Nations and international organization as well as experts, met to draw upon existing evidence and practical experience from regions, countries and individual schools in promoting health through schools. The goal of the meeting was to identify current and emerging global factors affecting schools, and to help them respond more effectively to health, education and development opportunities. At the meeting, a Statement was developed describing effective approaches and strategies that can be adopted by schools to promote health, education and development. Five key challenges were identified. These described the need to continue building evidence and capturing practical experience in school health; the importance of improving implementation processes to ensure optimal transfer of evidence into practice; the need to alleviating social and economic disadvantage in access to and successful completion of school education; the opportunity to harness media influences for positive benefit, and the continuing challenge to improve partnerships among different sectors and organizations. The participants also identified a range of actions needed to respond to these challenges, highlighting the need for action by local school communities, governments and international organizations to invest in quality education, and to increase participation of children and young people in school education. This paper describes the rationale for and process of the meeting and the development of the Statement and outlines some of the most immediate efforts made to implement the actions identified in the Statement. It also suggests further joint actions required for the implementation of the Statement.","container-title":"Health Promotion International","DOI":"10.1093/heapro/dan037","ISSN":"1460-2245","issue":"1","journalAbbreviation":"Health Promot Int","language":"eng","note":"PMID: 19039034","page":"68-77","source":"PubMed","title":"Schools for health, education and development: a call for action","title-short":"Schools for health, education and development","volume":"24","author":[{"family":"Tang","given":"Kwok-Cho"},{"family":"Nutbeam","given":"Don"},{"family":"Aldinger","given":"Carmen"},{"family":"St Leger","given":"Lawrence"},{"family":"Bundy","given":"Donald"},{"family":"Hoffmann","given":"Anna Maria"},{"family":"Yankah","given":"Ekua"},{"family":"McCall","given":"Doug"},{"family":"Buijs","given":"Goof"},{"family":"Arnaout","given":"Said"},{"family":"Morales","given":"Sofialeticia"},{"family":"Robinson","given":"Faye"},{"family":"Torranin","given":"Charuaypon"},{"family":"Drake","given":"Lesley"},{"family":"Abolfotouh","given":"Mostafa"},{"family":"Whitman","given":"Cheryl Vince"},{"family":"Meresman","given":"Sergio"},{"family":"Odete","given":"Cossa"},{"family":"Joukhadar","given":"Abdul-Halim"},{"family":"Avison","given":"Claire"},{"family":"Wright","given":"Cream"},{"family":"Huerta","given":"Franscico"},{"family":"Munodawafa","given":"Davison"},{"family":"Nyamwaya","given":"David"},{"family":"Heckert","given":"Karen"}],"issued":{"date-parts":[["2009",3]]}}}],"schema":"https://github.com/citation-style-language/schema/raw/master/csl-citation.json"} </w:instrText>
      </w:r>
      <w:r w:rsidR="005012F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[188]</w:t>
      </w:r>
      <w:r w:rsidR="005012FB"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p>
    <w:p w14:paraId="4810D67C" w14:textId="264B2A83" w:rsidR="00D91EC1" w:rsidRPr="004804AA" w:rsidRDefault="00553269"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Одним из основных препятствий для доступа к офтальмологическим услугам во многих странах с низким и средним уровнем доходов является ограниченное количество и неравномерное распределение офтальмологов, которые, как правило, практикуют в крупных городских центрах и недоступны для значительной части населения, особенно в сельской местности</w:t>
      </w:r>
      <w:r w:rsidR="00966BEC">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{"citationID":"PY1nhiLX","properties":{"formattedCitation":"[195; 196]","plainCitation":"[195; 196]","noteIndex":0},"citationItems":[{"id":1640,"uris":["http://zotero.org/users/local/XMo5Fvid/items/9RCN8HEI"],"itemData":{"id":1640,"type":"article-journal","abstract":"Global blindness exacts an enormous financial and social cost on developing countries. Reducing the prevalence of blindness globally requires a set of strategies that are different from those typically used in developed countries. This was the subject of the 2013 Knapp symposium at the American Ophthalmological Society Annual Meeting, and this article summarizes the presentations of epidemiologists, health care planners, and ophthalmologists. It explores a range of successful strategies from the multinational Vision 2020 Initiative to disease-specific schemes in cataract, trachoma control, infectious corneal ulceration, cytomegalovirus retinitis, and retinopathy of prematurity. In each example, the importance of an attitudinal change set toward public health becomes clear. There is reason for optimism in the struggle against global blindness in large measure because of innovative programs such as those described here.","container-title":"JAMA ophthalmology","DOI":"10.1001/jamaophthalmol.2014.84","ISSN":"2168-6173","issue":"5","journalAbbreviation":"JAMA Ophthalmol","language":"eng","note":"PMID: 24604415\nPMCID: PMC4063878","page":"640-644","source":"PubMed","title":"Challenges of ophthalmic care in the developing world","volume":"132","author":[{"family":"Sommer","given":"Alfred"},{"family":"Taylor","given":"Hugh R."},{"family":"Ravilla","given":"Thulasiraj D."},{"family":"West","given":"Sheila"},{"family":"Lietman","given":"Thomas M."},{"family":"Keenan","given":"Jeremy D."},{"family":"Chiang","given":"Michael F."},{"family":"Robin","given":"Alan L."},{"family":"Mills","given":"Richard P."},{"literal":"Council of the American Ophthalmological Society"}],"issued":{"date-parts":[["2014",5]]}},"label":"page"},{"id":1643,"uris":["http://zotero.org/users/local/XMo5Fvid/items/ZTM89E83"],"itemData":{"id":1643,"type":"article-journal","abstract":"BACKGROUND: In sub-Saharan Africa (SSA), the delivery of eye care services continues to be undermined by health systems performance bottlenecks. There is a growing focus by partners in the sector on the analysis of the different components of eye care within the wider health system context to diagnose and manage interactions in ways that achieve more effective improvements. However, there has been no attempt to date to systematically synthesize these studies. In this study, we conducted a meta-synthesis of eye health system assessments to gain a more comprehensive understanding of the current systems and how they can be strengthened across different SSA contexts.\nMETHODS: We conducted a comprehensive search for eye health system assessment reports using global and regional websites of the WHO and other organizations supporting eye care in sub-Saharan Africa. A range of online databases with no language restrictions (PubMed, EMBASE, MEDLINE, PsycINFO and CINAHL) were searched for peer-reviewed publications referring to eye health system assessment (EHSA) or eye care service assessment tool (ECSAT). Assessments were included if they used the ECSAT or EHSA tool; were conducted in sub-Saharan Africa; and had been completed with full reports available in the public domain by January 15, 2019. A combination of framework and thematic syntheses was used.\nRESULTS: Our search strategies yielded a total of 12 assessments conducted in nine countries using the ECSAT/EHSA tool in Sub-Saharan Africa. Eight assessments met our inclusion criteria: four were from West Africa, two from East Africa and two from Southern Africa. Across the eight countries, findings show considerable progress and improvements in the areas of governance, organisation, financing, provision, and coverage of eye care. However, several systemwide weaknesses were found to continue to impede quality eye health service planning and delivery across the countries included in this review.\nCONCLUSIONS: These findings highlight the need for national governments and iNGOs to invest in conducting and wider use of these assessments. Such analyses are particularly useful in building links between different system elements and in finding innovative, more flexible solutions and partnerships - needed to address avoidable vision loss in resource poor settings.","container-title":"BMC health services research","DOI":"10.1186/s12913-020-05279-2","ISSN":"1472-6963","issue":"1","journalAbbreviation":"BMC Health Serv Res","language":"eng","note":"PMID: 32375761\nPMCID: PMC7203845","page":"381","source":"PubMed","title":"Strengths and weaknesses of eye care services in sub-Saharan Africa: a meta-synthesis of eye health system assessments","title-short":"Strengths and weaknesses of eye care services in sub-Saharan Africa","volume":"20","author":[{"family":"Bechange","given":"Stevens"},{"family":"Jolley","given":"Emma"},{"family":"Virendrakumar","given":"Bhavisha"},{"family":"Pente","given":"Vladimir"},{"family":"Milgate","given":"Juliet"},{"family":"Schmidt","given":"Elena"}],"issued":{"date-parts":[["2020",5,6]]}},"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[195; 196]</w:t>
      </w:r>
      <w:r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Pr="004804AA">
        <w:rPr>
          <w:rFonts w:ascii="Times New Roman" w:hAnsi="Times New Roman" w:cs="Times New Roman"/>
          <w:sz w:val="28"/>
          <w:szCs w:val="28"/>
        </w:rPr>
        <w:t xml:space="preserve"> </w:t>
      </w:r>
      <w:r w:rsidR="00D91EC1" w:rsidRPr="004804AA">
        <w:rPr>
          <w:rFonts w:ascii="Times New Roman" w:hAnsi="Times New Roman" w:cs="Times New Roman"/>
          <w:sz w:val="28"/>
          <w:szCs w:val="28"/>
        </w:rPr>
        <w:t xml:space="preserve">Из-за нехватки специалистов </w:t>
      </w:r>
      <w:r w:rsidRPr="004804AA">
        <w:rPr>
          <w:rFonts w:ascii="Times New Roman" w:hAnsi="Times New Roman" w:cs="Times New Roman"/>
          <w:sz w:val="28"/>
          <w:szCs w:val="28"/>
        </w:rPr>
        <w:t>в</w:t>
      </w:r>
      <w:r w:rsidR="00D91EC1" w:rsidRPr="004804AA">
        <w:rPr>
          <w:rFonts w:ascii="Times New Roman" w:hAnsi="Times New Roman" w:cs="Times New Roman"/>
          <w:sz w:val="28"/>
          <w:szCs w:val="28"/>
        </w:rPr>
        <w:t xml:space="preserve"> </w:t>
      </w:r>
      <w:r w:rsidRPr="004804AA">
        <w:rPr>
          <w:rFonts w:ascii="Times New Roman" w:hAnsi="Times New Roman" w:cs="Times New Roman"/>
          <w:sz w:val="28"/>
          <w:szCs w:val="28"/>
        </w:rPr>
        <w:t>этих регионах,</w:t>
      </w:r>
      <w:r w:rsidR="00D91EC1" w:rsidRPr="004804AA">
        <w:rPr>
          <w:rFonts w:ascii="Times New Roman" w:hAnsi="Times New Roman" w:cs="Times New Roman"/>
          <w:sz w:val="28"/>
          <w:szCs w:val="28"/>
        </w:rPr>
        <w:t xml:space="preserve"> школьные программы скрининга были смоделированы для персонала, не занимающегося офтальмологическим уходом; чаще всего это школьные учителя и школьные медсестры, которые были обучены проводить тестирование остроты зрения</w:t>
      </w:r>
      <w:r w:rsidR="00966BEC">
        <w:rPr>
          <w:rFonts w:ascii="Times New Roman" w:hAnsi="Times New Roman" w:cs="Times New Roman"/>
          <w:sz w:val="28"/>
          <w:szCs w:val="28"/>
        </w:rPr>
        <w:t xml:space="preserve"> </w:t>
      </w:r>
      <w:r w:rsidR="00D91EC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4MEvDCt","properties":{"formattedCitation":"[197\\uc0\\u8211{}200]","plainCitation":"[197–200]","noteIndex":0},"citationItems":[{"id":1618,"uris":["http://zotero.org/users/local/XMo5Fvid/items/MDFGY9NW"],"itemData":{"id":1618,"type":"article-journal","abstract":"Childhood blindness and visual impairment are as important and perhaps more devastating and disabling than adult onset blindness, because of the long span of life still remaining to be lived. Refractive errors and more particularly myopia, place a substantial burden on the individual and society. School-age children constitute a particularly vulnerable group where uncorrected refractive errors may have a dramatic impact on learning capability and educational potential. This article provides an overview of school eye screening from the perspective of National Program for Control of Blindness (NPCB), Government of India; and challenges, future directions and thrust area envisaged under the program for amelioration of childhood blindness.","container-title":"Indian Pediatrics","ISSN":"0019-6061","issue":"3","journalAbbreviation":"Indian Pediatr","language":"eng","note":"PMID: 19346567","page":"205-208","source":"PubMed","title":"School eye screening and the National Program for Control of Blindness","volume":"46","author":[{"family":"Jose","given":"R."},{"family":"Sachdeva","given":"Sandeep"}],"issued":{"date-parts":[["2009",3]]}},"label":"page"},{"id":705,"uris":["http://zotero.org/users/local/XMo5Fvid/items/HSRREBVS"],"itemData":{"id":705,"type":"article-journal","abstract":"Purpose: In India, teachers screen middle school children using the 6/9 Snellen's optotype. Recently, the National Program for Control of Blindness included primary school students also. The present cross-sectional study was planned to assess the inclusion of primary school students. Compliance to spectacles was ascertained after 6 months follow-up.\nMethods: Randomly selected 23 Government primary schools. A total of 30 teachers were nominated and given hands-on training in vision screening and recording formats. Teachers conducted vision screening of primary school students of their respective schools using the 6/12 Snellen's chart and referred students with subnormal vision to optometrist. Optometrist also validated the screening done by teachers. Optometrist screened the vision of 5% randomly selected children screened by teachers as having normal vision. Descriptive statistics used STATA version 13.0.\nResults: A total of 6056 students screened by the teachers. Sensitivity and specificity of teacher screening were 92.3% (confidence interval [CI] 88.6-95.0) and 72.6% (CI 68.2-76.6)), respectively. About 277 students underwent refraction and 186 prescribed spectacles. The prevalence of myopia, hypermetropia, and astigmatism is 2.5% (2.1-2.9), 0.6% (0.4-0.8), and 1.3% (1.0-1.6), respectively. Compliance to spectacles usage is 36%.\nConclusion: Burden of refractive error in primary school is very low. Trained teachers can identify children with subnormal vision, but the false-positive rate is very high. Compliance to spectacle use among primary school children is also less. Vision screening by teachers prioritized in secondary schools and preschool screening should be done by more skilled eye care workers preferably optometrist.","container-title":"Indian Journal of Ophthalmology","DOI":"10.4103/ijo.IJO_1036_17","ISSN":"1998-3689","issue":"7","journalAbbreviation":"Indian J Ophthalmol","language":"eng","note":"PMID: 29941735\nPMCID: PMC6032729","page":"935-939","source":"PubMed","title":"Assessing the inclusion of primary school children in vision screening for refractive error program of India","volume":"66","author":[{"family":"Shukla","given":"Pallavi"},{"family":"Vashist","given":"Praveen"},{"family":"Singh","given":"Suraj Senjam"},{"family":"Gupta","given":"Vivek"},{"family":"Gupta","given":"Noopur"},{"family":"Wadhwani","given":"Meenakshi"},{"family":"Bharadwaj","given":"Amit"},{"family":"Arora","given":"Lakshya"}],"issued":{"date-parts":[["2018"]]}},"label":"page"},{"id":730,"uris":["http://zotero.org/users/local/XMo5Fvid/items/GGG5BWHB"],"itemData":{"id":730,"type":"article-journal","abstract":"Introduction\nAs part of the development of a system for the screening of refractive error in Thai children, this study describes the accuracy and feasibility of establishing a program conducted by teachers.\n\nObjective\nTo assess the accuracy and feasibility of screening by teachers.\n\nMethods\nA cross-sectional descriptive and analytical study was conducted in 17 schools in four provinces representing four geographic regions in Thailand. A two-staged cluster sampling was employed to compare the detection rate of refractive error among eligible students between trained teachers and health professionals. Serial focus group discussions were held for teachers and parents in order to understand their attitude towards refractive error screening at schools and the potential success factors and barriers.\n\nResults\nThe detection rate of refractive error screening by teachers among pre-primary school children is relatively low (21%) for mild visual impairment but higher for moderate visual impairment (44%). The detection rate for primary school children is high for both levels of visual impairment (52% for mild and 74% for moderate). The focus group discussions reveal that both teachers and parents would benefit from further education regarding refractive errors and that the vast majority of teachers are willing to conduct a school-based screening program.\n\nConclusion\nRefractive error screening by health professionals in pre-primary and primary school children is not currently implemented in Thailand due to resource limitations. However, evidence suggests that a refractive error screening program conducted in schools by teachers in the country is reasonable and feasible because the detection and treatment of refractive error in very young generations is important and the screening program can be implemented and conducted with relatively low costs.","container-title":"PLoS ONE","DOI":"10.1371/journal.pone.0096684","ISSN":"1932-6203","issue":"6","journalAbbreviation":"PLoS One","note":"PMID: 24926993\nPMCID: PMC4057069","source":"PubMed Central","title":"Assessing the Accuracy and Feasibility of a Refractive Error Screening Program Conducted by School Teachers in Pre-Primary and Primary Schools in Thailand","URL":"https://www.ncbi.nlm.nih.gov/pmc/articles/PMC4057069/","volume":"9","author":[{"family":"Teerawattananon","given":"Kanlaya"},{"family":"Myint","given":"Chaw-Yin"},{"family":"Wongkittirux","given":"Kwanjai"},{"family":"Teerawattananon","given":"Yot"},{"family":"Chinkulkitnivat","given":"Bunyong"},{"family":"Orprayoon","given":"Surapong"},{"family":"Kusakul","given":"Suwat"},{"family":"Tengtrisorn","given":"Supaporn"},{"family":"Jenchitr","given":"Watanee"}],"accessed":{"date-parts":[["2019",5,13]]},"issued":{"date-parts":[["2014",6,13]]}},"label":"page"},{"id":1564,"uris":["http://zotero.org/users/local/XMo5Fvid/items/T3TGVBAK"],"itemData":{"id":1564,"type":"article-journal","abstract":"BACKGROUND: Refractive error is defined as the inability of the eye to bring parallel rays of light into focus on the retina, resulting in nearsightedness (myopia), farsightedness (Hyperopia) or astigmatism. Uncorrected refractive error in children is associated with increased morbidity and reduced educational opportunities. Vision screening (VS) is a method for identifying children with visual impairment or eye conditions likely to lead to visual impairment.\nOBJECTIVE: To analyze the utility of vision screening conducted by teachers and to contribute to a better estimation of the prevalence of childhood refractive errors in Apurimac, Peru. Design : A pilot vision screening program in preschool (Group I) and elementary school children (Group II) was conducted with the participation of 26 trained teachers. Children whose visual acuity was&lt;6/9 [20/30] (Group I) and ≤ 6/9 (Group II) in one or both eyes, measured with the Snellen Tumbling E chart at 6 m, were referred for a comprehensive eye exam. Specificity and positive predictive value to detect refractive error were calculated against clinical examination. Program assessment with participants was conducted to evaluate outcomes and procedures.\nRESULTS: A total sample of 364 children aged 3-11 were screened; 45 children were examined at Centro Oftalmológico Monseñor Enrique Pelach (COMEP) Eye Hospital. Prevalence of refractive error was 6.2% (Group I) and 6.9% (Group II); specificity of teacher vision screening was 95.8% and 93.0%, while positive predictive value was 59.1% and 47.8% for each group, respectively. Aspects highlighted to improve the program included extending training, increasing parental involvement, and helping referred children to attend the hospital.\nCONCLUSION: Prevalence of refractive error in children is significant in the region. Vision screening performed by trained teachers is a valid intervention for early detection of refractive error, including screening of preschool children. Program sustainability and improvements in education and quality of life resulting from childhood vision screening require further research.","container-title":"Global Health Action","DOI":"10.3402/gha.v7.22656","ISSN":"1654-9880","journalAbbreviation":"Glob Health Action","language":"eng","note":"PMID: 24560253\nPMCID: PMC3925804","page":"22656","source":"PubMed","title":"Reducing visual deficits caused by refractive errors in school and preschool children: results of a pilot school program in the Andean region of Apurimac, Peru","title-short":"Reducing visual deficits caused by refractive errors in school and preschool children","volume":"7","author":[{"family":"Latorre-Arteaga","given":"Sergio"},{"family":"Gil-González","given":"Diana"},{"family":"Enciso","given":"Olga"},{"family":"Phelan","given":"Aoife"},{"family":"García-Muñoz","given":"Angel"},{"family":"Kohler","given":"Johannes"}],"issued":{"date-parts":[["2014"]]}},"label":"page"}],"schema":"https://github.com/citation-style-language/schema/raw/master/csl-citation.json"} </w:instrText>
      </w:r>
      <w:r w:rsidR="00D91EC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[197–200]</w:t>
      </w:r>
      <w:r w:rsidR="00D91EC1"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Программы скрининга зрения у школьников могут проводиться с привлечением школьных учителей, медсестер, оптометристов, родителей, непрофессиональных добровольцев или компьютерных программ.</w:t>
      </w:r>
      <w:r w:rsidR="00444869">
        <w:rPr>
          <w:rFonts w:ascii="Times New Roman" w:hAnsi="Times New Roman" w:cs="Times New Roman"/>
          <w:sz w:val="28"/>
          <w:szCs w:val="28"/>
        </w:rPr>
        <w:t xml:space="preserve"> </w:t>
      </w:r>
      <w:r w:rsidR="00D91EC1" w:rsidRPr="004804AA">
        <w:rPr>
          <w:rFonts w:ascii="Times New Roman" w:hAnsi="Times New Roman" w:cs="Times New Roman"/>
          <w:sz w:val="28"/>
          <w:szCs w:val="28"/>
        </w:rPr>
        <w:t xml:space="preserve">Исследования показало, что непрофессионалы были так же эффективны, как и медсестры, в проведении скрининговых тестов и подтвердили идентичность результатов скрининга, проводимого учителями, местными оптометристами и волонтерами </w:t>
      </w:r>
      <w:r w:rsidR="00D91EC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wun1MLEX","properties":{"formattedCitation":"[201\\uc0\\u8211{}203]","plainCitation":"[201–203]","noteIndex":0},"citationItems":[{"id":1629,"uris":["http://zotero.org/users/local/XMo5Fvid/items/NC4INDD8"],"itemData":{"id":1629,"type":"article-journal","abstract":"Objectives\nTo assess the diagnostic accuracy of five vision screening tools used in a school setting using sensitivity, specificity, positive predictive value (PPV) and negative predictive value (NPV).\n\nDesign\nWe compared the results of the five best evidence-based screening tools available in 2014 to the results of a comprehensive eye exam with cycloplegic refraction by a licenced optometrist. Screening included Cambridge Crowded Acuity Cards, Plusoptix S12 and Spot photoscreeners, Preschool Randot Stereoacuity Test and the Pediatric Vision Scanner (PVS). Referral criteria followed AAPOS (2013) guidelines and published norms.\n\nSetting\nA large school in Toronto, Canada, with 25 split classrooms of junior kindergarten (JK: 4 year olds) and senior kindergarten (SK: 5 year olds) children.\n\nParticipants\nOver 2 years, 1132 eligible children were enrolled at the school. After obtaining parental consent, 832 children were screened. Subsequently, 709 children had complete screening and optometry exam data.\n\nMain outcome measures\nThe presence/absence of a visual problem based on optometrist’s assessment: amblyopia, amblyopia risk factors (reduced stereoacuity, strabismus and clinically significant refractive errors) and any other ocular problem (eg, nystagmus).\n\nResults\nOverall, 26.5% of the screened children had a visual problem, including 5.9% with amblyopia. Using all five tools, screening sensitivity=84% (95% CI 78 to 89), specificity=49% (95% CI 44 to 53), PPV=37% (95% CI 33 to 42), and NPV=90% (95% CI 86 to 93). The odds of having a correct screening result in SK (mean age=68.2 months) was 1.5 times those in JK (mean age=55.6 months; 95% CI 1.1 to 2.1), with sensitivity improved to 89% (95% CI 80 to 96) and specificity improved to 57% (95% CI 50 to 64) among SK children.\n\nConclusions\nA school-based screening programme correctly identified 84% of those kindergarten children who were found to have a visual problem by a cyclopleged optometry exam. Additional analyses revealed how accuracy varies with different combinations of screening tools and referral criteria.","container-title":"BMJ Open","DOI":"10.1136/bmjopen-2019-032138","ISSN":"2044-6055","issue":"9","journalAbbreviation":"BMJ Open","note":"PMID: 31558460\nPMCID: PMC6773298","source":"PubMed Central","title":"Choosing appropriate tools and referral criteria for vision screening of children aged 4–5 years in Canada: a quantitative analysis","title-short":"Choosing appropriate tools and referral criteria for vision screening of children aged 4–5 years in Canada","URL":"https://www.ncbi.nlm.nih.gov/pmc/articles/PMC6773298/","volume":"9","author":[{"family":"Nishimura","given":"Mayu"},{"family":"Wong","given":"Agnes"},{"family":"Cohen","given":"Ashley"},{"family":"Thorpe","given":"Kevin"},{"family":"Maurer","given":"Daphne"}],"accessed":{"date-parts":[["2021",4,12]]},"issued":{"date-parts":[["2019",9,26]]}},"label":"page"},{"id":1632,"uris":["http://zotero.org/users/local/XMo5Fvid/items/893ZYDE5"],"itemData":{"id":1632,"type":"article-journal","abstract":"PURPOSE: To compare the performance of nurse screeners with that of lay screeners in administering preschool vision screening tests.\nMETHODS: Trained nurse and lay screeners administered the Retinomax Autorefractor (Right Manufacturing, Virginia Beach, VA), SureSight Vision Screener (Welch Allyn, Inc., Skaneateles Falls, NY), crowded Linear Lea Symbols visual acuity (VA) test at 10 ft (Precision Vision, Inc., La Salle, IL), and Stereo Smile II test (Stereo Optical, Inc., Chicago, IL) to 3- to 5-year-old Head Start participants. Lay screeners also administered a crowded Single Lea Symbols VA test at 5 ft (Good-Lite, Inc.). Screening results were compared with the classification of the children according to the presence of one or more of four conditions (amblyopia, strabismus, significant refractive error, and unexplained reduced VA) based on the results of a gold standard eye examination by study-certified optometrists and ophthalmologists. The primary outcome measure was sensitivity for detecting children with one or more targeted conditions at 0.90 specificity.\nRESULTS: Nurse screeners achieved slightly higher sensitivities with the Retinomax, SureSight, and Stereo Smile II tests than did lay screeners; however, most differences were small and not statistically significant. Nurse screeners achieved significantly higher sensitivity with the Linear Lea Symbols VA test than did lay screeners. Lay screeners achieved strikingly higher sensitivity with the Single Lea Symbols VA test than did nurse or lay screeners using the Linear Lea Symbols VA test. Combining the Stereo Smile II test with each of the other tests did not result in improved sensitivities for detecting one or more targeted conditions.\nCONCLUSIONS: Nurse and lay screeners can achieve similar sensitivity, when specificity is set at 0.90, for detecting preschool children in need of a comprehensive eye examination.","container-title":"Investigative Ophthalmology &amp; Visual Science","DOI":"10.1167/iovs.05-0141","ISSN":"0146-0404","issue":"8","journalAbbreviation":"Invest Ophthalmol Vis Sci","language":"eng","note":"PMID: 16043831","page":"2639-2648","source":"PubMed","title":"Preschool vision screening tests administered by nurse screeners compared with lay screeners in the vision in preschoolers study","volume":"46","author":[{"literal":"Vision in Preschoolers Study Group"}],"issued":{"date-parts":[["2005",8]]}},"label":"page"},{"id":623,"uris":["http://zotero.org/users/local/XMo5Fvid/items/XWUTMTM5"],"itemData":{"id":623,"type":"article-journal","abstract":"PURPOSE: To explore the accuracy and cost-effectiveness of three vision screening models among preschool children in rural China.\nMETHODS: Vision screening was carried out among children aged 4-5 years in 65 preschools in two counties in Northwest China, using Crowded Single Lea Symbols to test visual acuity. Children were assigned randomly by school to one of three screening models: screening by teachers (15 schools, 1835 children), local optometrists (30 schools, 1718 children) or volunteers (20 schools, 2183 children). Children identifying ≥2 symbols incorrectly in either eye failed screening. Accuracy of screening was compared with screenings executed by experienced optometrists among 141 children selected randomly from the three screening models. Direct and indirect costs for each model were assessed. Costs to detect a true case failed screening were estimated.\nRESULTS: The sensitivity for three models ranged from 76.9% to 87.5%, specificity from 84.9% to 86.7% and standardized positive predictive value from 83.7% to 85.7%. None differed significantly between models. The costs per case detected were $37.53, $59.14 and $52.19 for the teachers, local optometrists and volunteers. In producing the cost estimates for teacher screening and local optometrist screening models, we used a salary payment that was identical for both models (with the salary being equal to that of the optometrist). The teacher screening model was the most cost-effective.\nCONCLUSION: Accuracy of screening by teachers, local optometrists and volunteers was the same in this setting, but the use of teachers was most cost-effective, reducing the cost per case detected by almost 40%.","container-title":"Acta Ophthalmologica","DOI":"10.1111/aos.13954","ISSN":"1755-3768","issue":"3","journalAbbreviation":"Acta Ophthalmol","language":"eng","note":"PMID: 30345728","page":"e419-e425","source":"PubMed","title":"The cost-effectiveness of alternative vision screening models among preschool children in rural China","volume":"97","author":[{"family":"Wang","given":"Lei"},{"family":"Congdon","given":"Nathan"},{"family":"Hogg","given":"Ruth E."},{"family":"Zhang","given":"Siqi"},{"family":"Li","given":"Mengjie"},{"family":"Shi","given":"Yaojiang"},{"family":"Jin","given":"Ling"},{"family":"He","given":"Fei"},{"family":"Wang","given":"Huan"},{"family":"Boswell","given":"Matthew"},{"family":"Iyer","given":"Mony"}],"issued":{"date-parts":[["2019",5]]}},"label":"page"}],"schema":"https://github.com/citation-style-language/schema/raw/master/csl-citation.json"} </w:instrText>
      </w:r>
      <w:r w:rsidR="00D91EC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[201–203]</w:t>
      </w:r>
      <w:r w:rsidR="00D91EC1" w:rsidRPr="004804AA">
        <w:rPr>
          <w:rFonts w:ascii="Times New Roman" w:hAnsi="Times New Roman" w:cs="Times New Roman"/>
          <w:sz w:val="28"/>
          <w:szCs w:val="28"/>
        </w:rPr>
        <w:fldChar w:fldCharType="end"/>
      </w:r>
      <w:r w:rsidR="00D91EC1" w:rsidRPr="004804AA">
        <w:rPr>
          <w:rFonts w:ascii="Times New Roman" w:hAnsi="Times New Roman" w:cs="Times New Roman"/>
          <w:sz w:val="28"/>
          <w:szCs w:val="28"/>
        </w:rPr>
        <w:t>. А Wang (2019) подтвердил, что модель скрининга с участием школьных учителей убыла наиболее рентабельной и позволила снизить стоимость одного обнаруженного случая нарушения рефракции почти на 40%. Расходы на каждый выявленный случай составили $37,53 для скрининга с привлечением учителей; $59,14 – с привлечением оптометристов и $52,19 – с привлечением добровольцев</w:t>
      </w:r>
      <w:r w:rsidR="00966BEC">
        <w:rPr>
          <w:rFonts w:ascii="Times New Roman" w:hAnsi="Times New Roman" w:cs="Times New Roman"/>
          <w:sz w:val="28"/>
          <w:szCs w:val="28"/>
        </w:rPr>
        <w:t xml:space="preserve"> </w:t>
      </w:r>
      <w:r w:rsidR="00D91EC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{"citationID":"Ellt81XF","properties":{"formattedCitation":"[203]","plainCitation":"[203]","noteIndex":0},"citationItems":[{"id":623,"uris":["http://zotero.org/users/local/XMo5Fvid/items/XWUTMTM5"],"itemData":{"id":623,"type":"article-journal","abstract":"PURPOSE: To explore the accuracy and cost-effectiveness of three vision screening models among preschool children in rural China.\nMETHODS: Vision screening was carried out among children aged 4-5 years in 65 preschools in two counties in Northwest China, using Crowded Single Lea Symbols to test visual acuity. Children were assigned randomly by school to one of three screening models: screening by teachers (15 schools, 1835 children), local optometrists (30 schools, 1718 children) or volunteers (20 schools, 2183 children). Children identifying ≥2 symbols incorrectly in either eye failed screening. Accuracy of screening was compared with screenings executed by experienced optometrists among 141 children selected randomly from the three screening models. Direct and indirect costs for each model were assessed. Costs to detect a true case failed screening were estimated.\nRESULTS: The sensitivity for three models ranged from 76.9% to 87.5%, specificity from 84.9% to 86.7% and standardized positive predictive value from 83.7% to 85.7%. None differed significantly between models. The costs per case detected were $37.53, $59.14 and $52.19 for the teachers, local optometrists and volunteers. In producing the cost estimates for teacher screening and local optometrist screening models, we used a salary payment that was identical for both models (with the salary being equal to that of the optometrist). The teacher screening model was the most cost-effective.\nCONCLUSION: Accuracy of screening by teachers, local optometrists and volunteers was the same in this setting, but the use of teachers was most cost-effective, reducing the cost per case detected by almost 40%.","container-title":"Acta Ophthalmologica","DOI":"10.1111/aos.13954","ISSN":"1755-3768","issue":"3","journalAbbreviation":"Acta Ophthalmol","language":"eng","note":"PMID: 30345728","page":"e419-e425","source":"PubMed","title":"The cost-effectiveness of alternative vision screening models among preschool children in rural China","volume":"97","author":[{"family":"Wang","given":"Lei"},{"family":"Congdon","given":"Nathan"},{"family":"Hogg","given":"Ruth E."},{"family":"Zhang","given":"Siqi"},{"family":"Li","given":"Mengjie"},{"family":"Shi","given":"Yaojiang"},{"family":"Jin","given":"Ling"},{"family":"He","given":"Fei"},{"family":"Wang","given":"Huan"},{"family":"Boswell","given":"Matthew"},{"family":"Iyer","given":"Mony"}],"issued":{"date-parts":[["2019",5]]}}}],"schema":"https://github.com/citation-style-language/schema/raw/master/csl-citation.json"} </w:instrText>
      </w:r>
      <w:r w:rsidR="00D91EC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[203]</w:t>
      </w:r>
      <w:r w:rsidR="00D91EC1" w:rsidRPr="004804AA">
        <w:rPr>
          <w:rFonts w:ascii="Times New Roman" w:hAnsi="Times New Roman" w:cs="Times New Roman"/>
          <w:sz w:val="28"/>
          <w:szCs w:val="28"/>
        </w:rPr>
        <w:fldChar w:fldCharType="end"/>
      </w:r>
      <w:r w:rsidR="00966BEC">
        <w:rPr>
          <w:rFonts w:ascii="Times New Roman" w:hAnsi="Times New Roman" w:cs="Times New Roman"/>
          <w:sz w:val="28"/>
          <w:szCs w:val="28"/>
        </w:rPr>
        <w:t>.</w:t>
      </w:r>
      <w:r w:rsidR="00D91EC1" w:rsidRPr="004804AA">
        <w:rPr>
          <w:rFonts w:ascii="Times New Roman" w:hAnsi="Times New Roman" w:cs="Times New Roman"/>
          <w:sz w:val="28"/>
          <w:szCs w:val="28"/>
        </w:rPr>
        <w:t xml:space="preserve"> </w:t>
      </w:r>
    </w:p>
    <w:p w14:paraId="01BDF133" w14:textId="0B7697F2" w:rsidR="00A6281C" w:rsidRPr="004804AA" w:rsidRDefault="00E114F2" w:rsidP="005C37DF">
      <w:pPr>
        <w:pStyle w:val="a3"/>
        <w:shd w:val="clear" w:color="auto" w:fill="FFFFFF"/>
        <w:spacing w:before="0" w:beforeAutospacing="0" w:after="0" w:afterAutospacing="0"/>
        <w:ind w:firstLine="709"/>
        <w:jc w:val="both"/>
        <w:rPr>
          <w:sz w:val="28"/>
          <w:szCs w:val="28"/>
        </w:rPr>
      </w:pPr>
      <w:r w:rsidRPr="004804AA">
        <w:rPr>
          <w:rFonts w:eastAsiaTheme="minorHAnsi"/>
          <w:sz w:val="28"/>
          <w:szCs w:val="28"/>
          <w:lang w:eastAsia="en-US"/>
        </w:rPr>
        <w:t>В разных регионах программы скрининга зрения могут быть предоставлены как часть государственной системы здравоохранения или могут осуществляться неправительственными организациями, такими как благотворительные организации или частный сектор</w:t>
      </w:r>
      <w:r w:rsidR="00966BEC">
        <w:rPr>
          <w:rFonts w:eastAsiaTheme="minorHAnsi"/>
          <w:sz w:val="28"/>
          <w:szCs w:val="28"/>
          <w:lang w:eastAsia="en-US"/>
        </w:rPr>
        <w:t xml:space="preserve"> </w:t>
      </w:r>
      <w:r w:rsidRPr="004804AA">
        <w:rPr>
          <w:rFonts w:eastAsiaTheme="minorHAnsi"/>
          <w:sz w:val="28"/>
          <w:szCs w:val="28"/>
          <w:lang w:eastAsia="en-US"/>
        </w:rPr>
        <w:fldChar w:fldCharType="begin"/>
      </w:r>
      <w:r w:rsidR="00A00EFF">
        <w:rPr>
          <w:rFonts w:eastAsiaTheme="minorHAnsi"/>
          <w:sz w:val="28"/>
          <w:szCs w:val="28"/>
          <w:lang w:eastAsia="en-US"/>
        </w:rPr>
        <w:instrText xml:space="preserve"> ADDIN ZOTERO_ITEM CSL_CITATION {"citationID":"8vl5GIkZ","properties":{"formattedCitation":"[204]","plainCitation":"[204]","noteIndex":0},"citationItems":[{"id":591,"uris":["http://zotero.org/users/local/XMo5Fvid/items/RTK5T5IR"],"itemData":{"id":591,"type":"article-journal","abstract":"The World Health Organization estimates that 13 million children aged 5-15 years worldwide are visually impaired from uncorrected refractive error. School vision screening programs can identify and treat or refer children with refractive error. We concentrate on the findings of various screening studies and attempt to identify key factors in the success and sustainability of such programs in the developing world. We reviewed original and review articles describing children's vision and refractive error screening programs published in English and listed in PubMed, Medline OVID, Google Scholar, and Oxford University Electronic Resources databases. Data were abstracted on study objective, design, setting, participants, and outcomes, including accuracy of screening, quality of refractive services, barriers to uptake, impact on quality of life, and cost-effectiveness of programs. Inadequately corrected refractive error is an important global cause of visual impairment in childhood. School-based vision screening carried out by teachers and other ancillary personnel may be an effective means of detecting affected children and improving their visual function with spectacles. The need for services and potential impact of school-based programs varies widely between areas, depending on prevalence of refractive error and competing conditions and rates of school attendance. Barriers to acceptance of services include the cost and quality of available refractive care and mistaken beliefs that glasses will harm children's eyes. Further research is needed in areas such as the cost-effectiveness of different screening approaches and impact of education to promote acceptance of spectacle-wear. School vision programs should be integrated into comprehensive efforts to promote healthy children and their families.","container-title":"Survey of Ophthalmology","DOI":"10.1016/j.survophthal.2011.11.002","ISSN":"1879-3304","issue":"3","journalAbbreviation":"Surv Ophthalmol","language":"eng","note":"PMID: 22398336","page":"272-283","source":"PubMed","title":"School-based approaches to the correction of refractive error in children","volume":"57","author":[{"family":"Sharma","given":"Abhishek"},{"family":"Congdon","given":"Nathan"},{"family":"Patel","given":"Mehul"},{"family":"Gilbert","given":"Clare"}],"issued":{"date-parts":[["2012",6]]}}}],"schema":"https://github.com/citation-style-language/schema/raw/master/csl-citation.json"} </w:instrText>
      </w:r>
      <w:r w:rsidRPr="004804AA">
        <w:rPr>
          <w:rFonts w:eastAsiaTheme="minorHAnsi"/>
          <w:sz w:val="28"/>
          <w:szCs w:val="28"/>
          <w:lang w:eastAsia="en-US"/>
        </w:rPr>
        <w:fldChar w:fldCharType="separate"/>
      </w:r>
      <w:r w:rsidR="00A00EFF" w:rsidRPr="00A00EFF">
        <w:rPr>
          <w:rFonts w:eastAsiaTheme="minorHAnsi"/>
          <w:sz w:val="28"/>
        </w:rPr>
        <w:t>[204]</w:t>
      </w:r>
      <w:r w:rsidRPr="004804AA">
        <w:rPr>
          <w:rFonts w:eastAsiaTheme="minorHAnsi"/>
          <w:sz w:val="28"/>
          <w:szCs w:val="28"/>
          <w:lang w:eastAsia="en-US"/>
        </w:rPr>
        <w:fldChar w:fldCharType="end"/>
      </w:r>
      <w:r w:rsidR="00966BEC">
        <w:rPr>
          <w:rFonts w:eastAsiaTheme="minorHAnsi"/>
          <w:sz w:val="28"/>
          <w:szCs w:val="28"/>
          <w:lang w:eastAsia="en-US"/>
        </w:rPr>
        <w:t>.</w:t>
      </w:r>
      <w:r w:rsidR="00DF7B66" w:rsidRPr="004804AA">
        <w:rPr>
          <w:rFonts w:eastAsiaTheme="minorHAnsi"/>
          <w:sz w:val="28"/>
          <w:szCs w:val="28"/>
          <w:lang w:eastAsia="en-US"/>
        </w:rPr>
        <w:t xml:space="preserve"> Как правило, государственные скрининговые мероприятия широко внедрены в развитых странах.</w:t>
      </w:r>
      <w:r w:rsidR="00444869">
        <w:rPr>
          <w:rFonts w:eastAsiaTheme="minorHAnsi"/>
          <w:sz w:val="28"/>
          <w:szCs w:val="28"/>
          <w:lang w:eastAsia="en-US"/>
        </w:rPr>
        <w:t xml:space="preserve"> </w:t>
      </w:r>
      <w:r w:rsidR="00EC0393" w:rsidRPr="004804AA">
        <w:rPr>
          <w:sz w:val="28"/>
          <w:szCs w:val="28"/>
        </w:rPr>
        <w:t>В США детей проверяют в детском саду, а затем дважды в год на протяжении всего школьного этапах обучения и проводится преимущественно оптометристами и медицинскими сестрами</w:t>
      </w:r>
      <w:r w:rsidR="00966BEC">
        <w:rPr>
          <w:sz w:val="28"/>
          <w:szCs w:val="28"/>
        </w:rPr>
        <w:t xml:space="preserve"> </w:t>
      </w:r>
      <w:r w:rsidR="00EC0393" w:rsidRPr="004804AA">
        <w:rPr>
          <w:sz w:val="28"/>
          <w:szCs w:val="28"/>
        </w:rPr>
        <w:fldChar w:fldCharType="begin"/>
      </w:r>
      <w:r w:rsidR="006E34BC">
        <w:rPr>
          <w:sz w:val="28"/>
          <w:szCs w:val="28"/>
        </w:rPr>
        <w:instrText xml:space="preserve"> ADDIN ZOTERO_ITEM CSL_CITATION {"citationID":"pCvghHj8","properties":{"formattedCitation":"[205; 206]","plainCitation":"[205; 206]","noteIndex":0},"citationItems":[{"id":1586,"uris":["http://zotero.org/users/local/XMo5Fvid/items/46BIFT4U"],"itemData":{"id":1586,"type":"article-journal","abstract":"Screening programmes enable health conditions to be identified so that effective interventions can be offered. The aim of this review was to determine: (1) the effectiveness of children's vision screening programmes; (2) at what age children should attend vision screening; and (3) what form vision screening programmes should take to be most effective. A literature review on the effectiveness of vision screening programmes in children aged 0-16 years was undertaken. Eligible studies/reviews were identified through clinical databases, hand searches and consultation with expert reviewers. The methodological quality of papers was rated using National Health and Medical Research Council (NHMRC) guidelines. Screening of children 18 months to 5 years, and subsequent early treatment, led to improved visual outcomes. The benefit was primarily through treatment of amblyopia, with improved visual acuity of the amblyopic eye. However, the overall quality of the evidence was low. The implication of improved visual acuity (e.g. any potential impact on quality of life) was not considered. Without consideration of 'quality of life' values, such as loss of vision in one eye or possibility of future bilateral vision loss, the cost-effectiveness of screening is questionable. Screening and treating children with uncorrected refractive error can improve educational outcomes. Evidence suggested that screening occur in the preschool years. Orthoptists were favoured as screening personnel; however, nurses could achieve high sensitivity and specificity with appropriate training. Further research is required to assess the effectiveness of neonatal screening. Most studies suggested that children's vision screening was beneficial, although programme components varied widely (e.g. tests used, screening personnel and age at testing). Research is required to clearly define any improvements to quality of life and any related economic benefits resulting from childhood vision screening. The evidence could be used to guide optimization of existing programmes.","container-title":"Child: care, health and development","DOI":"10.1111/j.1365-2214.2010.01109.x","journalAbbreviation":"Child: care, health and development","page":"756-80","source":"ResearchGate","title":"A review of the evidence on the effectiveness of children's vision screening","volume":"36","author":[{"family":"Mathers","given":"M"},{"family":"Keyes","given":"Megan"},{"family":"Wright","given":"M"}],"issued":{"date-parts":[["2010",11,1]]}},"label":"page"},{"id":1589,"uris":["http://zotero.org/users/local/XMo5Fvid/items/I8TABKA2"],"itemData":{"id":1589,"type":"article-journal","abstract":"BACKGROUND: Vision screening in preschool and school age children remains a valuable method of identifying potentially treatable visual abnormalities, as well as refractive errors in the school age population. A major difficulty in conducting these types of programs is the inconsistent follow-up encountered frequently in children identified by the screening program. The Baltimore Vision Screening Project was designed to address the issue of access to care for a group of inner city elementary school students by providing on-site evaluation and treatment.\nMETHODS: A standard vision-screening protocol was administered to prekindergarten and kindergarten students attending an inner city elementary school and access to care provided at the school. Children identified by the screening were examined at the school, and appropriate treatment was prescribed. The second phase of the study details a return to the school 1 year after the initial screening. The purpose of this was to reassess the level of visual morbidity in this population and to evaluate the effects of providing treatment in the previous year.\nRESULTS: Two hundred eighty-five children were screened during the 1994-1995 school year. Visual morbidity statistics from the follow-up year were similar to those of the previous screening: 5.3% diagnosed with amblyopia, 3.2% with strabismus, and 7.4% with refractive errors. Forty of the 68 children identified, examined, and treated in the previous year still were attending the school during the follow-up investigation. Compliance with recommended treatment was 30% in this group, with only 20% of the students passing the vision screening the following year.\nCONCLUSIONS: The follow-up screening confirmed the presence of significant visual morbidity in this group of preschool and kindergarten students. Nearly two thirds of the students had not complied with the recommended treatment or spectacle wear or both, despite providing immediate access to this care through the vision-screening program.","container-title":"Ophthalmology","DOI":"10.1016/s0161-6420(98)91813-9","ISSN":"0161-6420","issue":"1","journalAbbreviation":"Ophthalmology","language":"eng","note":"PMID: 9442791","page":"150-153","source":"PubMed","title":"Baltimore Vision Screening Project. Phase 2","volume":"105","author":[{"family":"Preslan","given":"M. W."},{"family":"Novak","given":"A."}],"issued":{"date-parts":[["1998",1]]}},"label":"page"}],"schema":"https://github.com/citation-style-language/schema/raw/master/csl-citation.json"} </w:instrText>
      </w:r>
      <w:r w:rsidR="00EC0393" w:rsidRPr="004804AA">
        <w:rPr>
          <w:sz w:val="28"/>
          <w:szCs w:val="28"/>
        </w:rPr>
        <w:fldChar w:fldCharType="separate"/>
      </w:r>
      <w:r w:rsidR="006E34BC" w:rsidRPr="006E34BC">
        <w:rPr>
          <w:sz w:val="28"/>
        </w:rPr>
        <w:t>[205; 206]</w:t>
      </w:r>
      <w:r w:rsidR="00EC0393" w:rsidRPr="004804AA">
        <w:rPr>
          <w:sz w:val="28"/>
          <w:szCs w:val="28"/>
        </w:rPr>
        <w:fldChar w:fldCharType="end"/>
      </w:r>
      <w:r w:rsidR="00966BEC">
        <w:rPr>
          <w:sz w:val="28"/>
          <w:szCs w:val="28"/>
        </w:rPr>
        <w:t>.</w:t>
      </w:r>
      <w:r w:rsidR="00EC0393" w:rsidRPr="004804AA">
        <w:rPr>
          <w:sz w:val="28"/>
          <w:szCs w:val="28"/>
        </w:rPr>
        <w:t xml:space="preserve"> Американская ассоциация детской офтальмологии и косоглазия (AAPOS) рекомендуют соответствующую возрасту оценку зрения для детей в возрасте от 3 лет и выступает за прямое обследование детей на основе проверки остроты зрения обученными добровольцами или медицинским персоналом как золотой стандарт для детей дошкольного и старшего возраста</w:t>
      </w:r>
      <w:r w:rsidR="00277B42">
        <w:rPr>
          <w:sz w:val="28"/>
          <w:szCs w:val="28"/>
        </w:rPr>
        <w:t xml:space="preserve"> </w:t>
      </w:r>
      <w:r w:rsidR="00EC0393" w:rsidRPr="004804AA">
        <w:rPr>
          <w:sz w:val="28"/>
          <w:szCs w:val="28"/>
        </w:rPr>
        <w:fldChar w:fldCharType="begin"/>
      </w:r>
      <w:r w:rsidR="006E34BC">
        <w:rPr>
          <w:sz w:val="28"/>
          <w:szCs w:val="28"/>
        </w:rPr>
        <w:instrText xml:space="preserve"> ADDIN ZOTERO_ITEM CSL_CITATION {"citationID":"Tjkrxdys","properties":{"formattedCitation":"[207]","plainCitation":"[207]","noteIndex":0},"citationItems":[{"id":1593,"uris":["http://zotero.org/users/local/XMo5Fvid/items/E3X4Y494"],"itemData":{"id":1593,"type":"webpage","language":"ru","title":"Vision Screening - American Association for Pediatric Ophthalmology and Strabismus","URL":"https://aapos.org/glossary/vision-screening-description","accessed":{"date-parts":[["2021",4,11]]}}}],"schema":"https://github.com/citation-style-language/schema/raw/master/csl-citation.json"} </w:instrText>
      </w:r>
      <w:r w:rsidR="00EC0393" w:rsidRPr="004804AA">
        <w:rPr>
          <w:sz w:val="28"/>
          <w:szCs w:val="28"/>
        </w:rPr>
        <w:fldChar w:fldCharType="separate"/>
      </w:r>
      <w:r w:rsidR="006E34BC" w:rsidRPr="006E34BC">
        <w:rPr>
          <w:sz w:val="28"/>
        </w:rPr>
        <w:t>[207]</w:t>
      </w:r>
      <w:r w:rsidR="00EC0393" w:rsidRPr="004804AA">
        <w:rPr>
          <w:sz w:val="28"/>
          <w:szCs w:val="28"/>
        </w:rPr>
        <w:fldChar w:fldCharType="end"/>
      </w:r>
      <w:r w:rsidR="00277B42">
        <w:rPr>
          <w:sz w:val="28"/>
          <w:szCs w:val="28"/>
        </w:rPr>
        <w:t>.</w:t>
      </w:r>
      <w:r w:rsidR="00D95190" w:rsidRPr="004804AA">
        <w:rPr>
          <w:sz w:val="28"/>
          <w:szCs w:val="28"/>
        </w:rPr>
        <w:t xml:space="preserve"> </w:t>
      </w:r>
      <w:r w:rsidR="00EC0393" w:rsidRPr="004804AA">
        <w:rPr>
          <w:sz w:val="28"/>
          <w:szCs w:val="28"/>
        </w:rPr>
        <w:t xml:space="preserve">В Швеции </w:t>
      </w:r>
      <w:r w:rsidR="006176B2" w:rsidRPr="004804AA">
        <w:rPr>
          <w:sz w:val="28"/>
          <w:szCs w:val="28"/>
        </w:rPr>
        <w:t>комплексная программа скрининга глазных болезней и нарушений зрения у детей действует в течение последних 30 лет. О</w:t>
      </w:r>
      <w:r w:rsidR="00EC0393" w:rsidRPr="004804AA">
        <w:rPr>
          <w:sz w:val="28"/>
          <w:szCs w:val="28"/>
        </w:rPr>
        <w:t xml:space="preserve">смотры </w:t>
      </w:r>
      <w:r w:rsidR="006176B2" w:rsidRPr="004804AA">
        <w:rPr>
          <w:sz w:val="28"/>
          <w:szCs w:val="28"/>
        </w:rPr>
        <w:t xml:space="preserve">детей </w:t>
      </w:r>
      <w:r w:rsidR="00EC0393" w:rsidRPr="004804AA">
        <w:rPr>
          <w:sz w:val="28"/>
          <w:szCs w:val="28"/>
        </w:rPr>
        <w:t xml:space="preserve">проводятся </w:t>
      </w:r>
      <w:r w:rsidR="006176B2" w:rsidRPr="004804AA">
        <w:rPr>
          <w:sz w:val="28"/>
          <w:szCs w:val="28"/>
        </w:rPr>
        <w:t xml:space="preserve">несколько раз в 4-летнего возраста, в 5 лет </w:t>
      </w:r>
      <w:r w:rsidR="00EC0393" w:rsidRPr="004804AA">
        <w:rPr>
          <w:sz w:val="28"/>
          <w:szCs w:val="28"/>
        </w:rPr>
        <w:t xml:space="preserve">и в возрасте 7 и 10 лет. При этом </w:t>
      </w:r>
      <w:r w:rsidR="00EC0393" w:rsidRPr="004804AA">
        <w:rPr>
          <w:sz w:val="28"/>
          <w:szCs w:val="28"/>
        </w:rPr>
        <w:lastRenderedPageBreak/>
        <w:t>большинство заболеваний выявляются в возрасте до 6 лет</w:t>
      </w:r>
      <w:r w:rsidR="00277B42">
        <w:rPr>
          <w:sz w:val="28"/>
          <w:szCs w:val="28"/>
        </w:rPr>
        <w:t xml:space="preserve"> </w:t>
      </w:r>
      <w:r w:rsidR="00EC0393" w:rsidRPr="004804AA">
        <w:rPr>
          <w:sz w:val="28"/>
          <w:szCs w:val="28"/>
        </w:rPr>
        <w:fldChar w:fldCharType="begin"/>
      </w:r>
      <w:r w:rsidR="006E34BC">
        <w:rPr>
          <w:sz w:val="28"/>
          <w:szCs w:val="28"/>
        </w:rPr>
        <w:instrText xml:space="preserve"> ADDIN ZOTERO_ITEM CSL_CITATION {"citationID":"HOqoL7EO","properties":{"formattedCitation":"[208\\uc0\\u8211{}210]","plainCitation":"[208–210]","noteIndex":0},"citationItems":[{"id":1605,"uris":["http://zotero.org/users/local/XMo5Fvid/items/HYYAIUZC"],"itemData":{"id":1605,"type":"article-journal","abstract":"The aim of this study was to evaluate the visual screening system in Sweden. We have made a retrospective investigation of the results of screening for ocular disease and visual impairment of all children born in 1982 in three Swedish communities. The records from screening examinations from 0 to 10 y and from diagnostic follow-up at the departments of ophthalmology that the children were referred to were inspected. The data were used to evaluate the efficiency of the Swedish visual screening system. The study included 3126 children. The attendance rate at the 4-y examination was better than 99%. The sensitivity of the 4- and 5.5-y screening examinations was on the average 92% and the specificity was 97%. The average number of false negative cases at 4 y was 5.6 in 1000 (0.56%). With this screening and subsequent diagnosis and treatment, the prevalence of amblyopia at different levels of visual acuity at the age of 10 y was: 0.06% with visual acuity &lt; or = 0.1, 0.9% with visual acuity &lt; or = 0.5 and 1.7% with visual acuity &lt; or = 0.7. In spite of largely unchanged pressure of amblyogenic factors in the population, the prevalence of deep and moderate amblyopia has been markedly reduced by screening and early treatment.","container-title":"Acta Paediatrica (Oslo, Norway: 1992)","DOI":"10.1080/080352598750031176","ISSN":"0803-5253","issue":"11","journalAbbreviation":"Acta Paediatr","language":"eng","note":"PMID: 9846920","page":"1173-1179","source":"PubMed","title":"Screening for visual and ocular disorders in children, evaluation of the system in Sweden","volume":"87","author":[{"family":"Kvarnström","given":"G."},{"family":"Jakobsson","given":"P."},{"family":"Lennerstrand","given":"G."}],"issued":{"date-parts":[["1998",11]]}},"label":"page"},{"id":659,"uris":["http://zotero.org/users/local/XMo5Fvid/items/64GLAWNS"],"itemData":{"id":659,"type":"article-journal","abstract":"PURPOSE: This study describes the various ophthalmological conditions detected in the Swedish visual screening program for children.\nMETHODS: The study was longitudinal and retrospective. All children (3126) born in 1982 in three Swedish municipalities have been followed from birth to ten years of age. Visual acuity was examined at the ages of 4, 5.5, 7 and 10 years. Before the age of 4, a gross examination of the eyes was performed.\nRESULTS: The prevalence of ametropia in the population was 7.7%, the prevalence of strabismus 3.1%, and the prevalence of organic lesions 0.6%. Seven children (0.2%) were visually handicapped (visual acuity &lt;/=0.3 in the better eye). Refractive errors and microtropias were mainly detected at the age of 4, when the first visual acuity test was performed, while manifest strabismus was in many cases detected before this age. With this screening and subsequent diagnosis and treatment, the prevalence of deep amblyopia (visual acuity &lt;/=0.3) has been reduced from 2% to 0.2%. With treatment, 47% of the amblyopic children achieved a visual acuity better than 0.7.\nCONCLUSION: Visual screening is effective in detecting visual and ocular disorders. Most conditions are discovered before the age of 6. Compared to an unscreened population, the prevalence of amblyopia is greatly reduced.","container-title":"Acta Ophthalmologica Scandinavica","ISSN":"1395-3907","issue":"3","journalAbbreviation":"Acta Ophthalmol Scand","language":"eng","note":"PMID: 11401631","page":"240-244","source":"PubMed","title":"Visual screening of Swedish children: an ophthalmological evaluation","title-short":"Visual screening of Swedish children","volume":"79","author":[{"family":"Kvarnström","given":"G."},{"family":"Jakobsson","given":"P."},{"family":"Lennerstrand","given":"G."}],"issued":{"date-parts":[["2001",6]]}},"label":"page"},{"id":1607,"uris":["http://zotero.org/users/local/XMo5Fvid/items/2XNCP3SZ"],"itemData":{"id":1607,"type":"article-journal","abstract":"BACKGROUND: Amblyopia is the most common monocular visual impairment in Scandinavia. A visual screening programme for preschool children was introduced in Sweden in the 1970s to reduce the prevalence of amblyopia. The purpose of this study was to investigate the impact of this visual screening programme in adult men recruited to the armed forces in Sweden.\nMETHODS: The prevalence of amblyopia was compared in recruits born in 1956-1957 (n = 1500), before the introduction of the visual screening programme (unscreened), and those born in 1977-1979 (n = 2626), after the visual screening programme was introduced (screened). Amblyopia was defined as bilateral, if the bilateral best corrected visual acuity (BCVA) was &lt;0.5 (20/40), and unilateral if there was a ≥2-line interocular difference and BCVA was &lt;0.625 (20/32) in the worse eye. Subgroup analysis was performed on recruits with hyperopia, myopia and anisometropia.\nRESULTS: The prevalence of amblyopia was significantly lower after the introduction of the Swedish visual screening programme. Forty-seven (3.3%) of the unscreened and 23 (0.9%) of the screened recruits had unilateral amblyopia (p &lt; 0.0001, OR = 0.26 (95%CI 0.16-0.43)). The risk for developing amblyopia was markedly reduced by screening in recruits with hyperopia (≥2D) (p &lt; 0.0001 and OR 0.034 (95% CI 0.003-0.207)) and anisometropia (≥1.5D interocular difference) (p &lt; 0.01 and OR 0.20 (95% CI 0.08-0.66)). Only a few recruits with myopia had amblyopia.\nCONCLUSIONS: The results demonstrate the value of the Swedish visual screening programme for preschool children in preventing amblyopia. Anisometropia or high hyperopic refractive errors can be identified by screening and corrected to prevent amblyopia.","container-title":"Acta Ophthalmologica","DOI":"10.1111/aos.14147","ISSN":"1755-3768","issue":"8","journalAbbreviation":"Acta Ophthalmol","language":"eng","note":"PMID: 31127702","page":"793-797","source":"PubMed","title":"The impact of vision screening in preschool children on visual function in the Swedish adult population","volume":"97","author":[{"family":"Thorisdottir","given":"Rannveig Linda"},{"family":"Faxén","given":"Tove"},{"family":"Blohmé","given":"Jonas"},{"family":"Sheikh","given":"Rafi"},{"family":"Malmsjö","given":"Malin"}],"issued":{"date-parts":[["2019",12]]}},"label":"page"}],"schema":"https://github.com/citation-style-language/schema/raw/master/csl-citation.json"} </w:instrText>
      </w:r>
      <w:r w:rsidR="00EC0393" w:rsidRPr="004804AA">
        <w:rPr>
          <w:sz w:val="28"/>
          <w:szCs w:val="28"/>
        </w:rPr>
        <w:fldChar w:fldCharType="separate"/>
      </w:r>
      <w:r w:rsidR="006E34BC" w:rsidRPr="006E34BC">
        <w:rPr>
          <w:sz w:val="28"/>
        </w:rPr>
        <w:t>[208–210]</w:t>
      </w:r>
      <w:r w:rsidR="00EC0393" w:rsidRPr="004804AA">
        <w:rPr>
          <w:sz w:val="28"/>
          <w:szCs w:val="28"/>
        </w:rPr>
        <w:fldChar w:fldCharType="end"/>
      </w:r>
      <w:r w:rsidR="00277B42">
        <w:rPr>
          <w:sz w:val="28"/>
          <w:szCs w:val="28"/>
        </w:rPr>
        <w:t>.</w:t>
      </w:r>
      <w:r w:rsidR="007F3A03" w:rsidRPr="004804AA">
        <w:rPr>
          <w:sz w:val="28"/>
          <w:szCs w:val="28"/>
        </w:rPr>
        <w:t xml:space="preserve"> </w:t>
      </w:r>
      <w:r w:rsidR="00A6281C" w:rsidRPr="004804AA">
        <w:rPr>
          <w:sz w:val="28"/>
          <w:szCs w:val="28"/>
        </w:rPr>
        <w:t>В Дании проверка зрения у детей начиная с 6-летнего возраста стала регулярной после Второй мировой войны, а с 1978 года Национальная служба здравоохранения Дании сделала проверку зрения частью медицинского осмотра детей в возрасте от 3 до 4 лет. По заявлению Gottlieb et. 95% 3-летних детей в Дании проходят это обследование, что позволило снизить частоту амблиопии у детей более чем в 4 раза</w:t>
      </w:r>
      <w:r w:rsidR="00277B42">
        <w:rPr>
          <w:sz w:val="28"/>
          <w:szCs w:val="28"/>
        </w:rPr>
        <w:t xml:space="preserve"> </w:t>
      </w:r>
      <w:r w:rsidR="00A6281C" w:rsidRPr="004804AA">
        <w:rPr>
          <w:sz w:val="28"/>
          <w:szCs w:val="28"/>
        </w:rPr>
        <w:fldChar w:fldCharType="begin"/>
      </w:r>
      <w:r w:rsidR="006E34BC">
        <w:rPr>
          <w:sz w:val="28"/>
          <w:szCs w:val="28"/>
        </w:rPr>
        <w:instrText xml:space="preserve"> ADDIN ZOTERO_ITEM CSL_CITATION {"citationID":"AWrW8JGF","properties":{"formattedCitation":"[211]","plainCitation":"[211]","noteIndex":0},"citationItems":[{"id":1610,"uris":["http://zotero.org/users/local/XMo5Fvid/items/56KCTHQD"],"itemData":{"id":1610,"type":"article-journal","abstract":"PURPOSE: To determine the prevalence of amblyopia in Denmark before and after the initiation of the Danish national preschool vision screening programme.\nMETHODS: In a population-based cross-sectional study, 3826 participants of the Danish General Suburban Population Study (GESUS) aged 20 years and older from a Danish rural municipality received a complete general health examination and an ophthalmological interview and examination. This study included a comprehensive ophthalmologic interview, measurement of best corrected visual acuity (BCVA) in each eye, Hirschberg's test for strabismus and two 45-degree retinal fundus photographs of each eye. A complete ophthalmologic examination was performed when indicated.\nRESULTS: The prevalence of monocular visual impairment (MVI) was 4.26% (95% CI, 3.66-4.95, n = 163). Amblyopia was the most common cause, accounting for 33%. The prevalence of amblyopia was 1.44% (95% CI, 1.01-1.81, n = 55), being higher among non-preschool vision screened persons compared to those who were offered (estimated 95% attendance) preschool vision screening (1.78%, n = 41, 95% CI 1.24-2.33 versus 0.44%, n = 2, 95% CI, 0.12-1.60, p = 0.024). The leading cause of amblyopia was anisometropia (45.5%, 25/55).\nCONCLUSIONS: Amblyopia was the most common cause of MVI. Following the initiation of the Danish national preschool vision screening programme, which has an approximate attendance rate of 95%, the prevalence of amblyopia decreased by fourfold.","container-title":"Acta Ophthalmologica","DOI":"10.1111/aos.12639","ISSN":"1755-3768","issue":"4","journalAbbreviation":"Acta Ophthalmol","language":"eng","note":"PMID: 25545299","page":"322-329","source":"PubMed","title":"Danish Rural Eye Study: the association of preschool vision screening with the prevalence of amblyopia","title-short":"Danish Rural Eye Study","volume":"93","author":[{"family":"Høeg","given":"Tracy B."},{"family":"Moldow","given":"Birgitte"},{"family":"Ellervik","given":"Christina"},{"family":"Klemp","given":"Kristian"},{"family":"Erngaard","given":"Ditte"},{"family":"Cour","given":"Morten","non-dropping-particle":"la"},{"family":"Buch","given":"Helena"}],"issued":{"date-parts":[["2015",6]]}}}],"schema":"https://github.com/citation-style-language/schema/raw/master/csl-citation.json"} </w:instrText>
      </w:r>
      <w:r w:rsidR="00A6281C" w:rsidRPr="004804AA">
        <w:rPr>
          <w:sz w:val="28"/>
          <w:szCs w:val="28"/>
        </w:rPr>
        <w:fldChar w:fldCharType="separate"/>
      </w:r>
      <w:r w:rsidR="006E34BC" w:rsidRPr="006E34BC">
        <w:rPr>
          <w:sz w:val="28"/>
        </w:rPr>
        <w:t>[211]</w:t>
      </w:r>
      <w:r w:rsidR="00A6281C" w:rsidRPr="004804AA">
        <w:rPr>
          <w:sz w:val="28"/>
          <w:szCs w:val="28"/>
        </w:rPr>
        <w:fldChar w:fldCharType="end"/>
      </w:r>
      <w:r w:rsidR="00277B42">
        <w:rPr>
          <w:sz w:val="28"/>
          <w:szCs w:val="28"/>
        </w:rPr>
        <w:t>.</w:t>
      </w:r>
    </w:p>
    <w:p w14:paraId="588325AD" w14:textId="28586BFA" w:rsidR="00EC0393" w:rsidRPr="004804AA" w:rsidRDefault="00EC039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В арабских странах существует ряд инициатив по проверке зрения и зрения, направленных на решение проблем со зрением у школьников</w:t>
      </w:r>
      <w:r w:rsidR="0001364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{"citationID":"uZOV7onB","properties":{"formattedCitation":"[190]","plainCitation":"[190]","noteIndex":0},"citationItems":[{"id":1557,"uris":["http://zotero.org/users/local/XMo5Fvid/items/NE6DEL9M"],"itemData":{"id":1557,"type":"article-journal","abstract":"PURPOSE:\nThe purpose was to compare vision and ocular disease among orphans to age-matched school children and determine the barriers they faced for ophthalmic care in Riyadh, Saudi Arabia.\n\nMETHODS:\nChildren of four orphanages of Riyadh (Gr1) were screened for vision refractive error (RE) and eye ailment on “World Sight Day–2019.” They were compared to age-matched school children (comparison group; Gr2). The rates of RE, strabismus, amblyopia, and allergic conjunctivitis were estimated in two groups. The coverage of existing eye services for orphan children was reviewed.\n\nRESULTS:\nWe screened 53 children of Gr1 and 106 school children of Gr2. The risk of RE was statistically significantly higher in school children compared to orphan children (odds ratio [OR] = 2.4 [95% confidence interval (CI) 1.2; 4.8] P = 0.01). The coverage of refractive services for Gr1 was significantly lower than for Gr2 (OR = 0.09 [95% CI 0.02; 0.4] P = 0.001). In Gr1, blurry vision (12 children), red eye (2), and itchy eyes (1) were the main symptoms. In Gr2, no child had eye complaints. In Gr1, amblyopia (1), strabismus (1), history of ocular trauma and surgery (1), eye medications needed (2), and systemic health problems were noted in 9 children. In Gr2, amblyopia (4), strabismus (4), and history of ocular surgery were noted in 2 children.\n\nCONCLUSION:\nOrphan children had less rate of myopia compared to school children. However, unattended ocular pathologies were detected during the screening campaign. The coverage of refractive services was low in these underprivileged children compared to school children.","container-title":"Middle East African Journal of Ophthalmology","DOI":"10.4103/meajo.MEAJO_241_20","ISSN":"0974-9233","issue":"3","journalAbbreviation":"Middle East Afr J Ophthalmol","note":"PMID: 33488014\nPMCID: PMC7813143","page":"172-176","source":"PubMed Central","title":"Comparison of Outcomes of Vision and Eye Screening of Children of Four Orphanages and School Children of Riyadh","volume":"27","author":[{"family":"Nawaysir","given":"Sara"},{"family":"Al Saeedan","given":"Abdulaziz M."},{"family":"AlMusa","given":"Suha"},{"family":"Albalawi","given":"Arwa"},{"family":"Khandekar","given":"Rajiv"}],"issued":{"date-parts":[["2020",10,30]]}}}],"schema":"https://github.com/citation-style-language/schema/raw/master/csl-citation.json"}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[190]</w:t>
      </w:r>
      <w:r w:rsidRPr="004804AA">
        <w:rPr>
          <w:rFonts w:ascii="Times New Roman" w:hAnsi="Times New Roman" w:cs="Times New Roman"/>
          <w:sz w:val="28"/>
          <w:szCs w:val="28"/>
        </w:rPr>
        <w:fldChar w:fldCharType="end"/>
      </w:r>
      <w:r w:rsidR="0001364F">
        <w:rPr>
          <w:rFonts w:ascii="Times New Roman" w:hAnsi="Times New Roman" w:cs="Times New Roman"/>
          <w:sz w:val="28"/>
          <w:szCs w:val="28"/>
        </w:rPr>
        <w:t>.</w:t>
      </w:r>
      <w:r w:rsidRPr="004804AA">
        <w:rPr>
          <w:rFonts w:ascii="Times New Roman" w:hAnsi="Times New Roman" w:cs="Times New Roman"/>
          <w:sz w:val="28"/>
          <w:szCs w:val="28"/>
        </w:rPr>
        <w:t xml:space="preserve"> В Омане с 1990 года действует национальная программа офтальмологической помощи и школьного здоровья, в рамках которой все учащиеся в возрасте 6–7, 9–10, 11–12 и 16–17 лет ежегодно проходят проверку зрения и зрения в первом, четвертом, седьмом и десятом классах соответственно.</w:t>
      </w:r>
      <w:r w:rsidR="00701859">
        <w:rPr>
          <w:rFonts w:ascii="Times New Roman" w:hAnsi="Times New Roman" w:cs="Times New Roman"/>
          <w:sz w:val="28"/>
          <w:szCs w:val="28"/>
        </w:rPr>
        <w:t xml:space="preserve"> </w:t>
      </w:r>
      <w:r w:rsidRPr="004804AA">
        <w:rPr>
          <w:rFonts w:ascii="Times New Roman" w:hAnsi="Times New Roman" w:cs="Times New Roman"/>
          <w:sz w:val="28"/>
          <w:szCs w:val="28"/>
        </w:rPr>
        <w:t xml:space="preserve">Эти обследования проводятся обученными школьными медсестрами с использованием оптотипов E или </w:t>
      </w:r>
      <w:bookmarkStart w:id="6" w:name="_Hlk104823994"/>
      <w:r w:rsidRPr="004804AA">
        <w:rPr>
          <w:rFonts w:ascii="Times New Roman" w:hAnsi="Times New Roman" w:cs="Times New Roman"/>
          <w:sz w:val="28"/>
          <w:szCs w:val="28"/>
        </w:rPr>
        <w:t>LogMAR</w:t>
      </w:r>
      <w:bookmarkEnd w:id="6"/>
      <w:r w:rsidRPr="004804AA">
        <w:rPr>
          <w:rFonts w:ascii="Times New Roman" w:hAnsi="Times New Roman" w:cs="Times New Roman"/>
          <w:sz w:val="28"/>
          <w:szCs w:val="28"/>
        </w:rPr>
        <w:t xml:space="preserve">. </w:t>
      </w:r>
      <w:r w:rsidR="007F3A03" w:rsidRPr="004804AA">
        <w:rPr>
          <w:rFonts w:ascii="Times New Roman" w:hAnsi="Times New Roman" w:cs="Times New Roman"/>
          <w:sz w:val="28"/>
          <w:szCs w:val="28"/>
        </w:rPr>
        <w:t>За весь период,</w:t>
      </w:r>
      <w:r w:rsidRPr="004804AA">
        <w:rPr>
          <w:rFonts w:ascii="Times New Roman" w:hAnsi="Times New Roman" w:cs="Times New Roman"/>
          <w:sz w:val="28"/>
          <w:szCs w:val="28"/>
        </w:rPr>
        <w:t xml:space="preserve"> более 0,55 </w:t>
      </w:r>
      <w:r w:rsidR="00DC1883">
        <w:rPr>
          <w:rFonts w:ascii="Times New Roman" w:hAnsi="Times New Roman" w:cs="Times New Roman"/>
          <w:sz w:val="28"/>
          <w:szCs w:val="28"/>
        </w:rPr>
        <w:t>млн</w:t>
      </w:r>
      <w:r w:rsidRPr="004804AA">
        <w:rPr>
          <w:rFonts w:ascii="Times New Roman" w:hAnsi="Times New Roman" w:cs="Times New Roman"/>
          <w:sz w:val="28"/>
          <w:szCs w:val="28"/>
        </w:rPr>
        <w:t xml:space="preserve"> оманских детей с миопией были выявлены в рамках национальной программы проверки зрения и направлены в офтальмологические службы для дальнейшего лечения</w:t>
      </w:r>
      <w:r w:rsidR="0001364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{"citationID":"6rB3XNER","properties":{"formattedCitation":"[191]","plainCitation":"[191]","noteIndex":0},"citationItems":[{"id":1559,"uris":["http://zotero.org/users/local/XMo5Fvid/items/PLY9Y3JL"],"itemData":{"id":1559,"type":"article-journal","abstract":"PURPOSE:\nThe purpose of this study is to evaluate the changing trends in myopia over an 11-year period among Omani schoolchildren.\n\nMETHODS:\nThis retrospective study took place from January to June 2012. National vision screening data from 1999 to 2010 were reviewed for information concerning all children in the fourth, seventh, and tenth grades of Omani public schools. Changes in the rate of myopia by gender, grade, severity, and governorate were evaluated.\n\nRESULTS:\nAmong 397,430 fourth-grade students, the prevalence of myopia was 2.44%. In contrast, the prevalence of myopia among 533,003 and 461,307 children in the seventh and tenth grades, respectively, was 4.41% and 7.36%. Compared to 2002, the rate of myopia in 2010 was 1.43% higher for fourth-grade students (P &lt; 0.001). Myopia prevalence rates among seventh-grade students increased by (5.36–3.36 = 2.0) 1.11% between 1999 and 2010, but declined by 7.62% versus 6.34% = 1.28% between 1999 and 2010 for seventh- and tenth-grade students, respectively (P &lt; 0.010 and &lt;0.001, respectively). The risk of myopia in the fourth, seventh, and tenth grades was significantly higher for females in 2002 and 2010 (P &lt; 0.001). The regional variation of myopia was also significant (χ\n2= 495; P &lt; 0.001). Among seventh- and tenth-grade students in 2010, the ratio of children with mild-to-moderate/severe myopia was 1.5:1 and 1:2.7, respectively.\n\nCONCLUSION:\nAlthough the rate of myopia increased with grade, the trend over time suggests that myopia affected more children at a younger age. Female students had a significantly higher risk of myopia.","container-title":"Oman Journal of Ophthalmology","DOI":"10.4103/ojo.OJO_55_2017","ISSN":"0974-620X","issue":"3","journalAbbreviation":"Oman J Ophthalmol","note":"PMID: 30505113\nPMCID: PMC6219335","page":"232-236","source":"PubMed Central","title":"Changing trends in myopia among schoolchildren in Oman: Screening information over 11 years","title-short":"Changing trends in myopia among schoolchildren in Oman","volume":"11","author":[{"family":"Khandekar","given":"Rajiv"},{"family":"Gogri","given":"Urmi"},{"family":"Al-Harby","given":"Salah"}],"issued":{"date-parts":[["2018"]]}}}],"schema":"https://github.com/citation-style-language/schema/raw/master/csl-citation.json"}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[191]</w:t>
      </w:r>
      <w:r w:rsidRPr="004804AA">
        <w:rPr>
          <w:rFonts w:ascii="Times New Roman" w:hAnsi="Times New Roman" w:cs="Times New Roman"/>
          <w:sz w:val="28"/>
          <w:szCs w:val="28"/>
        </w:rPr>
        <w:fldChar w:fldCharType="end"/>
      </w:r>
      <w:r w:rsidR="0001364F">
        <w:rPr>
          <w:rFonts w:ascii="Times New Roman" w:hAnsi="Times New Roman" w:cs="Times New Roman"/>
          <w:sz w:val="28"/>
          <w:szCs w:val="28"/>
        </w:rPr>
        <w:t>.</w:t>
      </w:r>
      <w:r w:rsidRPr="004804AA">
        <w:rPr>
          <w:rFonts w:ascii="Times New Roman" w:hAnsi="Times New Roman" w:cs="Times New Roman"/>
          <w:sz w:val="28"/>
          <w:szCs w:val="28"/>
        </w:rPr>
        <w:t xml:space="preserve"> </w:t>
      </w:r>
    </w:p>
    <w:p w14:paraId="3A4953EF" w14:textId="191767D4" w:rsidR="00EC0393" w:rsidRPr="004804AA" w:rsidRDefault="00EC039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В странах Южной Америки скрининг зрения, проводимый с 2009 года подготовленными учителями</w:t>
      </w:r>
      <w:r w:rsidR="007F3A03" w:rsidRPr="004804AA">
        <w:rPr>
          <w:rFonts w:ascii="Times New Roman" w:hAnsi="Times New Roman" w:cs="Times New Roman"/>
          <w:sz w:val="28"/>
          <w:szCs w:val="28"/>
        </w:rPr>
        <w:t xml:space="preserve">, </w:t>
      </w:r>
      <w:r w:rsidRPr="004804AA">
        <w:rPr>
          <w:rFonts w:ascii="Times New Roman" w:hAnsi="Times New Roman" w:cs="Times New Roman"/>
          <w:sz w:val="28"/>
          <w:szCs w:val="28"/>
        </w:rPr>
        <w:t>подтвердил свою эффективность и рентабельность</w:t>
      </w:r>
      <w:r w:rsidR="0001364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{"citationID":"71btPiYO","properties":{"formattedCitation":"[200]","plainCitation":"[200]","noteIndex":0},"citationItems":[{"id":1564,"uris":["http://zotero.org/users/local/XMo5Fvid/items/T3TGVBAK"],"itemData":{"id":1564,"type":"article-journal","abstract":"BACKGROUND: Refractive error is defined as the inability of the eye to bring parallel rays of light into focus on the retina, resulting in nearsightedness (myopia), farsightedness (Hyperopia) or astigmatism. Uncorrected refractive error in children is associated with increased morbidity and reduced educational opportunities. Vision screening (VS) is a method for identifying children with visual impairment or eye conditions likely to lead to visual impairment.\nOBJECTIVE: To analyze the utility of vision screening conducted by teachers and to contribute to a better estimation of the prevalence of childhood refractive errors in Apurimac, Peru. Design : A pilot vision screening program in preschool (Group I) and elementary school children (Group II) was conducted with the participation of 26 trained teachers. Children whose visual acuity was&lt;6/9 [20/30] (Group I) and ≤ 6/9 (Group II) in one or both eyes, measured with the Snellen Tumbling E chart at 6 m, were referred for a comprehensive eye exam. Specificity and positive predictive value to detect refractive error were calculated against clinical examination. Program assessment with participants was conducted to evaluate outcomes and procedures.\nRESULTS: A total sample of 364 children aged 3-11 were screened; 45 children were examined at Centro Oftalmológico Monseñor Enrique Pelach (COMEP) Eye Hospital. Prevalence of refractive error was 6.2% (Group I) and 6.9% (Group II); specificity of teacher vision screening was 95.8% and 93.0%, while positive predictive value was 59.1% and 47.8% for each group, respectively. Aspects highlighted to improve the program included extending training, increasing parental involvement, and helping referred children to attend the hospital.\nCONCLUSION: Prevalence of refractive error in children is significant in the region. Vision screening performed by trained teachers is a valid intervention for early detection of refractive error, including screening of preschool children. Program sustainability and improvements in education and quality of life resulting from childhood vision screening require further research.","container-title":"Global Health Action","DOI":"10.3402/gha.v7.22656","ISSN":"1654-9880","journalAbbreviation":"Glob Health Action","language":"eng","note":"PMID: 24560253\nPMCID: PMC3925804","page":"22656","source":"PubMed","title":"Reducing visual deficits caused by refractive errors in school and preschool children: results of a pilot school program in the Andean region of Apurimac, Peru","title-short":"Reducing visual deficits caused by refractive errors in school and preschool children","volume":"7","author":[{"family":"Latorre-Arteaga","given":"Sergio"},{"family":"Gil-González","given":"Diana"},{"family":"Enciso","given":"Olga"},{"family":"Phelan","given":"Aoife"},{"family":"García-Muñoz","given":"Angel"},{"family":"Kohler","given":"Johannes"}],"issued":{"date-parts":[["2014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[200]</w:t>
      </w:r>
      <w:r w:rsidRPr="004804AA">
        <w:rPr>
          <w:rFonts w:ascii="Times New Roman" w:hAnsi="Times New Roman" w:cs="Times New Roman"/>
          <w:sz w:val="28"/>
          <w:szCs w:val="28"/>
        </w:rPr>
        <w:fldChar w:fldCharType="end"/>
      </w:r>
      <w:r w:rsidR="0001364F">
        <w:rPr>
          <w:rFonts w:ascii="Times New Roman" w:hAnsi="Times New Roman" w:cs="Times New Roman"/>
          <w:sz w:val="28"/>
          <w:szCs w:val="28"/>
        </w:rPr>
        <w:t xml:space="preserve">. </w:t>
      </w:r>
    </w:p>
    <w:p w14:paraId="2767A714" w14:textId="658894D2" w:rsidR="00D56399" w:rsidRPr="004804AA" w:rsidRDefault="00643CCC" w:rsidP="005C37DF">
      <w:pPr>
        <w:pStyle w:val="a3"/>
        <w:shd w:val="clear" w:color="auto" w:fill="FFFFFF"/>
        <w:spacing w:before="0" w:beforeAutospacing="0" w:after="0" w:afterAutospacing="0"/>
        <w:ind w:firstLine="709"/>
        <w:jc w:val="both"/>
        <w:rPr>
          <w:sz w:val="28"/>
          <w:szCs w:val="28"/>
        </w:rPr>
      </w:pPr>
      <w:r w:rsidRPr="004804AA">
        <w:rPr>
          <w:rFonts w:eastAsiaTheme="minorHAnsi"/>
          <w:sz w:val="28"/>
          <w:szCs w:val="28"/>
          <w:lang w:eastAsia="en-US"/>
        </w:rPr>
        <w:t xml:space="preserve">Высокая распространенность аномалий рефракции в Юго-Восточной Азии вместе с высоким уровнем школьного образования в этом регионе </w:t>
      </w:r>
      <w:r w:rsidR="007F3A03" w:rsidRPr="004804AA">
        <w:rPr>
          <w:rFonts w:eastAsiaTheme="minorHAnsi"/>
          <w:sz w:val="28"/>
          <w:szCs w:val="28"/>
          <w:lang w:eastAsia="en-US"/>
        </w:rPr>
        <w:t xml:space="preserve">заставляет активно внедрять и модернизировать имеющиеся школьные программы </w:t>
      </w:r>
      <w:r w:rsidRPr="004804AA">
        <w:rPr>
          <w:rFonts w:eastAsiaTheme="minorHAnsi"/>
          <w:sz w:val="28"/>
          <w:szCs w:val="28"/>
          <w:lang w:eastAsia="en-US"/>
        </w:rPr>
        <w:t>программу проверки зрения.</w:t>
      </w:r>
      <w:r w:rsidR="00F728A2" w:rsidRPr="004804AA">
        <w:rPr>
          <w:rFonts w:eastAsiaTheme="minorHAnsi"/>
          <w:sz w:val="28"/>
          <w:szCs w:val="28"/>
          <w:lang w:eastAsia="en-US"/>
        </w:rPr>
        <w:t xml:space="preserve"> </w:t>
      </w:r>
      <w:r w:rsidR="00C11678" w:rsidRPr="004804AA">
        <w:rPr>
          <w:sz w:val="28"/>
          <w:szCs w:val="28"/>
        </w:rPr>
        <w:t xml:space="preserve">Несмотря на большое число крупномасштабных исследований среди китайских школьников, по-видимому, не существует единой программы скрининга для всех регионов, однако каждая провинция оказывает услуги по проверке зрения на местном уровне. </w:t>
      </w:r>
      <w:r w:rsidR="001013BB" w:rsidRPr="004804AA">
        <w:rPr>
          <w:sz w:val="28"/>
          <w:szCs w:val="28"/>
        </w:rPr>
        <w:t>В 2015 году</w:t>
      </w:r>
      <w:r w:rsidR="00C11678" w:rsidRPr="004804AA">
        <w:rPr>
          <w:sz w:val="28"/>
          <w:szCs w:val="28"/>
        </w:rPr>
        <w:t xml:space="preserve"> в рамках Национальной оценки качества образования (CNAEQ) Китай запустил программу «физическое воспитание и здоровье»</w:t>
      </w:r>
      <w:r w:rsidR="001013BB" w:rsidRPr="004804AA">
        <w:rPr>
          <w:sz w:val="28"/>
          <w:szCs w:val="28"/>
        </w:rPr>
        <w:t xml:space="preserve">, </w:t>
      </w:r>
      <w:r w:rsidR="00C11678" w:rsidRPr="004804AA">
        <w:rPr>
          <w:sz w:val="28"/>
          <w:szCs w:val="28"/>
        </w:rPr>
        <w:t xml:space="preserve">которая </w:t>
      </w:r>
      <w:r w:rsidR="001013BB" w:rsidRPr="004804AA">
        <w:rPr>
          <w:sz w:val="28"/>
          <w:szCs w:val="28"/>
        </w:rPr>
        <w:t>является крупнейш</w:t>
      </w:r>
      <w:r w:rsidR="00C11678" w:rsidRPr="004804AA">
        <w:rPr>
          <w:sz w:val="28"/>
          <w:szCs w:val="28"/>
        </w:rPr>
        <w:t>им</w:t>
      </w:r>
      <w:r w:rsidR="001013BB" w:rsidRPr="004804AA">
        <w:rPr>
          <w:sz w:val="28"/>
          <w:szCs w:val="28"/>
        </w:rPr>
        <w:t xml:space="preserve"> национальн</w:t>
      </w:r>
      <w:r w:rsidR="00C11678" w:rsidRPr="004804AA">
        <w:rPr>
          <w:sz w:val="28"/>
          <w:szCs w:val="28"/>
        </w:rPr>
        <w:t>ым скринингом школьного здоровья, включающим скрининг зрения и ориентированным на учащихся 4-х классов начальной школы и учащихся 8-х классов средней школы</w:t>
      </w:r>
      <w:r w:rsidR="00167925">
        <w:rPr>
          <w:sz w:val="28"/>
          <w:szCs w:val="28"/>
        </w:rPr>
        <w:t xml:space="preserve"> </w:t>
      </w:r>
      <w:r w:rsidR="001013BB" w:rsidRPr="004804AA">
        <w:rPr>
          <w:sz w:val="28"/>
          <w:szCs w:val="28"/>
        </w:rPr>
        <w:t>[25</w:t>
      </w:r>
      <w:r w:rsidR="00F66D9A">
        <w:rPr>
          <w:sz w:val="28"/>
          <w:szCs w:val="28"/>
        </w:rPr>
        <w:t>]</w:t>
      </w:r>
      <w:r w:rsidR="00167925">
        <w:rPr>
          <w:sz w:val="28"/>
          <w:szCs w:val="28"/>
        </w:rPr>
        <w:t>.</w:t>
      </w:r>
      <w:r w:rsidR="001013BB" w:rsidRPr="004804AA">
        <w:rPr>
          <w:sz w:val="28"/>
          <w:szCs w:val="28"/>
        </w:rPr>
        <w:t xml:space="preserve"> </w:t>
      </w:r>
      <w:r w:rsidR="0078570F" w:rsidRPr="004804AA">
        <w:rPr>
          <w:sz w:val="28"/>
          <w:szCs w:val="28"/>
        </w:rPr>
        <w:t xml:space="preserve">Высокая распространенность нарушения рефракции в Индии делает проверку зрения в школах </w:t>
      </w:r>
      <w:r w:rsidR="0089405A" w:rsidRPr="004804AA">
        <w:rPr>
          <w:sz w:val="28"/>
          <w:szCs w:val="28"/>
        </w:rPr>
        <w:t>значительно более эффективной и менее затратной для оказания офтальмологической помощи школьникам по сравнению с другими моделями первичной офтальмологической помощи и обоснованной, особенно в городских районах</w:t>
      </w:r>
      <w:r w:rsidR="00167925">
        <w:rPr>
          <w:sz w:val="28"/>
          <w:szCs w:val="28"/>
        </w:rPr>
        <w:t xml:space="preserve"> </w:t>
      </w:r>
      <w:r w:rsidR="0089405A" w:rsidRPr="004804AA">
        <w:rPr>
          <w:sz w:val="28"/>
          <w:szCs w:val="28"/>
        </w:rPr>
        <w:fldChar w:fldCharType="begin"/>
      </w:r>
      <w:r w:rsidR="006E34BC">
        <w:rPr>
          <w:sz w:val="28"/>
          <w:szCs w:val="28"/>
        </w:rPr>
        <w:instrText xml:space="preserve"> ADDIN ZOTERO_ITEM CSL_CITATION {"citationID":"ZV6PtSgk","properties":{"formattedCitation":"[212]","plainCitation":"[212]","noteIndex":0},"citationItems":[{"id":1616,"uris":["http://zotero.org/users/local/XMo5Fvid/items/T254BYE9"],"itemData":{"id":1616,"type":"article-journal","container-title":"Community Eye Health","ISSN":"0953-6833","issue":"61","journalAbbreviation":"Community Eye Health","language":"eng","note":"PMID: 17637869\nPMCID: PMC1919457","page":"15","source":"PubMed","title":"Comparing the cost-effectiveness of school eye screening versus a primary eye care model to provide refractive error services for children in India","volume":"20","author":[{"family":"Lester","given":"Barry A."}],"issued":{"date-parts":[["2007"]]}}}],"schema":"https://github.com/citation-style-language/schema/raw/master/csl-citation.json"} </w:instrText>
      </w:r>
      <w:r w:rsidR="0089405A" w:rsidRPr="004804AA">
        <w:rPr>
          <w:sz w:val="28"/>
          <w:szCs w:val="28"/>
        </w:rPr>
        <w:fldChar w:fldCharType="separate"/>
      </w:r>
      <w:r w:rsidR="006E34BC" w:rsidRPr="006E34BC">
        <w:rPr>
          <w:sz w:val="28"/>
        </w:rPr>
        <w:t>[212]</w:t>
      </w:r>
      <w:r w:rsidR="0089405A" w:rsidRPr="004804AA">
        <w:rPr>
          <w:sz w:val="28"/>
          <w:szCs w:val="28"/>
        </w:rPr>
        <w:fldChar w:fldCharType="end"/>
      </w:r>
      <w:r w:rsidR="00167925">
        <w:rPr>
          <w:sz w:val="28"/>
          <w:szCs w:val="28"/>
        </w:rPr>
        <w:t>.</w:t>
      </w:r>
      <w:r w:rsidR="0089405A" w:rsidRPr="004804AA">
        <w:rPr>
          <w:sz w:val="28"/>
          <w:szCs w:val="28"/>
        </w:rPr>
        <w:t xml:space="preserve"> П</w:t>
      </w:r>
      <w:r w:rsidR="0078570F" w:rsidRPr="004804AA">
        <w:rPr>
          <w:sz w:val="28"/>
          <w:szCs w:val="28"/>
        </w:rPr>
        <w:t>ятилетнее наблюдение за скринингом показало, что затраты на одного проверенного ребенка были на 60% ниже при вовлечении в процесс скрининга школьных учителей, а не выездных офтальмологических бригад</w:t>
      </w:r>
      <w:r w:rsidR="00167925">
        <w:rPr>
          <w:sz w:val="28"/>
          <w:szCs w:val="28"/>
        </w:rPr>
        <w:t xml:space="preserve"> </w:t>
      </w:r>
      <w:r w:rsidR="0078570F" w:rsidRPr="004804AA">
        <w:rPr>
          <w:sz w:val="28"/>
          <w:szCs w:val="28"/>
        </w:rPr>
        <w:fldChar w:fldCharType="begin"/>
      </w:r>
      <w:r w:rsidR="006E34BC">
        <w:rPr>
          <w:sz w:val="28"/>
          <w:szCs w:val="28"/>
        </w:rPr>
        <w:instrText xml:space="preserve"> ADDIN ZOTERO_ITEM CSL_CITATION {"citationID":"mpdlxDsB","properties":{"formattedCitation":"[213]","plainCitation":"[213]","noteIndex":0},"citationItems":[{"id":1583,"uris":["http://zotero.org/users/local/XMo5Fvid/items/9VUKSN8G"],"itemData":{"id":1583,"type":"article-journal","abstract":"PURPOSE: To assess results of a vision screening programme in schools in India, 5 years after its introduction.\nMATERIAL: Questionnaires on school eye screening activities were sent to 200 randomly selected districts.\nMETHODS: Data from 61 districts were analysed, using process indicators to assess performance at different stages of the screening procedure.\nRESULTS: Teachers screened 5.39 million children in 61 districts. Refraction was done on 205,082 children (3.8%) and 43,922 children (0.8%) were provided with spectacles. Children of 10-15 years have more refractive errors. Different stages in the procedure are evaluated.\nCONCLUSION: Vision screening in schools has been taken up successfully in many districts in India. This has reduced the workload of eye care staff and increased the coverage. The simplicity of the procedure facilitates widespread application. Many parents take their children to the private sector for services. Monitoring and reporting needs to be improved.","container-title":"Acta Ophthalmologica Scandinavica","DOI":"10.1034/j.1600-0420.1999.770313.x","ISSN":"1395-3907","issue":"3","journalAbbreviation":"Acta Ophthalmol Scand","language":"eng","note":"PMID: 10406152","page":"310-314","source":"PubMed","title":"Results of school eye screening of 5.4 million children in India--a five-year follow-up study","volume":"77","author":[{"family":"Limburg","given":"H."},{"family":"Kansara","given":"H. T."},{"family":"Souza","given":"S.","non-dropping-particle":"d'"}],"issued":{"date-parts":[["1999",6]]}}}],"schema":"https://github.com/citation-style-language/schema/raw/master/csl-citation.json"} </w:instrText>
      </w:r>
      <w:r w:rsidR="0078570F" w:rsidRPr="004804AA">
        <w:rPr>
          <w:sz w:val="28"/>
          <w:szCs w:val="28"/>
        </w:rPr>
        <w:fldChar w:fldCharType="separate"/>
      </w:r>
      <w:r w:rsidR="006E34BC" w:rsidRPr="006E34BC">
        <w:rPr>
          <w:sz w:val="28"/>
        </w:rPr>
        <w:t>[213]</w:t>
      </w:r>
      <w:r w:rsidR="0078570F" w:rsidRPr="004804AA">
        <w:rPr>
          <w:sz w:val="28"/>
          <w:szCs w:val="28"/>
        </w:rPr>
        <w:fldChar w:fldCharType="end"/>
      </w:r>
      <w:r w:rsidR="00167925">
        <w:rPr>
          <w:sz w:val="28"/>
          <w:szCs w:val="28"/>
        </w:rPr>
        <w:t>.</w:t>
      </w:r>
      <w:r w:rsidR="0078570F" w:rsidRPr="004804AA">
        <w:rPr>
          <w:sz w:val="28"/>
          <w:szCs w:val="28"/>
        </w:rPr>
        <w:t xml:space="preserve"> </w:t>
      </w:r>
      <w:r w:rsidR="009B2025" w:rsidRPr="004804AA">
        <w:rPr>
          <w:sz w:val="28"/>
          <w:szCs w:val="28"/>
        </w:rPr>
        <w:t xml:space="preserve">В Иране в 1996 году была внедрена государственная программа проверки зрения у детей в возрасте от трех до шести лет. В первые два года она проводилась экспериментально в ограниченных районах, а затем была распространена на все 30 провинций </w:t>
      </w:r>
      <w:r w:rsidR="009B2025" w:rsidRPr="004804AA">
        <w:rPr>
          <w:sz w:val="28"/>
          <w:szCs w:val="28"/>
        </w:rPr>
        <w:lastRenderedPageBreak/>
        <w:t>Ирана. В 2005 году в обследование было включено 788058 детей, посещающих детский сад</w:t>
      </w:r>
      <w:r w:rsidR="00A06BF6">
        <w:rPr>
          <w:sz w:val="28"/>
          <w:szCs w:val="28"/>
        </w:rPr>
        <w:t xml:space="preserve"> </w:t>
      </w:r>
      <w:r w:rsidR="009B2025" w:rsidRPr="004804AA">
        <w:rPr>
          <w:sz w:val="28"/>
          <w:szCs w:val="28"/>
        </w:rPr>
        <w:fldChar w:fldCharType="begin"/>
      </w:r>
      <w:r w:rsidR="00A00EFF">
        <w:rPr>
          <w:sz w:val="28"/>
          <w:szCs w:val="28"/>
        </w:rPr>
        <w:instrText xml:space="preserve"> ADDIN ZOTERO_ITEM CSL_CITATION {"citationID":"3tESfmvK","properties":{"formattedCitation":"[44]","plainCitation":"[44]","noteIndex":0},"citationItems":[{"id":1649,"uris":["http://zotero.org/users/local/XMo5Fvid/items/9Z2N72DJ"],"itemData":{"id":1649,"type":"article-journal","abstract":"Background:\nSince 1996, vision screening of three to six-year-old children is conducted every year in Iran. We present outcomes of project review held in August 2006.\n\nMaterials and Methods:\nKindergarten teachers examined vision by using Snellen's illiterate ‘E’ chart. They used torchlight to detect strabismus. On a repeat test, if either eye had vision &lt;20/30, the child was referred to the optometrist. A pediatric ophthalmologist examined and managed children with strabismus or amblyopia. Provincial managers supervised the screening program. The evaluator team assessed the coverage, yield, quality and feasibility, and cost-effectiveness of vision screening, as well as magnitude of amblyopia, and its risk factors.\n\nResult:\nIn 2005, 1.4 million (67%) children were examined in all provinces of Iran. Opticians examined 90,319 (61%) children with defective vision that were referred to them. The prevalence of uncorrected refractive error, strabismus and amblyopia was 3.82% (95% CI 3.79 – 3.85), 0.39% (95% CI 0.38 – 0.40) and 1.25% (95% CI 1.24 – 1.26) respectively. Validity test of 7,768 children had a sensitivity of 74.5% (95% CI 72.7 – 76.3) and specificity of 97.2% (95% CI 96.7 – 97.7). The cost of amblyopia screening was US $ 1.5 per child. While the cost of screening and treating one child with amblyopia was US $ 245.\n\nConclusion:\nA review of the vision screening of children in Iran showed it with screening and useful exercise and had a yield of 1:21. The coverage of vision screening was low and the management of children with amblyopia, low vision and refractive error needed strengthening.","container-title":"Indian Journal of Ophthalmology","DOI":"10.4103/0301-4738.57151","ISSN":"0301-4738","issue":"6","journalAbbreviation":"Indian J Ophthalmol","note":"PMID: 19861745\nPMCID: PMC2812762","page":"437-442","source":"PubMed Central","title":"Evaluation of ‘vision screening’ program for three to six-year-old children in the Republic of Iran","volume":"57","author":[{"family":"Khandekar","given":"Rajiv"},{"family":"Parast","given":"Noa"},{"family":"Arabi","given":"Ashraf"}],"issued":{"date-parts":[["2009"]]}}}],"schema":"https://github.com/citation-style-language/schema/raw/master/csl-citation.json"} </w:instrText>
      </w:r>
      <w:r w:rsidR="009B2025" w:rsidRPr="004804AA">
        <w:rPr>
          <w:sz w:val="28"/>
          <w:szCs w:val="28"/>
        </w:rPr>
        <w:fldChar w:fldCharType="separate"/>
      </w:r>
      <w:r w:rsidR="00A00EFF" w:rsidRPr="00A00EFF">
        <w:rPr>
          <w:sz w:val="28"/>
        </w:rPr>
        <w:t>[44]</w:t>
      </w:r>
      <w:r w:rsidR="009B2025" w:rsidRPr="004804AA">
        <w:rPr>
          <w:sz w:val="28"/>
          <w:szCs w:val="28"/>
        </w:rPr>
        <w:fldChar w:fldCharType="end"/>
      </w:r>
      <w:r w:rsidR="00A06BF6">
        <w:rPr>
          <w:sz w:val="28"/>
          <w:szCs w:val="28"/>
        </w:rPr>
        <w:t>.</w:t>
      </w:r>
      <w:r w:rsidR="00D95190" w:rsidRPr="004804AA">
        <w:rPr>
          <w:sz w:val="28"/>
          <w:szCs w:val="28"/>
        </w:rPr>
        <w:t xml:space="preserve"> </w:t>
      </w:r>
      <w:r w:rsidR="00D56399" w:rsidRPr="004804AA">
        <w:rPr>
          <w:sz w:val="28"/>
          <w:szCs w:val="28"/>
        </w:rPr>
        <w:t xml:space="preserve">В 2013 году </w:t>
      </w:r>
      <w:hyperlink r:id="rId9" w:history="1">
        <w:r w:rsidR="00D56399" w:rsidRPr="004804AA">
          <w:rPr>
            <w:sz w:val="28"/>
            <w:szCs w:val="28"/>
          </w:rPr>
          <w:t>Gursoy</w:t>
        </w:r>
      </w:hyperlink>
      <w:r w:rsidR="00D56399" w:rsidRPr="004804AA">
        <w:rPr>
          <w:sz w:val="28"/>
          <w:szCs w:val="28"/>
        </w:rPr>
        <w:t xml:space="preserve"> заявил о необходимость национальной крупномасштабной программы проверки зрения для детей Турции</w:t>
      </w:r>
      <w:r w:rsidR="00A06BF6">
        <w:rPr>
          <w:sz w:val="28"/>
          <w:szCs w:val="28"/>
        </w:rPr>
        <w:t xml:space="preserve"> </w:t>
      </w:r>
      <w:r w:rsidR="00D24311" w:rsidRPr="004804AA">
        <w:rPr>
          <w:sz w:val="28"/>
          <w:szCs w:val="28"/>
        </w:rPr>
        <w:fldChar w:fldCharType="begin"/>
      </w:r>
      <w:r w:rsidR="006E34BC">
        <w:rPr>
          <w:sz w:val="28"/>
          <w:szCs w:val="28"/>
        </w:rPr>
        <w:instrText xml:space="preserve"> ADDIN ZOTERO_ITEM CSL_CITATION {"citationID":"pl4eyOLn","properties":{"formattedCitation":"[214]","plainCitation":"[214]","noteIndex":0},"citationItems":[{"id":1653,"uris":["http://zotero.org/users/local/XMo5Fvid/items/P445D85B"],"itemData":{"id":1653,"type":"article-journal","abstract":"PURPOSE: To report vision screening results among school children in Eskisehir, Turkey.\nMETHODS: Vision screening was performed in 7- to 8-year-old school children in November and December 2011. Best-corrected visual acuity (BCVA) assessment, cover test, and autorefractometer measurement under cycloplegia were performed. Spherical equivalent ≤-0.50 diopters (D) was considered to be myopic, while spherical equivalent &gt;0.75 D was considered to be hypermetropic. Astigmatism was defined as a cylinder power ≥0.75 D. Regression analysis was used to determine the likelihood of having BCVA ≤0.8 Snellen (versus having BCVA &gt;0.8 Snellen) in the presence of independent variables.\nRESULTS: A total of 709 children were included. The prevalence rates of myopia, hypermetropia, and astigmatism were 22.6%, 10.6%, and 11.0%, respectively. Overall, 145 children (20.4%) needed spectacles, but only 65 of these were wearing them. The prevalence of children who required spectacles for myopia ≤-3.00 D and spectacles for hypermetropia ≥3.00 D were 0.8% and 1.0%, respectively. The prevalence of BCVA ≤ 0.8 Snellen was 56/709 (7.9%). In 39/709 (5.5%) of children, amblyopia was present; strabismus (14/56), isometropia (14/56), and anisometropia (11/56) were the etiologies. Strabismus was diagnosed in 18 children (2.5%). Anisometropia, strabismus, hypermetropia, and astigmatism were associated with BCVA ≤ 0.8 Snellen (odds ratio, OR, 6.32, 39.18, 5.47, 5.17, respectively; p = 0.0001 for all ORs).\nCONCLUSIONS: Myopia and amblyopia rates in Eskisehir were high among school children. The need for a national large-scale vision screening program for children that includes diverse regions of Turkey is apparent.","container-title":"Ophthalmic Epidemiology","DOI":"10.3109/09286586.2013.808672","ISSN":"1744-5086","issue":"4","journalAbbreviation":"Ophthalmic Epidemiol","language":"eng","note":"PMID: 23865604","page":"232-238","source":"PubMed","title":"Vision screening in children entering school: Eskisehir, Turkey","title-short":"Vision screening in children entering school","volume":"20","author":[{"family":"Gursoy","given":"Huseyin"},{"family":"Basmak","given":"Hikmet"},{"family":"Yaz","given":"Yetkin"},{"family":"Colak","given":"Ertugrul"}],"issued":{"date-parts":[["2013",8]]}}}],"schema":"https://github.com/citation-style-language/schema/raw/master/csl-citation.json"} </w:instrText>
      </w:r>
      <w:r w:rsidR="00D24311" w:rsidRPr="004804AA">
        <w:rPr>
          <w:sz w:val="28"/>
          <w:szCs w:val="28"/>
        </w:rPr>
        <w:fldChar w:fldCharType="separate"/>
      </w:r>
      <w:r w:rsidR="006E34BC" w:rsidRPr="006E34BC">
        <w:rPr>
          <w:sz w:val="28"/>
        </w:rPr>
        <w:t>[214]</w:t>
      </w:r>
      <w:r w:rsidR="00D24311" w:rsidRPr="004804AA">
        <w:rPr>
          <w:sz w:val="28"/>
          <w:szCs w:val="28"/>
        </w:rPr>
        <w:fldChar w:fldCharType="end"/>
      </w:r>
      <w:r w:rsidR="00A06BF6">
        <w:rPr>
          <w:sz w:val="28"/>
          <w:szCs w:val="28"/>
        </w:rPr>
        <w:t>.</w:t>
      </w:r>
    </w:p>
    <w:p w14:paraId="097026D8" w14:textId="1B2169EC" w:rsidR="00EC0393" w:rsidRPr="004804AA" w:rsidRDefault="00EC0393"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 другой стороны, опыт ряда стран не подтвердил экономическую эффективность скрининговых обследований, по причине низкой распространенности нарушения рефракции у школьников. </w:t>
      </w:r>
      <w:r w:rsidR="0089770B" w:rsidRPr="004804AA">
        <w:rPr>
          <w:rFonts w:ascii="Times New Roman" w:hAnsi="Times New Roman" w:cs="Times New Roman"/>
          <w:sz w:val="28"/>
          <w:szCs w:val="28"/>
        </w:rPr>
        <w:t>Так, в большинстве стран Африки к югу от Сахары и Океании не существует национальных программы проверки зрения в школьных и дошкольных учреждениях, что может быть связано как со слабым экономическим развитием региона, так и с относительно низкой частотой значимых аномалий рефракции среди детей</w:t>
      </w:r>
      <w:r w:rsidR="00A06BF6">
        <w:rPr>
          <w:rFonts w:ascii="Times New Roman" w:hAnsi="Times New Roman" w:cs="Times New Roman"/>
          <w:sz w:val="28"/>
          <w:szCs w:val="28"/>
        </w:rPr>
        <w:t xml:space="preserve"> </w:t>
      </w:r>
      <w:r w:rsidR="0089770B"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{"citationID":"xLHTaWOb","properties":{"formattedCitation":"[192; 215; 216]","plainCitation":"[192; 215; 216]","noteIndex":0},"citationItems":[{"id":1552,"uris":["http://zotero.org/users/local/XMo5Fvid/items/87E7VISJ"],"itemData":{"id":1552,"type":"article-journal","abstract":"Background/aims: The prevalence of significant refractive errors and other eye diseases was measured in 2511 secondary school students aged 11–27 years in Mwanza City, Tanzania. Risk factors for myopia were explored., Methods: A questionnaire assessed the students’ socioeconomic background and exposure to near work followed by visual acuity assessment and a full eye examination. Non-cycloplegic objective and subjective refraction was done on all participants with visual acuity of worse than 6/12 in either eye without an obvious cause., Results: 154 (6.1%) students had significant refractive errors. Myopia was the leading refractive error (5.6%). Amblyopia (0.4%), strabismus (0.2%), and other treatable eye disorders were uncommon. Only 30.3% of students with significant refractive errors wore spectacles before the survey. Age, sex, ethnicity, father’s educational status, and a family history of siblings with spectacles were significant independent risk factors for myopia., Conclusion: The prevalence of uncorrected significant refractive errors is high enough to justify a regular school eye screening programme in secondary schools in Tanzania. Risk factors for myopia are similar to those reported in European, North-American, and Asian populations.","container-title":"The British Journal of Ophthalmology","ISSN":"0007-1161","issue":"11","journalAbbreviation":"Br J Ophthalmol","note":"PMID: 12386067\nPMCID: PMC1771368","page":"1200-1206","source":"PubMed Central","title":"Myopia in secondary school students in Mwanza City, Tanzania: the need for a national screening programme","title-short":"Myopia in secondary school students in Mwanza City, Tanzania","volume":"86","author":[{"family":"Wedner","given":"S H"},{"family":"Ross","given":"D A"},{"family":"Todd","given":"J"},{"family":"Anemona","given":"A"},{"family":"Balira","given":"R"},{"family":"Foster","given":"A"}],"issued":{"date-parts":[["2002",11]]}},"label":"page"},{"id":1613,"uris":["http://zotero.org/users/local/XMo5Fvid/items/ESRTNQ8V"],"itemData":{"id":1613,"type":"article-journal","abstract":"Абстрактный\n\t\t\t\t\tИстория вопроса: Как и в большинстве африканских стран, в Эфиопии нет национальных дошкольных или школьных служб проверки зрения. Целью этого исследования было провести школьный скрининг зрения в городе Бутаджира, чтобы определить причины глазных заболеваний и нарушения зрения у школьников и предложить возможные стратегии вмешательства. \nМетоды: с 13 сентября по 11 ноября было проведено перекрестное исследование 1846 учащихся из младших и начальных школ Мекичо (1397) и Доботуто (449) города Бутаджира, отобранных путем систематической случайной выборки из разделов каждого класса. , 1999. Проведены острота зрения и детальное офтальмологическое обследование.\nРезультаты: одна или несколько глазных аномалий были обнаружены у 62,6% студентов. Трахома была ведущей причиной (54%) глазных заболеваний, за ней следовали аномалия рефракции (11,8%), косоглазие (4,4%), нетрахоматозный острый конъюнктивит (2,3%), помутнение роговицы (1,3%), ксерофтальмия (1,1%). весенний кератоконъюнктивит (0,7%). Нарушение рефракции было основной причиной плохого зрения. \nЗаключение: трахома является проблемой общественного здравоохранения в обществе, поэтому необходимо осуществлять массовую мобилизацию и всеобъемлющую стратегию ВОЗ БЕЗОПАСНОСТЬ. Заинтересованные государственные органы, а также НПО должны проявить инициативу по обеспечению детей с аномалиями рефракции недорогими очками. Санитарное просвещение и ежегодный школьный осмотр глаз местным медицинским персоналом предотвратят распространенные причины слепоты и нарушения зрения.[Ethiop.J.Health Dev. 2002; 16 (2): 165-171]","container-title":"Ethiopian Journal of Health Development","DOI":"10.4314/ejhd.v16i2.9807","ISSN":"1021-6790","issue":"2","language":"en","license":"Copyright (c)","note":"number: 2","page":"165-171","source":"www.ajol.info","title":"Screening for ocular abnormalities and subnormal vision in school children of Butajira Town, southern Ethiopia","volume":"16","author":[{"family":"Worku","given":"Yoseph"},{"family":"Bayu","given":"Samson"}],"issued":{"date-parts":[["2002"]]}},"label":"page"},{"id":1646,"uris":["http://zotero.org/users/local/XMo5Fvid/items/37GZSZ6E"],"itemData":{"id":1646,"type":"article-journal","abstract":"Background\nComprehensive vision screening programmes for children are an important part of public health strategy, but do not exist in many countries, including Tonga. This project set out to assess: (1) the functional vision of children attending primary schools in Tonga and (2) how a new recognition acuity test (The Auckland Optotypes displayed on a tablet computer) compares to use of a standardised eye chart in this setting.\n\nMethods\nChildren from three Tongan primary schools were invited to participate. Acuity testing was conducted using a standardised recognition acuity chart (Lea symbols) and the tablet test displaying two formats of The Auckland Optotypes. Measures of ocular alignment, stereo acuity and non‐cycloplegic photorefraction were also taken.\n\nResults\nParents of 249 children consented to participate. One child was untestable. Only 2.8 per cent of testable children achieved visual acuity worse than 0.3 logMAR in the weaker eye. Results from the Spot Photoscreener suggested that no children had myopia or hyperopia, but that some children had astigmatism. The tablet test was practical in a community setting, and showed ±0.2 logMAR limits of agreement with the Lea symbols chart.\n\nConclusion\nThe sample of children in Tongan primary schools had good functional vision. A modified version of the tablet acuity test is a promising option for vision screening in this context.","container-title":"Clinical &amp; Experimental Optometry","DOI":"10.1111/cxo.12958","ISSN":"0816-4622","issue":"3","journalAbbreviation":"Clin Exp Optom","note":"PMID: 31489704\nPMCID: PMC7216869","page":"353-360","source":"PubMed Central","title":"Evaluation of vision screening of 5–15‐year‐old children in three Tongan schools: comparison of The Auckland Optotypes and Lea symbols","title-short":"Evaluation of vision screening of 5–15‐year‐old children in three Tongan schools","volume":"103","author":[{"family":"Hamm","given":"Lisa M"},{"family":"Langridge","given":"Fiona"},{"family":"Black","given":"Joanna M"},{"family":"Anstice","given":"Nicola S"},{"family":"Vuki","given":"Mele"},{"family":"Fakakovikaetau","given":"Toakase"},{"family":"Grant","given":"Cameron C"},{"family":"Dakin","given":"Steven C"}],"issued":{"date-parts":[["2020",5]]}},"label":"page"}],"schema":"https://github.com/citation-style-language/schema/raw/master/csl-citation.json"} </w:instrText>
      </w:r>
      <w:r w:rsidR="0089770B"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[192; 215; 216]</w:t>
      </w:r>
      <w:r w:rsidR="0089770B" w:rsidRPr="004804AA">
        <w:rPr>
          <w:rFonts w:ascii="Times New Roman" w:hAnsi="Times New Roman" w:cs="Times New Roman"/>
          <w:sz w:val="28"/>
          <w:szCs w:val="28"/>
        </w:rPr>
        <w:fldChar w:fldCharType="end"/>
      </w:r>
      <w:r w:rsidR="00A06BF6">
        <w:rPr>
          <w:rFonts w:ascii="Times New Roman" w:hAnsi="Times New Roman" w:cs="Times New Roman"/>
          <w:sz w:val="28"/>
          <w:szCs w:val="28"/>
        </w:rPr>
        <w:t>.</w:t>
      </w:r>
      <w:r w:rsidR="00444869">
        <w:rPr>
          <w:rFonts w:ascii="Times New Roman" w:hAnsi="Times New Roman" w:cs="Times New Roman"/>
          <w:color w:val="000000"/>
          <w:sz w:val="28"/>
          <w:szCs w:val="28"/>
        </w:rPr>
        <w:t xml:space="preserve"> </w:t>
      </w:r>
      <w:r w:rsidRPr="004804AA">
        <w:rPr>
          <w:rFonts w:ascii="Times New Roman" w:hAnsi="Times New Roman" w:cs="Times New Roman"/>
          <w:sz w:val="28"/>
          <w:szCs w:val="28"/>
        </w:rPr>
        <w:t>Противоположным примером неэффективности школьных программ проверки зрения является Великобритания, где почти все дети с серьезными проблемами зрения выявляются еще на дошкольном, чаще в 5-летнем возрасте и массовые проверки остроты зрения в школах Великобритании постепенно сокращаются</w:t>
      </w:r>
      <w:r w:rsidR="00A06BF6">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6E34BC">
        <w:rPr>
          <w:rFonts w:ascii="Times New Roman" w:hAnsi="Times New Roman" w:cs="Times New Roman"/>
          <w:sz w:val="28"/>
          <w:szCs w:val="28"/>
        </w:rPr>
        <w:instrText xml:space="preserve"> ADDIN ZOTERO_ITEM CSL_CITATION {"citationID":"4mXuEZAK","properties":{"formattedCitation":"[217\\uc0\\u8211{}219]","plainCitation":"[217–219]","noteIndex":0},"citationItems":[{"id":1555,"uris":["http://zotero.org/users/local/XMo5Fvid/items/V44DLRYT"],"itemData":{"id":1555,"type":"article-journal","abstract":"A prospective study of routine school vision tests in 1809 children aged 8 and 10 y was undertaken in schools in the Cambridge Health District over two years (1988-1990) to establish whether a significant number of defects of vision were detected. Although the visual acuity of 31% of children who had an abnormal test was recorded as abnormal, most abnormalities were minimal. Only 15 (0.83%) had newly diagnosed problems requiring treatment. Almost all children with marked visual abnormalities had already been detected before school entry, at the 5 y school vision test or on another occasion. Near vision testing did not identify any previously undiagnosed child with significant defects who did not also have distant vision abnormalities. Satisfactory colour vision test results had been recorded for most children at the 5 y school entry vision test. These data do not justify the continued use of routine screening in junior schools.","container-title":"Public Health","DOI":"10.1016/s0033-3506(96)80010-2","ISSN":"0033-3506","issue":"6","journalAbbreviation":"Public Health","language":"eng","note":"PMID: 8979754","page":"369-372","source":"PubMed","title":"Vision screening in junior schools","volume":"110","author":[{"family":"Cummings","given":"G. E."}],"issued":{"date-parts":[["1996",11]]}},"label":"page"},{"id":1580,"uris":["http://zotero.org/users/local/XMo5Fvid/items/WP959BQ6"],"itemData":{"id":1580,"type":"article-journal","abstract":"Vision screening of 13 and 15 year old children by school nurses in Oxfordshire has declined in recent years due to the pressure of other commitments. A study was carried out to evaluate the likely consequences of failing to provide vision screening for secondary schoolchildren, in order to make a decision about the future of the service. Parents were also asked to complete a questionnaire about their children's past eye histories. Eight schools that had had no vision screening for at least three years participated in the study. Overall, 3.8% of children between 13 and 15 years old had a visual acuity of worse than 6/12 in one or both eyes, that is they failed vision screening; there was no evidence that this percentage increased significantly across this age range. Less than 1% of children were prescribed and wore spectacles as a consequence of failing vision screening and no new cases of eye pathology were detected. Questionnaire responses suggested that about 50% of children who did not wear spectacles had had an eye examination in the previous two years. The results indicate that vision screening is not the best way to meet the eye/vision needs of secondary schoolchildren. Strategies for targeting the school nursing resource more appropriately are being considered.","container-title":"Archives of Disease in Childhood","ISSN":"0003-9888","issue":"1","journalAbbreviation":"Arch Dis Child","note":"PMID: 8110000\nPMCID: PMC1029674","page":"14-18","source":"PubMed Central","title":"The effectiveness of vision screening by school nurses in secondary school.","volume":"70","author":[{"family":"Jewell","given":"G"},{"family":"Reeves","given":"B"},{"family":"Saffin","given":"K"},{"family":"Crofts","given":"B"}],"issued":{"date-parts":[["1994",1]]}},"label":"page"},{"id":1626,"uris":["http://zotero.org/users/local/XMo5Fvid/items/4G3NVLJ4"],"itemData":{"id":1626,"type":"article-journal","abstract":"Purpose\nTo determine presenting visual acuity levels and explore the factors associated with failing vision screening in a multi-ethnic population of UK children aged 4–5 years.\n\nMethods\nVisual acuity (VA) using the logMAR Crowded Test was measured in 16,541 children in a population-based vision screening programme. Referral for cycloplegic examination was based on national recommendations (&gt;0.20logMAR in one or both eyes). Presenting visual impairment (PVI) was defined as VA &gt;0.3logMAR in the better eye. Multivariable logistic regression was used to assess the association of ethnicity, maternal, and early-life factors with failing vision screening and PVI in participants of the Born in Bradford birth cohort.\n\nResults\nIn total, 2467/16,541 (15%) failed vision screening, 732 (4.4%) had PVI. Children of Pakistani (OR: 2.49; 95% CI: 1.74–3.60) and other ethnicities (OR: 2.00; 95% CI: 1.28–3.12) showed increased odds of PVI compared to white children. Children born to older mothers (OR: 1.63; 95% CI: 1.19–2.24) and of low birth weight (OR: 1.52; 95% CI: 1.00–2.34) also showed increased odds. Follow-up results were available for 1068 (43.3%) children, 993 (93%) were true positives; 932 (94%) of these had significant refractive error. Astigmatism (&gt;1DC) (44%) was more common in children of Pakistani ethnicity and hypermetropia (&gt;3.0DS) (27%) in white children (Fisher’s exact, p &lt; 0.001).\n\nConclusions\nA high prevalence of PVI is reported. Failing vision screening and PVI were highly associated with ethnicity. The positive predictive value of the vision screening programme was good, with only 7% of children followed up confirmed as false positives.","container-title":"Eye","DOI":"10.1038/s41433-018-0146-8","ISSN":"0950-222X","issue":"10","journalAbbreviation":"Eye (Lond)","note":"PMID: 29899459\nPMCID: PMC6169729","page":"1599-1607","source":"PubMed Central","title":"Prevalence of, and risk factors for, presenting visual impairment: findings from a vision screening programme based on UK NSC guidance in a multi-ethnic population","title-short":"Prevalence of, and risk factors for, presenting visual impairment","volume":"32","author":[{"family":"Bruce","given":"Alison"},{"family":"Santorelli","given":"Gillian"},{"family":"Wright","given":"John"},{"family":"Bradbury","given":"John"},{"family":"Barrett","given":"Brendan T."},{"family":"Bloj","given":"Marina"},{"family":"Sheldon","given":"Trevor A."}],"issued":{"date-parts":[["2018",10]]}},"label":"page"}],"schema":"https://github.com/citation-style-language/schema/raw/master/csl-citation.json"} </w:instrText>
      </w:r>
      <w:r w:rsidRPr="004804AA">
        <w:rPr>
          <w:rFonts w:ascii="Times New Roman" w:hAnsi="Times New Roman" w:cs="Times New Roman"/>
          <w:sz w:val="28"/>
          <w:szCs w:val="28"/>
        </w:rPr>
        <w:fldChar w:fldCharType="separate"/>
      </w:r>
      <w:r w:rsidR="006E34BC" w:rsidRPr="006E34BC">
        <w:rPr>
          <w:rFonts w:ascii="Times New Roman" w:hAnsi="Times New Roman" w:cs="Times New Roman"/>
          <w:sz w:val="28"/>
          <w:szCs w:val="24"/>
        </w:rPr>
        <w:t>[217–219]</w:t>
      </w:r>
      <w:r w:rsidRPr="004804AA">
        <w:rPr>
          <w:rFonts w:ascii="Times New Roman" w:hAnsi="Times New Roman" w:cs="Times New Roman"/>
          <w:sz w:val="28"/>
          <w:szCs w:val="28"/>
        </w:rPr>
        <w:fldChar w:fldCharType="end"/>
      </w:r>
      <w:r w:rsidR="00A06BF6">
        <w:rPr>
          <w:rFonts w:ascii="Times New Roman" w:hAnsi="Times New Roman" w:cs="Times New Roman"/>
          <w:sz w:val="28"/>
          <w:szCs w:val="28"/>
        </w:rPr>
        <w:t>.</w:t>
      </w:r>
      <w:r w:rsidRPr="004804AA">
        <w:rPr>
          <w:rFonts w:ascii="Times New Roman" w:hAnsi="Times New Roman" w:cs="Times New Roman"/>
          <w:sz w:val="28"/>
          <w:szCs w:val="28"/>
        </w:rPr>
        <w:t xml:space="preserve"> </w:t>
      </w:r>
    </w:p>
    <w:p w14:paraId="232A0670" w14:textId="6F92799A" w:rsidR="006B6256" w:rsidRPr="004804AA" w:rsidRDefault="006B6256"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Таким образом, распространенность неисправленных аномалий рефракции у школьников ряда стран считается слишком низкой, чтобы оправдать программу скрининга</w:t>
      </w:r>
      <w:r w:rsidR="003F188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{"citationID":"Vey8ue0M","properties":{"formattedCitation":"[189]","plainCitation":"[189]","noteIndex":0},"citationItems":[{"id":1567,"uris":["http://zotero.org/users/local/XMo5Fvid/items/UXS7BFSM"],"itemData":{"id":1567,"type":"article-journal","container-title":"Cochrane Database of Systematic Reviews","DOI":"10.1002/14651858.CD005023.pub2","ISSN":"1465-1858","issue":"4","language":"en","note":"publisher: John Wiley &amp; Sons, Ltd","source":"www.cochranelibrary.com","title":"Vision screening for correctable visual acuity deficits in school‐age children and adolescents","URL":"https://www.cochranelibrary.com/cdsr/doi/10.1002/14651858.CD005023.pub2/full?cookiesEnabled","author":[{"family":"Powell","given":"Christine"},{"family":"Wedner","given":"Susanne"},{"family":"Hatt","given":"Sarah R."}],"accessed":{"date-parts":[["2021",4,11]]},"issued":{"date-parts":[["2004"]]}}}],"schema":"https://github.com/citation-style-language/schema/raw/master/csl-citation.json"}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[189]</w:t>
      </w:r>
      <w:r w:rsidRPr="004804AA">
        <w:rPr>
          <w:rFonts w:ascii="Times New Roman" w:hAnsi="Times New Roman" w:cs="Times New Roman"/>
          <w:sz w:val="28"/>
          <w:szCs w:val="28"/>
        </w:rPr>
        <w:fldChar w:fldCharType="end"/>
      </w:r>
      <w:r w:rsidR="003F188F">
        <w:rPr>
          <w:rFonts w:ascii="Times New Roman" w:hAnsi="Times New Roman" w:cs="Times New Roman"/>
          <w:sz w:val="28"/>
          <w:szCs w:val="28"/>
        </w:rPr>
        <w:t xml:space="preserve">. </w:t>
      </w:r>
      <w:r w:rsidRPr="004804AA">
        <w:rPr>
          <w:rFonts w:ascii="Times New Roman" w:hAnsi="Times New Roman" w:cs="Times New Roman"/>
          <w:sz w:val="28"/>
          <w:szCs w:val="28"/>
        </w:rPr>
        <w:t xml:space="preserve"> Кроме того, в развивающихся странах подавляющее большинство детей не проходят офтальмологический осмотр, не смотря на внедрение программ скрининга, а дальнейший доступ к медицинским услугам часто ограничен, особенно в сельских районах</w:t>
      </w:r>
      <w:r w:rsidR="003F188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{"citationID":"48UnMJ2e","properties":{"formattedCitation":"[192]","plainCitation":"[192]","noteIndex":0},"citationItems":[{"id":1552,"uris":["http://zotero.org/users/local/XMo5Fvid/items/87E7VISJ"],"itemData":{"id":1552,"type":"article-journal","abstract":"Background/aims: The prevalence of significant refractive errors and other eye diseases was measured in 2511 secondary school students aged 11–27 years in Mwanza City, Tanzania. Risk factors for myopia were explored., Methods: A questionnaire assessed the students’ socioeconomic background and exposure to near work followed by visual acuity assessment and a full eye examination. Non-cycloplegic objective and subjective refraction was done on all participants with visual acuity of worse than 6/12 in either eye without an obvious cause., Results: 154 (6.1%) students had significant refractive errors. Myopia was the leading refractive error (5.6%). Amblyopia (0.4%), strabismus (0.2%), and other treatable eye disorders were uncommon. Only 30.3% of students with significant refractive errors wore spectacles before the survey. Age, sex, ethnicity, father’s educational status, and a family history of siblings with spectacles were significant independent risk factors for myopia., Conclusion: The prevalence of uncorrected significant refractive errors is high enough to justify a regular school eye screening programme in secondary schools in Tanzania. Risk factors for myopia are similar to those reported in European, North-American, and Asian populations.","container-title":"The British Journal of Ophthalmology","ISSN":"0007-1161","issue":"11","journalAbbreviation":"Br J Ophthalmol","note":"PMID: 12386067\nPMCID: PMC1771368","page":"1200-1206","source":"PubMed Central","title":"Myopia in secondary school students in Mwanza City, Tanzania: the need for a national screening programme","title-short":"Myopia in secondary school students in Mwanza City, Tanzania","volume":"86","author":[{"family":"Wedner","given":"S H"},{"family":"Ross","given":"D A"},{"family":"Todd","given":"J"},{"family":"Anemona","given":"A"},{"family":"Balira","given":"R"},{"family":"Foster","given":"A"}],"issued":{"date-parts":[["2002",11]]}}}],"schema":"https://github.com/citation-style-language/schema/raw/master/csl-citation.json"}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[192]</w:t>
      </w:r>
      <w:r w:rsidRPr="004804AA">
        <w:rPr>
          <w:rFonts w:ascii="Times New Roman" w:hAnsi="Times New Roman" w:cs="Times New Roman"/>
          <w:sz w:val="28"/>
          <w:szCs w:val="28"/>
        </w:rPr>
        <w:fldChar w:fldCharType="end"/>
      </w:r>
      <w:r w:rsidR="003F188F">
        <w:rPr>
          <w:rFonts w:ascii="Times New Roman" w:hAnsi="Times New Roman" w:cs="Times New Roman"/>
          <w:sz w:val="28"/>
          <w:szCs w:val="28"/>
        </w:rPr>
        <w:t>.</w:t>
      </w:r>
      <w:r w:rsidRPr="004804AA">
        <w:rPr>
          <w:rFonts w:ascii="Times New Roman" w:hAnsi="Times New Roman" w:cs="Times New Roman"/>
          <w:sz w:val="28"/>
          <w:szCs w:val="28"/>
        </w:rPr>
        <w:t xml:space="preserve"> </w:t>
      </w:r>
    </w:p>
    <w:p w14:paraId="6C7D23DA" w14:textId="6120CF6D" w:rsidR="00141027" w:rsidRPr="004804AA" w:rsidRDefault="00141027"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нашей республике в 70-80-х годах ежегодно проводилась массовая кампания по выявлению детей с пониженным зрением, но в последнее десятилетие в свете изменившихся экономических и политических условий эта работа значительно уменьшила, а в некоторых регионах и вовсе утратила свои былые масштабы. Опыт прошлых лет доказал высокую эффективность проведения таких мероприятий. КазНИИ глазных болезней совместно с </w:t>
      </w:r>
      <w:bookmarkStart w:id="7" w:name="_Hlk100572372"/>
      <w:r w:rsidRPr="004804AA">
        <w:rPr>
          <w:rFonts w:ascii="Times New Roman" w:hAnsi="Times New Roman" w:cs="Times New Roman"/>
          <w:sz w:val="28"/>
          <w:szCs w:val="28"/>
        </w:rPr>
        <w:t xml:space="preserve">Центром формирования здорового образа жизни </w:t>
      </w:r>
      <w:bookmarkEnd w:id="7"/>
      <w:r w:rsidRPr="004804AA">
        <w:rPr>
          <w:rFonts w:ascii="Times New Roman" w:hAnsi="Times New Roman" w:cs="Times New Roman"/>
          <w:sz w:val="28"/>
          <w:szCs w:val="28"/>
        </w:rPr>
        <w:t>в 2004 году имели опыт проведения такого мероприятия - декадника по профилактике близорукости среди детей 12 лет</w:t>
      </w:r>
      <w:r w:rsidR="003F188F">
        <w:rPr>
          <w:rFonts w:ascii="Times New Roman" w:hAnsi="Times New Roman" w:cs="Times New Roman"/>
          <w:sz w:val="28"/>
          <w:szCs w:val="28"/>
        </w:rPr>
        <w:t xml:space="preserve"> </w:t>
      </w:r>
      <w:r w:rsidRPr="004804AA">
        <w:rPr>
          <w:rFonts w:ascii="Times New Roman" w:hAnsi="Times New Roman" w:cs="Times New Roman"/>
          <w:sz w:val="28"/>
          <w:szCs w:val="28"/>
        </w:rPr>
        <w:t>[17</w:t>
      </w:r>
      <w:r w:rsidR="00F66D9A">
        <w:rPr>
          <w:rFonts w:ascii="Times New Roman" w:hAnsi="Times New Roman" w:cs="Times New Roman"/>
          <w:sz w:val="28"/>
          <w:szCs w:val="28"/>
        </w:rPr>
        <w:t>]</w:t>
      </w:r>
      <w:r w:rsidR="003F188F">
        <w:rPr>
          <w:rFonts w:ascii="Times New Roman" w:hAnsi="Times New Roman" w:cs="Times New Roman"/>
          <w:sz w:val="28"/>
          <w:szCs w:val="28"/>
        </w:rPr>
        <w:t>.</w:t>
      </w:r>
      <w:r w:rsidRPr="004804AA">
        <w:rPr>
          <w:rFonts w:ascii="Times New Roman" w:hAnsi="Times New Roman" w:cs="Times New Roman"/>
          <w:sz w:val="28"/>
          <w:szCs w:val="28"/>
        </w:rPr>
        <w:t xml:space="preserve"> </w:t>
      </w:r>
    </w:p>
    <w:p w14:paraId="3FEAD0AC" w14:textId="08F82411" w:rsidR="00FF1C5A" w:rsidRPr="004804AA" w:rsidRDefault="006806C8"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Барьерами для повсеместного внедрения скрининговых программ в развивающихся регионах являются </w:t>
      </w:r>
      <w:r w:rsidR="00CD1D09" w:rsidRPr="004804AA">
        <w:rPr>
          <w:rFonts w:ascii="Times New Roman" w:hAnsi="Times New Roman" w:cs="Times New Roman"/>
          <w:sz w:val="28"/>
          <w:szCs w:val="28"/>
        </w:rPr>
        <w:t xml:space="preserve">высокая </w:t>
      </w:r>
      <w:r w:rsidRPr="004804AA">
        <w:rPr>
          <w:rFonts w:ascii="Times New Roman" w:hAnsi="Times New Roman" w:cs="Times New Roman"/>
          <w:sz w:val="28"/>
          <w:szCs w:val="28"/>
        </w:rPr>
        <w:t>стоимость</w:t>
      </w:r>
      <w:r w:rsidR="00CD1D09" w:rsidRPr="004804AA">
        <w:rPr>
          <w:rFonts w:ascii="Times New Roman" w:hAnsi="Times New Roman" w:cs="Times New Roman"/>
          <w:sz w:val="28"/>
          <w:szCs w:val="28"/>
        </w:rPr>
        <w:t>, значительные временные трудовые затраты,</w:t>
      </w:r>
      <w:r w:rsidR="00444869">
        <w:rPr>
          <w:rFonts w:ascii="Times New Roman" w:hAnsi="Times New Roman" w:cs="Times New Roman"/>
          <w:sz w:val="28"/>
          <w:szCs w:val="28"/>
        </w:rPr>
        <w:t xml:space="preserve"> </w:t>
      </w:r>
      <w:r w:rsidR="00CD1D09" w:rsidRPr="004804AA">
        <w:rPr>
          <w:rFonts w:ascii="Times New Roman" w:hAnsi="Times New Roman" w:cs="Times New Roman"/>
          <w:sz w:val="28"/>
          <w:szCs w:val="28"/>
        </w:rPr>
        <w:t xml:space="preserve">дефицит специалистов, </w:t>
      </w:r>
      <w:r w:rsidR="00D02093" w:rsidRPr="004804AA">
        <w:rPr>
          <w:rFonts w:ascii="Times New Roman" w:hAnsi="Times New Roman" w:cs="Times New Roman"/>
          <w:sz w:val="28"/>
          <w:szCs w:val="28"/>
        </w:rPr>
        <w:t xml:space="preserve">низкий охват детей программами скрининга </w:t>
      </w:r>
      <w:r w:rsidRPr="004804AA">
        <w:rPr>
          <w:rFonts w:ascii="Times New Roman" w:hAnsi="Times New Roman" w:cs="Times New Roman"/>
          <w:sz w:val="28"/>
          <w:szCs w:val="28"/>
        </w:rPr>
        <w:t>и качество диагностических мероприятий</w:t>
      </w:r>
      <w:r w:rsidR="003F188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{"citationID":"kqpiZ7n7","properties":{"formattedCitation":"[204]","plainCitation":"[204]","noteIndex":0},"citationItems":[{"id":591,"uris":["http://zotero.org/users/local/XMo5Fvid/items/RTK5T5IR"],"itemData":{"id":591,"type":"article-journal","abstract":"The World Health Organization estimates that 13 million children aged 5-15 years worldwide are visually impaired from uncorrected refractive error. School vision screening programs can identify and treat or refer children with refractive error. We concentrate on the findings of various screening studies and attempt to identify key factors in the success and sustainability of such programs in the developing world. We reviewed original and review articles describing children's vision and refractive error screening programs published in English and listed in PubMed, Medline OVID, Google Scholar, and Oxford University Electronic Resources databases. Data were abstracted on study objective, design, setting, participants, and outcomes, including accuracy of screening, quality of refractive services, barriers to uptake, impact on quality of life, and cost-effectiveness of programs. Inadequately corrected refractive error is an important global cause of visual impairment in childhood. School-based vision screening carried out by teachers and other ancillary personnel may be an effective means of detecting affected children and improving their visual function with spectacles. The need for services and potential impact of school-based programs varies widely between areas, depending on prevalence of refractive error and competing conditions and rates of school attendance. Barriers to acceptance of services include the cost and quality of available refractive care and mistaken beliefs that glasses will harm children's eyes. Further research is needed in areas such as the cost-effectiveness of different screening approaches and impact of education to promote acceptance of spectacle-wear. School vision programs should be integrated into comprehensive efforts to promote healthy children and their families.","container-title":"Survey of Ophthalmology","DOI":"10.1016/j.survophthal.2011.11.002","ISSN":"1879-3304","issue":"3","journalAbbreviation":"Surv Ophthalmol","language":"eng","note":"PMID: 22398336","page":"272-283","source":"PubMed","title":"School-based approaches to the correction of refractive error in children","volume":"57","author":[{"family":"Sharma","given":"Abhishek"},{"family":"Congdon","given":"Nathan"},{"family":"Patel","given":"Mehul"},{"family":"Gilbert","given":"Clare"}],"issued":{"date-parts":[["2012",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[204]</w:t>
      </w:r>
      <w:r w:rsidRPr="004804AA">
        <w:rPr>
          <w:rFonts w:ascii="Times New Roman" w:hAnsi="Times New Roman" w:cs="Times New Roman"/>
          <w:sz w:val="28"/>
          <w:szCs w:val="28"/>
        </w:rPr>
        <w:fldChar w:fldCharType="end"/>
      </w:r>
      <w:r w:rsidR="003F188F">
        <w:rPr>
          <w:rFonts w:ascii="Times New Roman" w:hAnsi="Times New Roman" w:cs="Times New Roman"/>
          <w:sz w:val="28"/>
          <w:szCs w:val="28"/>
        </w:rPr>
        <w:t>.</w:t>
      </w:r>
      <w:r w:rsidR="0089770B" w:rsidRPr="004804AA">
        <w:rPr>
          <w:rFonts w:ascii="Times New Roman" w:hAnsi="Times New Roman" w:cs="Times New Roman"/>
          <w:sz w:val="28"/>
          <w:szCs w:val="28"/>
        </w:rPr>
        <w:t xml:space="preserve"> </w:t>
      </w:r>
      <w:r w:rsidR="00D02093" w:rsidRPr="004804AA">
        <w:rPr>
          <w:rFonts w:ascii="Times New Roman" w:hAnsi="Times New Roman" w:cs="Times New Roman"/>
          <w:sz w:val="28"/>
          <w:szCs w:val="28"/>
        </w:rPr>
        <w:t xml:space="preserve">Эти ограничения в последнее десятилетие подтолкнули исследователей </w:t>
      </w:r>
      <w:r w:rsidR="00CD1D09" w:rsidRPr="004804AA">
        <w:rPr>
          <w:rFonts w:ascii="Times New Roman" w:hAnsi="Times New Roman" w:cs="Times New Roman"/>
          <w:sz w:val="28"/>
          <w:szCs w:val="28"/>
        </w:rPr>
        <w:t xml:space="preserve">поиску </w:t>
      </w:r>
      <w:r w:rsidR="00D02093" w:rsidRPr="004804AA">
        <w:rPr>
          <w:rFonts w:ascii="Times New Roman" w:hAnsi="Times New Roman" w:cs="Times New Roman"/>
          <w:sz w:val="28"/>
          <w:szCs w:val="28"/>
        </w:rPr>
        <w:t xml:space="preserve">к разработке </w:t>
      </w:r>
      <w:r w:rsidR="00CD1D09" w:rsidRPr="004804AA">
        <w:rPr>
          <w:rFonts w:ascii="Times New Roman" w:hAnsi="Times New Roman" w:cs="Times New Roman"/>
          <w:sz w:val="28"/>
          <w:szCs w:val="28"/>
        </w:rPr>
        <w:t xml:space="preserve">новых </w:t>
      </w:r>
      <w:r w:rsidR="00D02093" w:rsidRPr="004804AA">
        <w:rPr>
          <w:rFonts w:ascii="Times New Roman" w:hAnsi="Times New Roman" w:cs="Times New Roman"/>
          <w:sz w:val="28"/>
          <w:szCs w:val="28"/>
        </w:rPr>
        <w:t>альтернативных методов</w:t>
      </w:r>
      <w:r w:rsidR="008075BF" w:rsidRPr="004804AA">
        <w:rPr>
          <w:rFonts w:ascii="Times New Roman" w:hAnsi="Times New Roman" w:cs="Times New Roman"/>
          <w:sz w:val="28"/>
          <w:szCs w:val="28"/>
        </w:rPr>
        <w:t xml:space="preserve"> </w:t>
      </w:r>
      <w:r w:rsidR="00CD1D09" w:rsidRPr="004804AA">
        <w:rPr>
          <w:rFonts w:ascii="Times New Roman" w:hAnsi="Times New Roman" w:cs="Times New Roman"/>
          <w:sz w:val="28"/>
          <w:szCs w:val="28"/>
        </w:rPr>
        <w:t>и подходов к скринингу зрения школьников.</w:t>
      </w:r>
    </w:p>
    <w:p w14:paraId="0B535160" w14:textId="706CB273" w:rsidR="00AE06E6" w:rsidRDefault="00CC242F" w:rsidP="00AE06E6">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Скрининг зрения детей может проводиться либо путем определения объективной или субъективной рефракции, либо путем субъективного определения остроты зрения с использованием соответствующих возрасту тестов: картинок, </w:t>
      </w:r>
      <w:r>
        <w:rPr>
          <w:rFonts w:ascii="Times New Roman" w:hAnsi="Times New Roman" w:cs="Times New Roman"/>
          <w:sz w:val="28"/>
          <w:szCs w:val="28"/>
        </w:rPr>
        <w:t>различных</w:t>
      </w:r>
      <w:r w:rsidRPr="004804AA">
        <w:rPr>
          <w:rFonts w:ascii="Times New Roman" w:hAnsi="Times New Roman" w:cs="Times New Roman"/>
          <w:sz w:val="28"/>
          <w:szCs w:val="28"/>
        </w:rPr>
        <w:t xml:space="preserve"> оптотипов</w:t>
      </w:r>
      <w:r>
        <w:rPr>
          <w:rFonts w:ascii="Times New Roman" w:hAnsi="Times New Roman" w:cs="Times New Roman"/>
          <w:sz w:val="28"/>
          <w:szCs w:val="28"/>
        </w:rPr>
        <w:t xml:space="preserve">. То же касается и широкого выбора буквенных и небуквенных </w:t>
      </w:r>
      <w:r w:rsidRPr="00B22918">
        <w:rPr>
          <w:rFonts w:ascii="Times New Roman" w:hAnsi="Times New Roman" w:cs="Times New Roman"/>
          <w:sz w:val="28"/>
          <w:szCs w:val="28"/>
        </w:rPr>
        <w:t>оптотипов при исследовании остроты зрения: оптотипы Сивцева, «пляшущая Е», кольца Ландольта</w:t>
      </w:r>
      <w:r w:rsidR="0095380B">
        <w:rPr>
          <w:rFonts w:ascii="Times New Roman" w:hAnsi="Times New Roman" w:cs="Times New Roman"/>
          <w:sz w:val="28"/>
          <w:szCs w:val="28"/>
        </w:rPr>
        <w:t xml:space="preserve">, шкала </w:t>
      </w:r>
      <w:r w:rsidR="0095380B" w:rsidRPr="0095380B">
        <w:rPr>
          <w:rFonts w:ascii="Times New Roman" w:hAnsi="Times New Roman" w:cs="Times New Roman"/>
          <w:sz w:val="28"/>
          <w:szCs w:val="28"/>
        </w:rPr>
        <w:t>LogMAR</w:t>
      </w:r>
      <w:r w:rsidRPr="00B22918">
        <w:rPr>
          <w:rFonts w:ascii="Times New Roman" w:hAnsi="Times New Roman" w:cs="Times New Roman"/>
          <w:sz w:val="28"/>
          <w:szCs w:val="28"/>
        </w:rPr>
        <w:t xml:space="preserve"> и т.д. Традиционно на территории постсоветских стран</w:t>
      </w:r>
      <w:r>
        <w:rPr>
          <w:rFonts w:ascii="Times New Roman" w:hAnsi="Times New Roman" w:cs="Times New Roman"/>
          <w:sz w:val="28"/>
          <w:szCs w:val="28"/>
        </w:rPr>
        <w:t xml:space="preserve"> используется таблица </w:t>
      </w:r>
      <w:r>
        <w:rPr>
          <w:rFonts w:ascii="Times New Roman" w:hAnsi="Times New Roman" w:cs="Times New Roman"/>
          <w:sz w:val="28"/>
          <w:szCs w:val="28"/>
        </w:rPr>
        <w:lastRenderedPageBreak/>
        <w:t xml:space="preserve">Сивцева-Головина, включающая в себя кириллические оптотипы и </w:t>
      </w:r>
      <w:r w:rsidR="007C7376">
        <w:rPr>
          <w:rFonts w:ascii="Times New Roman" w:hAnsi="Times New Roman" w:cs="Times New Roman"/>
          <w:sz w:val="28"/>
          <w:szCs w:val="28"/>
        </w:rPr>
        <w:t>незамкнутые кольца Ландольта</w:t>
      </w:r>
      <w:r w:rsidR="009F0EF0">
        <w:rPr>
          <w:rFonts w:ascii="Times New Roman" w:hAnsi="Times New Roman" w:cs="Times New Roman"/>
          <w:sz w:val="28"/>
          <w:szCs w:val="28"/>
        </w:rPr>
        <w:t xml:space="preserve"> и таблица картинок Орловой</w:t>
      </w:r>
      <w:r>
        <w:rPr>
          <w:rFonts w:ascii="Times New Roman" w:hAnsi="Times New Roman" w:cs="Times New Roman"/>
          <w:sz w:val="28"/>
          <w:szCs w:val="28"/>
        </w:rPr>
        <w:t>. В</w:t>
      </w:r>
      <w:r w:rsidRPr="004804AA">
        <w:rPr>
          <w:rFonts w:ascii="Times New Roman" w:hAnsi="Times New Roman" w:cs="Times New Roman"/>
          <w:sz w:val="28"/>
          <w:szCs w:val="28"/>
        </w:rPr>
        <w:t xml:space="preserve"> США и некоторых странах Европы </w:t>
      </w:r>
      <w:r>
        <w:rPr>
          <w:rFonts w:ascii="Times New Roman" w:hAnsi="Times New Roman" w:cs="Times New Roman"/>
          <w:sz w:val="28"/>
          <w:szCs w:val="28"/>
        </w:rPr>
        <w:t>«</w:t>
      </w:r>
      <w:r w:rsidRPr="004804AA">
        <w:rPr>
          <w:rFonts w:ascii="Times New Roman" w:hAnsi="Times New Roman" w:cs="Times New Roman"/>
          <w:sz w:val="28"/>
          <w:szCs w:val="28"/>
        </w:rPr>
        <w:t>золотым стандартом</w:t>
      </w:r>
      <w:r>
        <w:rPr>
          <w:rFonts w:ascii="Times New Roman" w:hAnsi="Times New Roman" w:cs="Times New Roman"/>
          <w:sz w:val="28"/>
          <w:szCs w:val="28"/>
        </w:rPr>
        <w:t>»</w:t>
      </w:r>
      <w:r w:rsidRPr="004804AA">
        <w:rPr>
          <w:rFonts w:ascii="Times New Roman" w:hAnsi="Times New Roman" w:cs="Times New Roman"/>
          <w:sz w:val="28"/>
          <w:szCs w:val="28"/>
        </w:rPr>
        <w:t xml:space="preserve"> является определение остроты зрения с использованием таблицы Снеллена</w:t>
      </w:r>
      <w:r w:rsidR="003F188F">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{"citationID":"BZAm9XuK","properties":{"formattedCitation":"[189; 204]","plainCitation":"[189; 204]","noteIndex":0},"citationItems":[{"id":1567,"uris":["http://zotero.org/users/local/XMo5Fvid/items/UXS7BFSM"],"itemData":{"id":1567,"type":"article-journal","container-title":"Cochrane Database of Systematic Reviews","DOI":"10.1002/14651858.CD005023.pub2","ISSN":"1465-1858","issue":"4","language":"en","note":"publisher: John Wiley &amp; Sons, Ltd","source":"www.cochranelibrary.com","title":"Vision screening for correctable visual acuity deficits in school‐age children and adolescents","URL":"https://www.cochranelibrary.com/cdsr/doi/10.1002/14651858.CD005023.pub2/full?cookiesEnabled","author":[{"family":"Powell","given":"Christine"},{"family":"Wedner","given":"Susanne"},{"family":"Hatt","given":"Sarah R."}],"accessed":{"date-parts":[["2021",4,11]]},"issued":{"date-parts":[["2004"]]}},"label":"page"},{"id":591,"uris":["http://zotero.org/users/local/XMo5Fvid/items/RTK5T5IR"],"itemData":{"id":591,"type":"article-journal","abstract":"The World Health Organization estimates that 13 million children aged 5-15 years worldwide are visually impaired from uncorrected refractive error. School vision screening programs can identify and treat or refer children with refractive error. We concentrate on the findings of various screening studies and attempt to identify key factors in the success and sustainability of such programs in the developing world. We reviewed original and review articles describing children's vision and refractive error screening programs published in English and listed in PubMed, Medline OVID, Google Scholar, and Oxford University Electronic Resources databases. Data were abstracted on study objective, design, setting, participants, and outcomes, including accuracy of screening, quality of refractive services, barriers to uptake, impact on quality of life, and cost-effectiveness of programs. Inadequately corrected refractive error is an important global cause of visual impairment in childhood. School-based vision screening carried out by teachers and other ancillary personnel may be an effective means of detecting affected children and improving their visual function with spectacles. The need for services and potential impact of school-based programs varies widely between areas, depending on prevalence of refractive error and competing conditions and rates of school attendance. Barriers to acceptance of services include the cost and quality of available refractive care and mistaken beliefs that glasses will harm children's eyes. Further research is needed in areas such as the cost-effectiveness of different screening approaches and impact of education to promote acceptance of spectacle-wear. School vision programs should be integrated into comprehensive efforts to promote healthy children and their families.","container-title":"Survey of Ophthalmology","DOI":"10.1016/j.survophthal.2011.11.002","ISSN":"1879-3304","issue":"3","journalAbbreviation":"Surv Ophthalmol","language":"eng","note":"PMID: 22398336","page":"272-283","source":"PubMed","title":"School-based approaches to the correction of refractive error in children","volume":"57","author":[{"family":"Sharma","given":"Abhishek"},{"family":"Congdon","given":"Nathan"},{"family":"Patel","given":"Mehul"},{"family":"Gilbert","given":"Clare"}],"issued":{"date-parts":[["2012",6]]}},"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[189; 204]</w:t>
      </w:r>
      <w:r w:rsidRPr="004804AA">
        <w:rPr>
          <w:rFonts w:ascii="Times New Roman" w:hAnsi="Times New Roman" w:cs="Times New Roman"/>
          <w:sz w:val="28"/>
          <w:szCs w:val="28"/>
        </w:rPr>
        <w:fldChar w:fldCharType="end"/>
      </w:r>
      <w:r w:rsidR="003F188F">
        <w:rPr>
          <w:rFonts w:ascii="Times New Roman" w:hAnsi="Times New Roman" w:cs="Times New Roman"/>
          <w:sz w:val="28"/>
          <w:szCs w:val="28"/>
        </w:rPr>
        <w:t>.</w:t>
      </w:r>
      <w:r w:rsidRPr="004804AA">
        <w:rPr>
          <w:rFonts w:ascii="Times New Roman" w:hAnsi="Times New Roman" w:cs="Times New Roman"/>
          <w:sz w:val="28"/>
          <w:szCs w:val="28"/>
        </w:rPr>
        <w:t xml:space="preserve"> </w:t>
      </w:r>
      <w:r w:rsidR="00096531">
        <w:rPr>
          <w:rFonts w:ascii="Times New Roman" w:hAnsi="Times New Roman" w:cs="Times New Roman"/>
          <w:sz w:val="28"/>
          <w:szCs w:val="28"/>
        </w:rPr>
        <w:t xml:space="preserve">Споры относительно точности и воспроизводимости того или иного метода определения рефракции при проведении массовых осмотров детей </w:t>
      </w:r>
      <w:r w:rsidR="00AE06E6">
        <w:rPr>
          <w:rFonts w:ascii="Times New Roman" w:hAnsi="Times New Roman" w:cs="Times New Roman"/>
          <w:sz w:val="28"/>
          <w:szCs w:val="28"/>
        </w:rPr>
        <w:t xml:space="preserve">также </w:t>
      </w:r>
      <w:r w:rsidR="00096531">
        <w:rPr>
          <w:rFonts w:ascii="Times New Roman" w:hAnsi="Times New Roman" w:cs="Times New Roman"/>
          <w:sz w:val="28"/>
          <w:szCs w:val="28"/>
        </w:rPr>
        <w:t xml:space="preserve">актуальны до сих пор. </w:t>
      </w:r>
      <w:r w:rsidR="00AE06E6" w:rsidRPr="004804AA">
        <w:rPr>
          <w:rFonts w:ascii="Times New Roman" w:hAnsi="Times New Roman" w:cs="Times New Roman"/>
          <w:sz w:val="28"/>
          <w:szCs w:val="28"/>
        </w:rPr>
        <w:t xml:space="preserve">Традиционно </w:t>
      </w:r>
      <w:bookmarkStart w:id="8" w:name="_Hlk100572391"/>
      <w:r w:rsidR="00AE06E6" w:rsidRPr="004804AA">
        <w:rPr>
          <w:rFonts w:ascii="Times New Roman" w:hAnsi="Times New Roman" w:cs="Times New Roman"/>
          <w:sz w:val="28"/>
          <w:szCs w:val="28"/>
        </w:rPr>
        <w:t xml:space="preserve">циклоплегическая ретиноскопия </w:t>
      </w:r>
      <w:bookmarkEnd w:id="8"/>
      <w:r w:rsidR="00AE06E6" w:rsidRPr="004804AA">
        <w:rPr>
          <w:rFonts w:ascii="Times New Roman" w:hAnsi="Times New Roman" w:cs="Times New Roman"/>
          <w:sz w:val="28"/>
          <w:szCs w:val="28"/>
        </w:rPr>
        <w:t xml:space="preserve">используется как </w:t>
      </w:r>
      <w:bookmarkStart w:id="9" w:name="_Hlk100572404"/>
      <w:r w:rsidR="00AE06E6" w:rsidRPr="004804AA">
        <w:rPr>
          <w:rFonts w:ascii="Times New Roman" w:hAnsi="Times New Roman" w:cs="Times New Roman"/>
          <w:sz w:val="28"/>
          <w:szCs w:val="28"/>
        </w:rPr>
        <w:t>золотой стандарт для определения статуса рефракции у детей и проводится профессиональными офтальмологами или оптометристами</w:t>
      </w:r>
      <w:bookmarkEnd w:id="9"/>
      <w:r w:rsidR="003F188F">
        <w:rPr>
          <w:rFonts w:ascii="Times New Roman" w:hAnsi="Times New Roman" w:cs="Times New Roman"/>
          <w:sz w:val="28"/>
          <w:szCs w:val="28"/>
        </w:rPr>
        <w:t xml:space="preserve"> </w:t>
      </w:r>
      <w:r w:rsidR="00AE06E6" w:rsidRPr="004804AA">
        <w:rPr>
          <w:rFonts w:ascii="Times New Roman" w:hAnsi="Times New Roman" w:cs="Times New Roman"/>
          <w:sz w:val="28"/>
          <w:szCs w:val="28"/>
        </w:rPr>
        <w:fldChar w:fldCharType="begin"/>
      </w:r>
      <w:r w:rsidR="00AE06E6">
        <w:rPr>
          <w:rFonts w:ascii="Times New Roman" w:hAnsi="Times New Roman" w:cs="Times New Roman"/>
          <w:sz w:val="28"/>
          <w:szCs w:val="28"/>
        </w:rPr>
        <w:instrText xml:space="preserve"> ADDIN ZOTERO_ITEM CSL_CITATION {"citationID":"DccT4dwl","properties":{"formattedCitation":"[220]","plainCitation":"[220]","noteIndex":0},"citationItems":[{"id":1657,"uris":["http://zotero.org/users/local/XMo5Fvid/items/445J7L8W"],"itemData":{"id":1657,"type":"article-journal","abstract":"PURPOSE\nTo compare refractive data and testability of Spot (PediaVision) and Plusoptix A09 (Plusoptix, Inc) photoscreeners and to compare each device with traditional cycloplegic retinoscopy.\n\nDESIGN\nProspective, interventional case series.\n\nMETHODS\nAfter informed consent, patients underwent testing with the Spot and Plusoptix photoscreeners before their examination by a pediatric ophthalmologist masked to the results. Data including testability and estimated refractions were entered into a Research Electronic Data Capture database for statistical analysis.\n\nRESULTS\nA total of 265 children were enrolled (mean age, 6.0 ± 3.4 years). Both devices produced a computer printout result in 250 (94.3%) of the patients. The Spot photoscreener provided a refractive estimate in all computer printouts, whereas the Plusoptix, used binocularly, provided a refractive estimate in 75.2% (188/250) of the printouts. Compared with cycloplegic retinoscopy, both devices underestimated hyperopia or overestimated myopia (−1.35 diopters [D] and −0.64 D, Spot and Plusoptix, respectively) and overestimated astigmatism (0.36 D and 0.32 D, Spot and Plusoptix, respectively). The intraclass correlation coefficient for spherical equivalents indicated good agreement between cycloplegic retinoscopy and Spot (0.806) and excellent agreement between cycloplegic retinoscopy and Plusoptix (0.898).\n\nCONCLUSIONS\nThe Spot photoscreener provided refractive data on a greater percentage of children. The photorefractors correlated with cycloplegic retinoscopy refractive findings for sphere and spherical equivalents, but underestimated hyperopia or overestimated myopia and overestimated astigmatism. The binocular refractions of Plusoptix agreed more closely with the refractions of our pediatric ophthalmologists.","container-title":"American journal of ophthalmology","DOI":"10.1016/j.ajo.2014.07.041","ISSN":"0002-9394","issue":"5","journalAbbreviation":"Am J Ophthalmol","note":"PMID: 25089352\nPMCID: PMC4250376","page":"932-938","source":"PubMed Central","title":"Photoscreeners in the Pediatric Eye Office: Compared Testability and Refractions on High-Risk Children","title-short":"Photoscreeners in the Pediatric Eye Office","volume":"158","author":[{"family":"PETERSEIM","given":"MAE MILLICENT W."},{"family":"PAPA","given":"CARRIE E."},{"family":"WILSON","given":"M. EDWARD"},{"family":"CHEESEMAN","given":"EDWARD W."},{"family":"WOLF","given":"BETHANY J."},{"family":"DAVIDSON","given":"JENNIFER D."},{"family":"TRIVEDI","given":"RUPAL H."}],"issued":{"date-parts":[["2014",11]]}}}],"schema":"https://github.com/citation-style-language/schema/raw/master/csl-citation.json"} </w:instrText>
      </w:r>
      <w:r w:rsidR="00AE06E6" w:rsidRPr="004804AA">
        <w:rPr>
          <w:rFonts w:ascii="Times New Roman" w:hAnsi="Times New Roman" w:cs="Times New Roman"/>
          <w:sz w:val="28"/>
          <w:szCs w:val="28"/>
        </w:rPr>
        <w:fldChar w:fldCharType="separate"/>
      </w:r>
      <w:r w:rsidR="00AE06E6" w:rsidRPr="006E34BC">
        <w:rPr>
          <w:rFonts w:ascii="Times New Roman" w:hAnsi="Times New Roman" w:cs="Times New Roman"/>
          <w:sz w:val="28"/>
        </w:rPr>
        <w:t>[220]</w:t>
      </w:r>
      <w:r w:rsidR="00AE06E6" w:rsidRPr="004804AA">
        <w:rPr>
          <w:rFonts w:ascii="Times New Roman" w:hAnsi="Times New Roman" w:cs="Times New Roman"/>
          <w:sz w:val="28"/>
          <w:szCs w:val="28"/>
        </w:rPr>
        <w:fldChar w:fldCharType="end"/>
      </w:r>
      <w:r w:rsidR="003F188F">
        <w:rPr>
          <w:rFonts w:ascii="Times New Roman" w:hAnsi="Times New Roman" w:cs="Times New Roman"/>
          <w:sz w:val="28"/>
          <w:szCs w:val="28"/>
        </w:rPr>
        <w:t>.</w:t>
      </w:r>
      <w:r w:rsidR="00AE06E6" w:rsidRPr="004804AA">
        <w:rPr>
          <w:rFonts w:ascii="Times New Roman" w:hAnsi="Times New Roman" w:cs="Times New Roman"/>
          <w:sz w:val="28"/>
          <w:szCs w:val="28"/>
        </w:rPr>
        <w:t xml:space="preserve"> </w:t>
      </w:r>
      <w:r w:rsidR="00AE06E6">
        <w:rPr>
          <w:rFonts w:ascii="Times New Roman" w:hAnsi="Times New Roman" w:cs="Times New Roman"/>
          <w:sz w:val="28"/>
          <w:szCs w:val="28"/>
        </w:rPr>
        <w:t>Однако, с</w:t>
      </w:r>
      <w:r w:rsidR="00096531" w:rsidRPr="004804AA">
        <w:rPr>
          <w:rFonts w:ascii="Times New Roman" w:hAnsi="Times New Roman" w:cs="Times New Roman"/>
          <w:sz w:val="28"/>
          <w:szCs w:val="28"/>
        </w:rPr>
        <w:t xml:space="preserve">равнительный анализ циклоплегической авторефрактометрии и ретиноскопии </w:t>
      </w:r>
      <w:r w:rsidR="00096531">
        <w:rPr>
          <w:rFonts w:ascii="Times New Roman" w:hAnsi="Times New Roman" w:cs="Times New Roman"/>
          <w:sz w:val="28"/>
          <w:szCs w:val="28"/>
        </w:rPr>
        <w:t>у</w:t>
      </w:r>
      <w:r w:rsidR="00096531" w:rsidRPr="004804AA">
        <w:rPr>
          <w:rFonts w:ascii="Times New Roman" w:hAnsi="Times New Roman" w:cs="Times New Roman"/>
          <w:sz w:val="28"/>
          <w:szCs w:val="28"/>
        </w:rPr>
        <w:t xml:space="preserve"> детей в возрасте от 5 до 15 лет в Китае, Непале, Индии и Чили показал </w:t>
      </w:r>
      <w:r w:rsidR="00096531">
        <w:rPr>
          <w:rFonts w:ascii="Times New Roman" w:hAnsi="Times New Roman" w:cs="Times New Roman"/>
          <w:sz w:val="28"/>
          <w:szCs w:val="28"/>
        </w:rPr>
        <w:t>сопоставимые</w:t>
      </w:r>
      <w:r w:rsidR="00096531" w:rsidRPr="004804AA">
        <w:rPr>
          <w:rFonts w:ascii="Times New Roman" w:hAnsi="Times New Roman" w:cs="Times New Roman"/>
          <w:sz w:val="28"/>
          <w:szCs w:val="28"/>
        </w:rPr>
        <w:t xml:space="preserve"> результаты</w:t>
      </w:r>
      <w:r w:rsidR="009F0EF0">
        <w:rPr>
          <w:rFonts w:ascii="Times New Roman" w:hAnsi="Times New Roman" w:cs="Times New Roman"/>
          <w:sz w:val="28"/>
          <w:szCs w:val="28"/>
        </w:rPr>
        <w:t xml:space="preserve"> субъективной и объективной рефрактометрии</w:t>
      </w:r>
      <w:r w:rsidR="003F188F">
        <w:rPr>
          <w:rFonts w:ascii="Times New Roman" w:hAnsi="Times New Roman" w:cs="Times New Roman"/>
          <w:sz w:val="28"/>
          <w:szCs w:val="28"/>
        </w:rPr>
        <w:t xml:space="preserve"> </w:t>
      </w:r>
      <w:r w:rsidR="00096531"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{"citationID":"zviUzOQs","properties":{"formattedCitation":"[110; 221\\uc0\\u8211{}223]","plainCitation":"[110; 221–223]","noteIndex":0},"citationItems":[{"id":1281,"uris":["http://zotero.org/users/local/XMo5Fvid/items/ZPN32YA8"],"itemData":{"id":1281,"type":"article-journal","abstract":"PURPOSE: To assess the prevalence of refractive errors and vision impairment in school-age children in a suburban area (La Florida) of Santiago, Chile.\nMETHODS: Random selection of geographically defined clusters was used to identify a representative sample of children 5 to 15 years of age. Children in the 26 selected clusters were enumerated through a door-to-door survey and invited to report to a community health clinic for examination. Visual acuity measurements, cycloplegic retinoscopy, cycloplegic autorefraction, ocular motility evaluation, and examination of the external eye, anterior segment, media, and fundus were done from April through August 1998. Independent replicate examinations of all children with reduced vision and a sample of those with normal vision were done for quality assurance monitoring in six clusters.\nRESULTS: A total of 6,998 children from 3,830 households were enumerated, and 5,303 children (75.8%) were examined. The prevalence of uncorrected, presenting, and best visual acuity 0.50 (20/40) or worse in at least one eye was 15.8%, 14.7%, and 7.4%, respectively; 3.3% had best visual acuity 0.50 or worse in both eyes. Refractive error was the cause in 56.3% of the 1,285 eyes with reduced vision, amblyopia in 6.5%, other causes in 4.3%, with unexplained causes in the remaining 32.9%. Myopia -0.50 diopter or less in either eye was present in 3.4% of 5-year-old children, increasing to 19.4% in males and 14.7% in females by age 15. Over this same age range, hyperopia 2.00 diopters or greater decreased from 22.7% to 7.1% in males and from 26.3% to 8.9% in females. Females had a significantly higher risk of hyperopia than males.\nCONCLUSIONS: Refractive error, associated primarily with myopia, is a major cause of reduced vision in school-age children in La Florida. More than 7% of children could benefit from the provision of proper spectacles. Efforts are needed to make existing programs that provide free spectacles for school children more effective. Further studies are needed to determine whether the upward trend in myopia continues far beyond 15 years of age.","container-title":"American Journal of Ophthalmology","DOI":"10.1016/s0002-9394(99)00454-7","ISSN":"0002-9394","issue":"4","journalAbbreviation":"Am J Ophthalmol","language":"eng","note":"PMID: 10764851","page":"445-454","source":"PubMed","title":"Refractive Error Study in Children: results from La Florida, Chile","title-short":"Refractive Error Study in Children","volume":"129","author":[{"family":"Maul","given":"E."},{"family":"Barroso","given":"S."},{"family":"Munoz","given":"S. R."},{"family":"Sperduto","given":"R. D."},{"family":"Ellwein","given":"L. B."}],"issued":{"date-parts":[["2000",4]]}},"label":"page"},{"id":1598,"uris":["http://zotero.org/users/local/XMo5Fvid/items/H3EFJA5M"],"itemData":{"id":1598,"type":"article-journal","abstract":"PURPOSE: To assess the prevalence of refractive error and related visual impairment in school-aged children in the rural population of the Mahabubnagar district in the southern Indian state of Andhra Pradesh.\nMETHODS: Random selection of village-based clusters was used to identify a sample of children 7 to 15 years of age. From April 2000 through February 2001, children in the 25 selected clusters were enumerated in a door-to-door survey and examined at a rural eye center in the district. The examination included visual acuity measurements, ocular motility evaluation, retinoscopy and autorefraction under cycloplegia, and examination of the anterior segment, media, and fundus. Myopia was defined as spherical equivalent refractive error of at least -0.50 D and hyperopia as +2.00 D or more. Children with reduced vision and a sample of those with normal vision underwent independent replicate examinations for quality assurance in seven clusters.\nRESULTS: A total of 4414 children from 4876 households was enumerated, and 4074 (92.3%) were examined. The prevalence of uncorrected, baseline (presenting), and best corrected visual acuity of 20/40 or worse in the better eye was 2.7%, 2.6%, and 0.78%, respectively. Refractive error was the cause in 61% of eyes with vision impairment, amblyopia in 12%, other causes in 15%, and unexplained causes in the remaining 13%. A gradual shift toward less-positive values of refractive error occurred with increasing age in both boys and girls. Myopia in one or both eyes was present in 4.1% of the children. Myopia risk was associated with female gender and having a father with a higher level of schooling. Higher risk of myopia in children of older age was of borderline statistical significance (P = 0.069). Hyperopia in at least one eye was present in 0.8% of children, with no significant predictors.\nCONCLUSIONS: Refractive error was the main cause of visual impairment in children aged between 7 and 15 years in rural India. There was a benefit of spectacles in 70% of those who had visual acuity of 20/40 or worse in the better eye at baseline examination. Because visual impairment can have a significant impact on a child's life in terms of education and development, it is important that effective strategies be developed to eliminate this easily treated cause of visual impairment.","container-title":"Investigative Ophthalmology &amp; Visual Science","ISSN":"0146-0404","issue":"3","journalAbbreviation":"Invest Ophthalmol Vis Sci","language":"eng","note":"PMID: 11867575","page":"615-622","source":"PubMed","title":"Refractive error in children in a rural population in India","volume":"43","author":[{"family":"Dandona","given":"Rakhi"},{"family":"Dandona","given":"Lalit"},{"family":"Srinivas","given":"Marmamula"},{"family":"Sahare","given":"Prashant"},{"family":"Narsaiah","given":"Saggam"},{"family":"Muñoz","given":"Sergio R."},{"family":"Pokharel","given":"Gopal P."},{"family":"Ellwein","given":"Leon B."}],"issued":{"date-parts":[["2002",3]]}},"label":"page"},{"id":1283,"uris":["http://zotero.org/users/local/XMo5Fvid/items/Y6E5PQWN"],"itemData":{"id":1283,"type":"article-journal","abstract":"PURPOSE: To assess the prevalence of refractive error and vision impairment in school age children in the terai area of the Mechi zone in Eastern Nepal.\nMETHODS: Random selection of village-based clusters was used to identify a sample of children 5 to 15 years of age. Children in the 25 selected clusters were enumerated through a door-to-door household survey and invited to village sites for examination. Visual acuity measurements, cycloplegic retinoscopy, cycloplegic autorefraction, ocular motility evaluation, and anterior segment, media, and fundus examinations were done from May 1998 through July 1998. Independent replicate examinations for quality assurance monitoring took place in all children with reduced vision and in a sample of those with normal vision in seven villages.\nRESULTS: A total of 5,526 children from 3,724 households were enumerated, and 5,067 children (91.7%) were examined. The prevalence of uncorrected, presenting, and best visual acuity 0.5 (20/40) or worse in at least one eye was 2.9%, 2.8%, and 1.4%, respectively; 0.4% had best visual acuity 0.5 or worse in both eyes. Refractive error was the cause in 56% of the 200 eyes with reduced uncorrected vision, amblyopia in 9%, other causes in 19%, with unexplained causes in the remaining 16%. Myopia -0.5 diopter or less in either eye or hyperopia 2 diopters or greater was observed in less than 3% of children. Hyperopia risk was associated with female gender and myopia risk with older age.\nCONCLUSIONS: The prevalence of reduced vision is very low in school-age children in Nepal, most of it because of correctable refractive error. Further studies are needed to determine whether the prevalence of myopia will be higher for more recent birth cohorts.","container-title":"American Journal of Ophthalmology","DOI":"10.1016/s0002-9394(99)00453-5","ISSN":"0002-9394","issue":"4","journalAbbreviation":"Am J Ophthalmol","language":"eng","note":"PMID: 10764850","page":"436-444","source":"PubMed","title":"Refractive Error Study in Children: results from Mechi Zone, Nepal","title-short":"Refractive Error Study in Children","volume":"129","author":[{"family":"Pokharel","given":"G. P."},{"family":"Negrel","given":"A. D."},{"family":"Munoz","given":"S. R."},{"family":"Ellwein","given":"L. B."}],"issued":{"date-parts":[["2000",4]]}},"label":"page"},{"id":1600,"uris":["http://zotero.org/users/local/XMo5Fvid/items/8956EKP2"],"itemData":{"id":1600,"type":"article-journal","abstract":"PURPOSE: To assess the prevalence of refractive errors and vision impairment in school-age children in Shunyi District, northeast of Beijing, the Peoples Republic of China.\nMETHODS: Random selection of village-based clusters was used to identify a sample of children 5 to 15 years of age. Resident registration books were used to enumerate eligible children in the selected villages and identify their current school. Ophthalmic examinations were conducted in 132 schools on children from 29 clusters during May 1988 to July 1998, including visual acuity measurements, cycloplegic retinoscopy, cycloplegic autorefraction, ocular motility evaluation, and examination of the external eye, anterior segment, media, and fundus. Independent replicate measurements of all children with reduced vision and a sample of those with normal vision were done for quality assurance monitoring in three schools.\nRESULTS: A total of 6,134 children from 4,338 households were enumerated, and 5,884 children (95.9%) were examined. The prevalence of uncorrected, presenting, and best visual acuity 0.5 (20/40) or worse in at least one eye was 12.8%, 10.9%, and 1.8%, respectively; 0.4% had best visual acuity 0.5 or worse in both eyes. Refractive error was the cause in 89.5% of the 1,236 eyes with reduced vision, amblyopia in 5%, other causes in 1.5%, with unexplained causes in the remaining 4%. Myopia -0.5 diopter or less in either eye was essentially absent in 5-year-old children, but increased to 36.7% in males and 55.0% in females by age 15. Over this same age range, hyperopia 2 diopters or greater decreased from 8.8% in males and 19.6% in females to less than 2% in both. Females had a significantly higher risk of both myopia and hyperopia.\nCONCLUSIONS: Reduced vision because of myopia is an important public health problem in school-age children in Shunyi District. More than 9% of children could benefit from prescription glasses. Further studies are needed to determine whether the upward trend in the prevalence of myopia continues far beyond age 15 and whether the development of myopia is changing for more recent birth cohorts.","container-title":"American Journal of Ophthalmology","DOI":"10.1016/s0002-9394(99)00452-3","ISSN":"0002-9394","issue":"4","journalAbbreviation":"Am J Ophthalmol","language":"eng","note":"PMID: 10764849","page":"427-435","source":"PubMed","title":"Refractive Error Study in Children: results from Shunyi District, China","title-short":"Refractive Error Study in Children","volume":"129","author":[{"family":"Zhao","given":"J."},{"family":"Pan","given":"X."},{"family":"Sui","given":"R."},{"family":"Munoz","given":"S. R."},{"family":"Sperduto","given":"R. D."},{"family":"Ellwein","given":"L. B."}],"issued":{"date-parts":[["2000",4]]}},"label":"page"}],"schema":"https://github.com/citation-style-language/schema/raw/master/csl-citation.json"} </w:instrText>
      </w:r>
      <w:r w:rsidR="00096531" w:rsidRPr="004804AA">
        <w:rPr>
          <w:rFonts w:ascii="Times New Roman" w:hAnsi="Times New Roman" w:cs="Times New Roman"/>
          <w:sz w:val="28"/>
          <w:szCs w:val="28"/>
        </w:rPr>
        <w:fldChar w:fldCharType="separate"/>
      </w:r>
      <w:r w:rsidR="00A00EFF" w:rsidRPr="00A00EFF">
        <w:rPr>
          <w:rFonts w:ascii="Times New Roman" w:hAnsi="Times New Roman" w:cs="Times New Roman"/>
          <w:sz w:val="28"/>
          <w:szCs w:val="24"/>
        </w:rPr>
        <w:t>[110; 221–223]</w:t>
      </w:r>
      <w:r w:rsidR="00096531" w:rsidRPr="004804AA">
        <w:rPr>
          <w:rFonts w:ascii="Times New Roman" w:hAnsi="Times New Roman" w:cs="Times New Roman"/>
          <w:sz w:val="28"/>
          <w:szCs w:val="28"/>
        </w:rPr>
        <w:fldChar w:fldCharType="end"/>
      </w:r>
      <w:r w:rsidR="003F188F">
        <w:rPr>
          <w:rFonts w:ascii="Times New Roman" w:hAnsi="Times New Roman" w:cs="Times New Roman"/>
          <w:sz w:val="28"/>
          <w:szCs w:val="28"/>
        </w:rPr>
        <w:t>.</w:t>
      </w:r>
      <w:r w:rsidR="00096531">
        <w:rPr>
          <w:rFonts w:ascii="Times New Roman" w:hAnsi="Times New Roman" w:cs="Times New Roman"/>
          <w:sz w:val="28"/>
          <w:szCs w:val="28"/>
        </w:rPr>
        <w:t xml:space="preserve"> Таким образом, выбор метода определения рефракции в каждом отдельном случае остается на выбор исследователей. </w:t>
      </w:r>
    </w:p>
    <w:p w14:paraId="4503999F" w14:textId="708F8CDC" w:rsidR="00AD7595" w:rsidRPr="004804AA" w:rsidRDefault="00716355"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 xml:space="preserve">В 2003 году </w:t>
      </w:r>
      <w:bookmarkStart w:id="10" w:name="_Hlk100572416"/>
      <w:r w:rsidRPr="004804AA">
        <w:rPr>
          <w:rFonts w:ascii="Times New Roman" w:eastAsiaTheme="minorHAnsi" w:hAnsi="Times New Roman" w:cs="Times New Roman"/>
          <w:sz w:val="28"/>
          <w:szCs w:val="28"/>
          <w:lang w:eastAsia="en-US"/>
        </w:rPr>
        <w:t xml:space="preserve">Американская ассоциация детской офтальмологии </w:t>
      </w:r>
      <w:bookmarkEnd w:id="10"/>
      <w:r w:rsidRPr="004804AA">
        <w:rPr>
          <w:rFonts w:ascii="Times New Roman" w:eastAsiaTheme="minorHAnsi" w:hAnsi="Times New Roman" w:cs="Times New Roman"/>
          <w:sz w:val="28"/>
          <w:szCs w:val="28"/>
          <w:lang w:eastAsia="en-US"/>
        </w:rPr>
        <w:t xml:space="preserve">и </w:t>
      </w:r>
      <w:bookmarkStart w:id="11" w:name="_Hlk100572430"/>
      <w:r w:rsidRPr="004804AA">
        <w:rPr>
          <w:rFonts w:ascii="Times New Roman" w:eastAsiaTheme="minorHAnsi" w:hAnsi="Times New Roman" w:cs="Times New Roman"/>
          <w:sz w:val="28"/>
          <w:szCs w:val="28"/>
          <w:lang w:eastAsia="en-US"/>
        </w:rPr>
        <w:t>комитет по скринингу зрения на косоглазие</w:t>
      </w:r>
      <w:bookmarkEnd w:id="11"/>
      <w:r w:rsidRPr="004804AA">
        <w:rPr>
          <w:rFonts w:ascii="Times New Roman" w:eastAsiaTheme="minorHAnsi" w:hAnsi="Times New Roman" w:cs="Times New Roman"/>
          <w:sz w:val="28"/>
          <w:szCs w:val="28"/>
          <w:lang w:eastAsia="en-US"/>
        </w:rPr>
        <w:t xml:space="preserve"> предложили критерии для автоматизированной дошкольной проверки зрения при помощи </w:t>
      </w:r>
      <w:bookmarkStart w:id="12" w:name="_Hlk100572447"/>
      <w:r w:rsidRPr="004804AA">
        <w:rPr>
          <w:rFonts w:ascii="Times New Roman" w:eastAsiaTheme="minorHAnsi" w:hAnsi="Times New Roman" w:cs="Times New Roman"/>
          <w:sz w:val="28"/>
          <w:szCs w:val="28"/>
          <w:lang w:eastAsia="en-US"/>
        </w:rPr>
        <w:t>авторефракто</w:t>
      </w:r>
      <w:r w:rsidR="00DE3B33">
        <w:rPr>
          <w:rFonts w:ascii="Times New Roman" w:eastAsiaTheme="minorHAnsi" w:hAnsi="Times New Roman" w:cs="Times New Roman"/>
          <w:sz w:val="28"/>
          <w:szCs w:val="28"/>
          <w:lang w:eastAsia="en-US"/>
        </w:rPr>
        <w:t>мет</w:t>
      </w:r>
      <w:r w:rsidRPr="004804AA">
        <w:rPr>
          <w:rFonts w:ascii="Times New Roman" w:eastAsiaTheme="minorHAnsi" w:hAnsi="Times New Roman" w:cs="Times New Roman"/>
          <w:sz w:val="28"/>
          <w:szCs w:val="28"/>
          <w:lang w:eastAsia="en-US"/>
        </w:rPr>
        <w:t>ров</w:t>
      </w:r>
      <w:r w:rsidR="00E63B4D" w:rsidRPr="004804AA">
        <w:rPr>
          <w:rFonts w:ascii="Times New Roman" w:eastAsiaTheme="minorHAnsi" w:hAnsi="Times New Roman" w:cs="Times New Roman"/>
          <w:sz w:val="28"/>
          <w:szCs w:val="28"/>
          <w:lang w:eastAsia="en-US"/>
        </w:rPr>
        <w:t xml:space="preserve"> – </w:t>
      </w:r>
      <w:r w:rsidR="0034429D" w:rsidRPr="004804AA">
        <w:rPr>
          <w:rFonts w:ascii="Times New Roman" w:eastAsiaTheme="minorHAnsi" w:hAnsi="Times New Roman" w:cs="Times New Roman"/>
          <w:sz w:val="28"/>
          <w:szCs w:val="28"/>
          <w:lang w:eastAsia="en-US"/>
        </w:rPr>
        <w:t xml:space="preserve">приборов для проверки зрения, которое обеспечивает измерения рефракции, зрачка и других параметров. </w:t>
      </w:r>
      <w:bookmarkEnd w:id="12"/>
      <w:r w:rsidR="0034429D" w:rsidRPr="004804AA">
        <w:rPr>
          <w:rFonts w:ascii="Times New Roman" w:eastAsiaTheme="minorHAnsi" w:hAnsi="Times New Roman" w:cs="Times New Roman"/>
          <w:sz w:val="28"/>
          <w:szCs w:val="28"/>
          <w:lang w:eastAsia="en-US"/>
        </w:rPr>
        <w:t>Прибор устанавливается в метре от глаз ребенка, инфракрасный свет освещает глаза, создавая отражения от роговицы и сетчатки, обеспечивая четкость границ зрачка и изображения</w:t>
      </w:r>
      <w:r w:rsidR="00B43CF9">
        <w:rPr>
          <w:rFonts w:ascii="Times New Roman" w:eastAsiaTheme="minorHAnsi" w:hAnsi="Times New Roman" w:cs="Times New Roman"/>
          <w:sz w:val="28"/>
          <w:szCs w:val="28"/>
          <w:lang w:eastAsia="en-US"/>
        </w:rPr>
        <w:t xml:space="preserve"> </w:t>
      </w:r>
      <w:r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{"citationID":"y1XpjOQ8","properties":{"formattedCitation":"[224]","plainCitation":"[224]","noteIndex":0},"citationItems":[{"id":1655,"uris":["http://zotero.org/users/local/XMo5Fvid/items/6ZQGPGJF"],"itemData":{"id":1655,"type":"article-journal","abstract":"In 2003 the American Association for Pediatric Ophthalmology and Strabismus Vision Screening Committee proposed criteria for automated preschool vision screening. Recent literature from epidemiologic and natural history studies, randomized controlled trials of amblyopia treatment, and field studies of screening technologies have been reviewed for the purpose of updating these criteria. The prevalence of amblyopia risk factors (ARF) is greater than previously suspected; many young children with low-magnitude ARFs do not develop amblyopia, and those who do often respond to spectacles alone. High-magnitude ARFs increase the likelihood of amblyopia. Although depth increases with age, amblyopia remains treatable until 60 months, with decline in treatment effectiveness after age 5. US Preventive Services Task Force Preventative Services Task Force guidelines allow photoscreening for children older than 36 months of age. Some technologies directly detect amblyopia rather than ARFs. Age-based criteria for ARF detection using photoscreening is prudent: referral criteria for such instruments should produce high specificity for ARF detection in young children and high sensitivity to detect amblyopia in older children. Refractive screening for ARFs for children aged 12-30 months should detect astigmatism &gt;2.0 D, hyperopia &gt;4.5 D, and anisometropia &gt;2.5 D; for children aged 31-48 months, astigmatism &gt;2.0 D, hyperopia &gt; 4.0 D, and anisometropia &gt;2.0 D. For children &gt;49 months of age original criteria should be used: astigmatism &gt;1.5 D, anisometropia&gt;1.5 D, and hyperopia &gt;3.5 D. Visually significant media opacities and manifest (not intermittent) strabismus should be detected at all ages. Instruments that detect amblyopia should report results using amblyopia presence as the gold standard. These new American Association for Pediatric Ophthalmology and Strabismus Vision Screening Committee guidelines will improve reporting of results and comparison of technologies.","container-title":"Journal of AAPOS: the official publication of the American Association for Pediatric Ophthalmology and Strabismus","DOI":"10.1016/j.jaapos.2012.09.012","ISSN":"1528-3933","issue":"1","journalAbbreviation":"J AAPOS","language":"eng","note":"PMID: 23360915","page":"4-8","source":"PubMed","title":"Guidelines for automated preschool vision screening: a 10-year, evidence-based update","title-short":"Guidelines for automated preschool vision screening","volume":"17","author":[{"family":"Donahue","given":"Sean P."},{"family":"Arthur","given":"Brian"},{"family":"Neely","given":"Daniel E."},{"family":"Arnold","given":"Robert W."},{"family":"Silbert","given":"David"},{"family":"Ruben","given":"James B."},{"literal":"POS Vision Screening Committee"}],"issued":{"date-parts":[["2013",2]]}}}],"schema":"https://github.com/citation-style-language/schema/raw/master/csl-citation.json"} </w:instrText>
      </w:r>
      <w:r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[224]</w:t>
      </w:r>
      <w:r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r w:rsidRPr="004804AA">
        <w:rPr>
          <w:rFonts w:ascii="Times New Roman" w:eastAsiaTheme="minorHAnsi" w:hAnsi="Times New Roman" w:cs="Times New Roman"/>
          <w:sz w:val="28"/>
          <w:szCs w:val="28"/>
          <w:lang w:eastAsia="en-US"/>
        </w:rPr>
        <w:t xml:space="preserve"> </w:t>
      </w:r>
      <w:r w:rsidR="00DE3B33" w:rsidRPr="004804AA">
        <w:rPr>
          <w:rFonts w:ascii="Times New Roman" w:eastAsiaTheme="minorHAnsi" w:hAnsi="Times New Roman" w:cs="Times New Roman"/>
          <w:sz w:val="28"/>
          <w:szCs w:val="28"/>
          <w:lang w:eastAsia="en-US"/>
        </w:rPr>
        <w:t>Благодаря автоматизации процесса</w:t>
      </w:r>
      <w:r w:rsidR="00E63B4D" w:rsidRPr="004804AA">
        <w:rPr>
          <w:rFonts w:ascii="Times New Roman" w:eastAsiaTheme="minorHAnsi" w:hAnsi="Times New Roman" w:cs="Times New Roman"/>
          <w:sz w:val="28"/>
          <w:szCs w:val="28"/>
          <w:lang w:eastAsia="en-US"/>
        </w:rPr>
        <w:t xml:space="preserve"> стало возможным проводить скрининг обученным неофтальмологическим персоналом (учителями, медицинскими сестрами). Одним из первых авторефракто</w:t>
      </w:r>
      <w:r w:rsidR="00DE3B33">
        <w:rPr>
          <w:rFonts w:ascii="Times New Roman" w:eastAsiaTheme="minorHAnsi" w:hAnsi="Times New Roman" w:cs="Times New Roman"/>
          <w:sz w:val="28"/>
          <w:szCs w:val="28"/>
          <w:lang w:eastAsia="en-US"/>
        </w:rPr>
        <w:t>метров</w:t>
      </w:r>
      <w:r w:rsidR="00E63B4D" w:rsidRPr="004804AA">
        <w:rPr>
          <w:rFonts w:ascii="Times New Roman" w:eastAsiaTheme="minorHAnsi" w:hAnsi="Times New Roman" w:cs="Times New Roman"/>
          <w:sz w:val="28"/>
          <w:szCs w:val="28"/>
          <w:lang w:eastAsia="en-US"/>
        </w:rPr>
        <w:t xml:space="preserve"> стал ф</w:t>
      </w:r>
      <w:r w:rsidR="007C40D9" w:rsidRPr="004804AA">
        <w:rPr>
          <w:rFonts w:ascii="Times New Roman" w:eastAsiaTheme="minorHAnsi" w:hAnsi="Times New Roman" w:cs="Times New Roman"/>
          <w:sz w:val="28"/>
          <w:szCs w:val="28"/>
          <w:lang w:eastAsia="en-US"/>
        </w:rPr>
        <w:t>оторефрактор Plusoptix (Plusoptix, Inc, Атланта, Джорджия, США)</w:t>
      </w:r>
      <w:r w:rsidR="00B43CF9">
        <w:rPr>
          <w:rFonts w:ascii="Times New Roman" w:eastAsiaTheme="minorHAnsi" w:hAnsi="Times New Roman" w:cs="Times New Roman"/>
          <w:sz w:val="28"/>
          <w:szCs w:val="28"/>
          <w:lang w:eastAsia="en-US"/>
        </w:rPr>
        <w:t xml:space="preserve"> </w:t>
      </w:r>
      <w:r w:rsidR="001F3F56"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{"citationID":"xmeNsWbc","properties":{"formattedCitation":"[225]","plainCitation":"[225]","noteIndex":0},"citationItems":[{"id":1660,"uris":["http://zotero.org/users/local/XMo5Fvid/items/472XG6YX"],"itemData":{"id":1660,"type":"article-journal","abstract":"PURPOSE: To determine the impact of using several different proposed sets of referral criteria on the specificity and sensitivity of the plusoptiX S08 photoscreener for detecting amblyopia risk factors.\nMETHODS: During a 2-month period, 144 children ages 9 months to 14 years were screened at the Tennessee Lions Eye Center before receiving a comprehensive eye examination and cycloplegic refraction. Three previously published sets of referral criteria were used for screening, including the manufacturer's criteria and the criteria proposed by Arthur and colleagues, which are nearly identical to the gold standard examination failure thresholds proposed by the Vision Screening Committee of the American Association of Pediatric Ophthalmology and Strabismus (AAPOS). Modifications of these criteria also were evaluated. The screening results obtained by the plusoptiX S08 were compared with the results from the gold standard pediatric ophthalmologic examination, and the respective sensitivities and specificities of each set of referral criteria in detecting amblyopia risk factors identified by the AAPOS Vision Screening Committee were calculated.\nRESULTS: The manufacturer's criteria yielded high sensitivity (100%) but very low specificity (37%). The Arthur criteria, which used the values for the AAPOS-defined amblyopia risk factors as referral criteria, maintained sensitivity (89%) and greatly improved specificity (76%). Two modifications of the Arthur criteria further increased specificity with minimal loss of sensitivity.\nCONCLUSIONS: The manufacturer's criteria have excellent sensitivity but low specificity, warranting modification; other criteria increase specificity with minimal effect on sensitivity.","container-title":"Journal of AAPOS: the official publication of the American Association for Pediatric Ophthalmology and Strabismus","DOI":"10.1016/j.jaapos.2011.08.008","ISSN":"1528-3933","issue":"6","journalAbbreviation":"J AAPOS","language":"eng","note":"PMID: 22153399","page":"551-555","source":"PubMed","title":"Modification of Plusoptix referral criteria to enhance sensitivity and specificity during pediatric vision screening","volume":"15","author":[{"family":"Nathan","given":"Niraj R."},{"family":"Donahue","given":"Sean P."}],"issued":{"date-parts":[["2011",12]]}}}],"schema":"https://github.com/citation-style-language/schema/raw/master/csl-citation.json"} </w:instrText>
      </w:r>
      <w:r w:rsidR="001F3F56"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[225]</w:t>
      </w:r>
      <w:r w:rsidR="001F3F56"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r w:rsidR="001F3F56" w:rsidRPr="004804AA">
        <w:rPr>
          <w:rFonts w:ascii="Times New Roman" w:eastAsiaTheme="minorHAnsi" w:hAnsi="Times New Roman" w:cs="Times New Roman"/>
          <w:sz w:val="28"/>
          <w:szCs w:val="28"/>
          <w:lang w:eastAsia="en-US"/>
        </w:rPr>
        <w:t xml:space="preserve"> </w:t>
      </w:r>
      <w:r w:rsidR="007C40D9" w:rsidRPr="004804AA">
        <w:rPr>
          <w:rFonts w:ascii="Times New Roman" w:eastAsiaTheme="minorHAnsi" w:hAnsi="Times New Roman" w:cs="Times New Roman"/>
          <w:sz w:val="28"/>
          <w:szCs w:val="28"/>
          <w:lang w:eastAsia="en-US"/>
        </w:rPr>
        <w:t>В 2011 года компанией PediaVision (Лейк Мэри, Флорида, США) был представлен прибор для проверки зрения Spot</w:t>
      </w:r>
      <w:r w:rsidR="00B43CF9">
        <w:rPr>
          <w:rFonts w:ascii="Times New Roman" w:eastAsiaTheme="minorHAnsi" w:hAnsi="Times New Roman" w:cs="Times New Roman"/>
          <w:sz w:val="28"/>
          <w:szCs w:val="28"/>
          <w:lang w:eastAsia="en-US"/>
        </w:rPr>
        <w:t xml:space="preserve"> </w:t>
      </w:r>
      <w:r w:rsidR="001F3F56"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{"citationID":"NAylk4tq","properties":{"formattedCitation":"[41]","plainCitation":"[41]","noteIndex":0},"citationItems":[{"id":1662,"uris":["http://zotero.org/users/local/XMo5Fvid/items/88AEQTFJ"],"itemData":{"id":1662,"type":"article-journal","abstract":"BACKGROUND: New photoscreening models promise to detect amblyopia risk factors early in hopes of reducing permanent pediatric monocular and binocular vision impairment. The 3 commercially available interpreted photoscreeners had not yet been compared.\nMETHODS: This is a prospective, observational screening study following AAPOS guidelines on pediatric patients with and without developmental delays. 270 patients in a pediatric eye practice aged 4.7 +/- 4 years with 7% special needs. From December 2011 through March 2012, the Plusoptix, the iScreen, and the Pediavision SPOT were applied before confirmatory exam in a clinical pediatric eye practice.\nRESULTS: The inconclusive rate ranged from 1-4% (iScreen) to 12% (Plusoptix). Sensitivity ranged from 72% (iScreen) to 84% (Plusoptix) and specificity ranged from 68% (SPOT) to 94% (Plusoptix). The iScreen can provide results in 99% of high risk patients.\nCONCLUSIONS: In this cohort with high pre-screening prevalence, the 2011 photoscreeners had favorable validation that is expected to improve with further clinical study. Pediatricians have practical technology with a recognized procedure code to assist in amblyopia reduction.","container-title":"Binocular Vision &amp; Strabology Quarterly, Simms-Romano's","ISSN":"2160-5904","issue":"1","journalAbbreviation":"Binocul Vis Strabolog Q Simms Romano","language":"eng","note":"PMID: 23521032","page":"20-28","source":"PubMed","title":"Pediatric photoscreeners in high risk patients 2012: a comparison study of Plusoptix, Iscreen and SPOT","title-short":"Pediatric photoscreeners in high risk patients 2012","volume":"28","author":[{"family":"Arnold","given":"Robert W."},{"family":"Arnold","given":"Andrew W."},{"family":"Armitage","given":"M. Diane"},{"family":"Shen","given":"Janet M."},{"family":"Hepler","given":"Tom E."},{"family":"Woodard","given":"Thad L."}],"issued":{"date-parts":[["2013"]]}}}],"schema":"https://github.com/citation-style-language/schema/raw/master/csl-citation.json"} </w:instrText>
      </w:r>
      <w:r w:rsidR="001F3F56"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[41]</w:t>
      </w:r>
      <w:r w:rsidR="001F3F56"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r w:rsidR="0034429D" w:rsidRPr="004804AA">
        <w:rPr>
          <w:rFonts w:ascii="Times New Roman" w:eastAsiaTheme="minorHAnsi" w:hAnsi="Times New Roman" w:cs="Times New Roman"/>
          <w:sz w:val="28"/>
          <w:szCs w:val="28"/>
          <w:lang w:eastAsia="en-US"/>
        </w:rPr>
        <w:t xml:space="preserve"> </w:t>
      </w:r>
      <w:r w:rsidR="00CA3A3A" w:rsidRPr="004804AA">
        <w:rPr>
          <w:rFonts w:ascii="Times New Roman" w:eastAsiaTheme="minorHAnsi" w:hAnsi="Times New Roman" w:cs="Times New Roman"/>
          <w:sz w:val="28"/>
          <w:szCs w:val="28"/>
          <w:lang w:eastAsia="en-US"/>
        </w:rPr>
        <w:t xml:space="preserve">В дальнейшем и другие компании представили портативные устройства для проверки рефракции, например, </w:t>
      </w:r>
      <w:r w:rsidR="00114839" w:rsidRPr="004804AA">
        <w:rPr>
          <w:rFonts w:ascii="Times New Roman" w:eastAsiaTheme="minorHAnsi" w:hAnsi="Times New Roman" w:cs="Times New Roman"/>
          <w:sz w:val="28"/>
          <w:szCs w:val="28"/>
          <w:lang w:eastAsia="en-US"/>
        </w:rPr>
        <w:t xml:space="preserve">2WIN (Adaptica, Падуя, Италия), </w:t>
      </w:r>
      <w:r w:rsidR="00CA3A3A" w:rsidRPr="004804AA">
        <w:rPr>
          <w:rFonts w:ascii="Times New Roman" w:eastAsiaTheme="minorHAnsi" w:hAnsi="Times New Roman" w:cs="Times New Roman"/>
          <w:sz w:val="28"/>
          <w:szCs w:val="28"/>
          <w:lang w:eastAsia="en-US"/>
        </w:rPr>
        <w:t>Retinomax (Nikon Inc., Япония), Netra (Eyenetra, Inc., США) и QuickSee (PlenOptika, Inc., США)</w:t>
      </w:r>
      <w:r w:rsidR="0095428E" w:rsidRPr="004804AA">
        <w:rPr>
          <w:rFonts w:ascii="Times New Roman" w:eastAsiaTheme="minorHAnsi" w:hAnsi="Times New Roman" w:cs="Times New Roman"/>
          <w:sz w:val="28"/>
          <w:szCs w:val="28"/>
          <w:lang w:eastAsia="en-US"/>
        </w:rPr>
        <w:t xml:space="preserve"> и др.</w:t>
      </w:r>
      <w:r w:rsidR="00C52BF7"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{"citationID":"QhPDmEDb","properties":{"formattedCitation":"[46; 220; 226]","plainCitation":"[46; 220; 226]","noteIndex":0},"citationItems":[{"id":1657,"uris":["http://zotero.org/users/local/XMo5Fvid/items/445J7L8W"],"itemData":{"id":1657,"type":"article-journal","abstract":"PURPOSE\nTo compare refractive data and testability of Spot (PediaVision) and Plusoptix A09 (Plusoptix, Inc) photoscreeners and to compare each device with traditional cycloplegic retinoscopy.\n\nDESIGN\nProspective, interventional case series.\n\nMETHODS\nAfter informed consent, patients underwent testing with the Spot and Plusoptix photoscreeners before their examination by a pediatric ophthalmologist masked to the results. Data including testability and estimated refractions were entered into a Research Electronic Data Capture database for statistical analysis.\n\nRESULTS\nA total of 265 children were enrolled (mean age, 6.0 ± 3.4 years). Both devices produced a computer printout result in 250 (94.3%) of the patients. The Spot photoscreener provided a refractive estimate in all computer printouts, whereas the Plusoptix, used binocularly, provided a refractive estimate in 75.2% (188/250) of the printouts. Compared with cycloplegic retinoscopy, both devices underestimated hyperopia or overestimated myopia (−1.35 diopters [D] and −0.64 D, Spot and Plusoptix, respectively) and overestimated astigmatism (0.36 D and 0.32 D, Spot and Plusoptix, respectively). The intraclass correlation coefficient for spherical equivalents indicated good agreement between cycloplegic retinoscopy and Spot (0.806) and excellent agreement between cycloplegic retinoscopy and Plusoptix (0.898).\n\nCONCLUSIONS\nThe Spot photoscreener provided refractive data on a greater percentage of children. The photorefractors correlated with cycloplegic retinoscopy refractive findings for sphere and spherical equivalents, but underestimated hyperopia or overestimated myopia and overestimated astigmatism. The binocular refractions of Plusoptix agreed more closely with the refractions of our pediatric ophthalmologists.","container-title":"American journal of ophthalmology","DOI":"10.1016/j.ajo.2014.07.041","ISSN":"0002-9394","issue":"5","journalAbbreviation":"Am J Ophthalmol","note":"PMID: 25089352\nPMCID: PMC4250376","page":"932-938","source":"PubMed Central","title":"Photoscreeners in the Pediatric Eye Office: Compared Testability and Refractions on High-Risk Children","title-short":"Photoscreeners in the Pediatric Eye Office","volume":"158","author":[{"family":"PETERSEIM","given":"MAE MILLICENT W."},{"family":"PAPA","given":"CARRIE E."},{"family":"WILSON","given":"M. EDWARD"},{"family":"CHEESEMAN","given":"EDWARD W."},{"family":"WOLF","given":"BETHANY J."},{"family":"DAVIDSON","given":"JENNIFER D."},{"family":"TRIVEDI","given":"RUPAL H."}],"issued":{"date-parts":[["2014",11]]}},"label":"page"},{"id":1677,"uris":["http://zotero.org/users/local/XMo5Fvid/items/KPRY4LKB"],"itemData":{"id":1677,"type":"article-journal","abstract":", Point your SmartPhone at the code above. If you have a QR code reader the video abstract will appear. Or use:, \n          \n            https://youtu.be/z-HV86x0y3M","container-title":"Clinical Ophthalmology (Auckland, N.Z.)","DOI":"10.2147/OPTH.S256991","ISSN":"1177-5467","journalAbbreviation":"Clin Ophthalmol","note":"PMID: 32982148\nPMCID: PMC7500080","page":"2237-2244","source":"PubMed Central","title":"Performance of Glow Fixation GoCheck Kids and 2WIN Photoscreeners and Retinomax to Uncover Hyperopia","volume":"14","author":[{"family":"Levitt","given":"Alexa H"},{"family":"Martin","given":"Samuel J"},{"family":"Arnold","given":"Robert W"}],"issued":{"date-parts":[["2020",8,10]]}},"label":"page"},{"id":1680,"uris":["http://zotero.org/users/local/XMo5Fvid/items/IWRRZRVU"],"itemData":{"id":1680,"type":"article-journal","abstract":"Purpose\nTo compare and validate the accuracy and ease of use of handheld autorefractors against retinoscopic refraction by an ophthalmologist for assessing the visual acuity of older adults in India.\n\nMethods\n190 patients were enrolled at the Sankara Eye Hospital in Bangalore, India, to undergo refraction using three different handheld devices—Retinomax (Nikon Inc., Japan), Netra (Eyenetra, Inc., USA), and QuickSee (PlenOptika, Inc., USA)—and the results were compared with cycloplegic retinoscopy and refraction done by an ophthalmologist. We analyzed the mean, standard deviation (S.D.), and Bland-Altman comparison of dioptric (D) power accuracy.\n\nResults\nThe difference between the handheld devices and subjective refraction for each device was: Retinomax (N = 186), mean -0.41 D, S.D. 2.14; Netra (N = 179), mean 0.61 D, S.D. 2.20; and QuickSee (N = 182), mean -0.05 D, S.D. 1.04.\n\nConclusion\nThe QuickSee and the Retinomax may be used successfully as refraction screening tools in epidemiologic studies of adults in India and as diagnostic tools in low-resource settings.","container-title":"PLoS ONE","DOI":"10.1371/journal.pone.0219501","ISSN":"1932-6203","issue":"10","journalAbbreviation":"PLoS One","note":"PMID: 31614363\nPMCID: PMC6794120","source":"PubMed Central","title":"Comparing low-cost handheld autorefractors: A practical approach to measuring refraction in low-resource settings","title-short":"Comparing low-cost handheld autorefractors","URL":"https://www.ncbi.nlm.nih.gov/pmc/articles/PMC6794120/","volume":"14","author":[{"family":"Agarwal","given":"Arunika"},{"family":"Bloom","given":"David E."},{"family":"deLuise","given":"Vincent P."},{"family":"Lubet","given":"Alyssa"},{"family":"Murali","given":"Kaushik"},{"family":"Sastry","given":"Srinivas M."}],"accessed":{"date-parts":[["2021",4,12]]},"issued":{"date-parts":[["2019",10,15]]}},"label":"page"}],"schema":"https://github.com/citation-style-language/schema/raw/master/csl-citation.json"} </w:instrText>
      </w:r>
      <w:r w:rsidR="00C52BF7"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[46; 220; 226]</w:t>
      </w:r>
      <w:r w:rsidR="00C52BF7"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r w:rsidR="00C52BF7" w:rsidRPr="004804AA">
        <w:rPr>
          <w:rFonts w:ascii="Times New Roman" w:eastAsiaTheme="minorHAnsi" w:hAnsi="Times New Roman" w:cs="Times New Roman"/>
          <w:sz w:val="28"/>
          <w:szCs w:val="28"/>
          <w:lang w:eastAsia="en-US"/>
        </w:rPr>
        <w:t xml:space="preserve"> </w:t>
      </w:r>
      <w:r w:rsidR="007C40D9" w:rsidRPr="004804AA">
        <w:rPr>
          <w:rFonts w:ascii="Times New Roman" w:eastAsiaTheme="minorHAnsi" w:hAnsi="Times New Roman" w:cs="Times New Roman"/>
          <w:sz w:val="28"/>
          <w:szCs w:val="28"/>
          <w:lang w:eastAsia="en-US"/>
        </w:rPr>
        <w:t>Преимуществ</w:t>
      </w:r>
      <w:r w:rsidR="00E63B4D" w:rsidRPr="004804AA">
        <w:rPr>
          <w:rFonts w:ascii="Times New Roman" w:eastAsiaTheme="minorHAnsi" w:hAnsi="Times New Roman" w:cs="Times New Roman"/>
          <w:sz w:val="28"/>
          <w:szCs w:val="28"/>
          <w:lang w:eastAsia="en-US"/>
        </w:rPr>
        <w:t xml:space="preserve">ами этих </w:t>
      </w:r>
      <w:r w:rsidR="007C40D9" w:rsidRPr="004804AA">
        <w:rPr>
          <w:rFonts w:ascii="Times New Roman" w:eastAsiaTheme="minorHAnsi" w:hAnsi="Times New Roman" w:cs="Times New Roman"/>
          <w:sz w:val="28"/>
          <w:szCs w:val="28"/>
          <w:lang w:eastAsia="en-US"/>
        </w:rPr>
        <w:t>прибор</w:t>
      </w:r>
      <w:r w:rsidR="00E63B4D" w:rsidRPr="004804AA">
        <w:rPr>
          <w:rFonts w:ascii="Times New Roman" w:eastAsiaTheme="minorHAnsi" w:hAnsi="Times New Roman" w:cs="Times New Roman"/>
          <w:sz w:val="28"/>
          <w:szCs w:val="28"/>
          <w:lang w:eastAsia="en-US"/>
        </w:rPr>
        <w:t>ов</w:t>
      </w:r>
      <w:r w:rsidR="007C40D9" w:rsidRPr="004804AA">
        <w:rPr>
          <w:rFonts w:ascii="Times New Roman" w:eastAsiaTheme="minorHAnsi" w:hAnsi="Times New Roman" w:cs="Times New Roman"/>
          <w:sz w:val="28"/>
          <w:szCs w:val="28"/>
          <w:lang w:eastAsia="en-US"/>
        </w:rPr>
        <w:t xml:space="preserve"> является малый вес, размер и возможность использования непрофессиональными исследователями</w:t>
      </w:r>
      <w:r w:rsidR="00B43CF9">
        <w:rPr>
          <w:rFonts w:ascii="Times New Roman" w:eastAsiaTheme="minorHAnsi" w:hAnsi="Times New Roman" w:cs="Times New Roman"/>
          <w:sz w:val="28"/>
          <w:szCs w:val="28"/>
          <w:lang w:eastAsia="en-US"/>
        </w:rPr>
        <w:t xml:space="preserve"> </w:t>
      </w:r>
      <w:r w:rsidR="00AD7595"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{"citationID":"jTPbLd7x","properties":{"formattedCitation":"[45]","plainCitation":"[45]","noteIndex":0},"citationItems":[{"id":701,"uris":["http://zotero.org/users/local/XMo5Fvid/items/DF32EIAC"],"itemData":{"id":701,"type":"article-journal","abstract":"PURPOSE: To compare the performance of the PlusoptiX S12 mobile photoscreener and the Retinomax K+3 Autorefractor as screening devices in preschool children.\nMETHODS: Children ranging from 3 to 5 years of age from 11 San Diego County preschools underwent vision screening in their schools where ambient light could not always be controlled using both the Retinomax and the PlusoptiX. Cycloplegic refraction on the consented children was subsequently performed on the UCSD EyeMobile for children on-site at the school locations.\nRESULTS: A total of 321 children were screened with the PlusoptiX and Retinomax. The PlusoptiX referred 22% of children, of whom 70% of the referrals were read as \"unable\". The Retinomax referred 13% and there were no \"unables\". Similar results occurred in the cycloplegic-refracted 182 consented children-64% of the PlusoptiX referrals were read as \"unable\" . Only one third of these \"unables\" required glasses. Both devices referred the four children with amblyopia and one case of strabismus. However, PlusoptiX's 3 false negatives had amblyopia risk factors (ARFs) while the one Retinomax's false negative did not have ARFs. The Retinomax screening had 95% sensitivity and 94% specificity. The PlusoptiX screening had 86% sensitivity and 84% specificity.\nCONCLUSION: In this preschool population and environment, the PlusoptiX referred 63% more than the Retinomax in addition to a lower specificity and sensitivity. Adjusting PlusoptiX referral criteria might not substantially improve the specificity of the PlusoptiX due to the high numbers of \"unables\".","container-title":"Current Eye Research","DOI":"10.1080/02713683.2018.1437453","ISSN":"1460-2202","issue":"5","journalAbbreviation":"Curr. Eye Res.","language":"eng","note":"PMID: 29424565","page":"654-658","source":"PubMed","title":"The PlusoptiX Photoscreener and the Retinomax Autorefractor as Community-based Screening Devices for Preschool Children","volume":"43","author":[{"family":"Kinori","given":"Michael"},{"family":"Molina","given":"Iliana"},{"family":"Hernandez","given":"Eric O."},{"family":"Robbins","given":"Shira L."},{"family":"Granet","given":"David B."},{"family":"Coleman","given":"Anne L."},{"family":"Brown","given":"Stuart I."}],"issued":{"date-parts":[["2018"]]}}}],"schema":"https://github.com/citation-style-language/schema/raw/master/csl-citation.json"} </w:instrText>
      </w:r>
      <w:r w:rsidR="00AD7595"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rPr>
        <w:t>[45]</w:t>
      </w:r>
      <w:r w:rsidR="00AD7595"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r w:rsidR="007C40D9" w:rsidRPr="004804AA">
        <w:rPr>
          <w:rFonts w:ascii="Times New Roman" w:eastAsiaTheme="minorHAnsi" w:hAnsi="Times New Roman" w:cs="Times New Roman"/>
          <w:sz w:val="28"/>
          <w:szCs w:val="28"/>
          <w:lang w:eastAsia="en-US"/>
        </w:rPr>
        <w:t xml:space="preserve"> </w:t>
      </w:r>
      <w:r w:rsidR="001F3F56" w:rsidRPr="004804AA">
        <w:rPr>
          <w:rFonts w:ascii="Times New Roman" w:eastAsiaTheme="minorHAnsi" w:hAnsi="Times New Roman" w:cs="Times New Roman"/>
          <w:sz w:val="28"/>
          <w:szCs w:val="28"/>
          <w:lang w:eastAsia="en-US"/>
        </w:rPr>
        <w:t>Р</w:t>
      </w:r>
      <w:r w:rsidR="00E63B4D" w:rsidRPr="004804AA">
        <w:rPr>
          <w:rFonts w:ascii="Times New Roman" w:eastAsiaTheme="minorHAnsi" w:hAnsi="Times New Roman" w:cs="Times New Roman"/>
          <w:sz w:val="28"/>
          <w:szCs w:val="28"/>
          <w:lang w:eastAsia="en-US"/>
        </w:rPr>
        <w:t>езультаты</w:t>
      </w:r>
      <w:r w:rsidR="001F3F56" w:rsidRPr="004804AA">
        <w:rPr>
          <w:rFonts w:ascii="Times New Roman" w:eastAsiaTheme="minorHAnsi" w:hAnsi="Times New Roman" w:cs="Times New Roman"/>
          <w:sz w:val="28"/>
          <w:szCs w:val="28"/>
          <w:lang w:eastAsia="en-US"/>
        </w:rPr>
        <w:t xml:space="preserve"> ряда сравнительных исследований</w:t>
      </w:r>
      <w:r w:rsidR="00E63B4D" w:rsidRPr="004804AA">
        <w:rPr>
          <w:rFonts w:ascii="Times New Roman" w:eastAsiaTheme="minorHAnsi" w:hAnsi="Times New Roman" w:cs="Times New Roman"/>
          <w:sz w:val="28"/>
          <w:szCs w:val="28"/>
          <w:lang w:eastAsia="en-US"/>
        </w:rPr>
        <w:t xml:space="preserve"> показывают</w:t>
      </w:r>
      <w:r w:rsidR="002117AD" w:rsidRPr="004804AA">
        <w:rPr>
          <w:rFonts w:ascii="Times New Roman" w:eastAsiaTheme="minorHAnsi" w:hAnsi="Times New Roman" w:cs="Times New Roman"/>
          <w:sz w:val="28"/>
          <w:szCs w:val="28"/>
          <w:lang w:eastAsia="en-US"/>
        </w:rPr>
        <w:t xml:space="preserve"> эффективность приборов</w:t>
      </w:r>
      <w:r w:rsidR="00B43CF9">
        <w:rPr>
          <w:rFonts w:ascii="Times New Roman" w:eastAsiaTheme="minorHAnsi" w:hAnsi="Times New Roman" w:cs="Times New Roman"/>
          <w:sz w:val="28"/>
          <w:szCs w:val="28"/>
          <w:lang w:eastAsia="en-US"/>
        </w:rPr>
        <w:t xml:space="preserve"> </w:t>
      </w:r>
      <w:r w:rsidR="002117AD" w:rsidRPr="004804AA">
        <w:rPr>
          <w:rFonts w:ascii="Times New Roman" w:eastAsiaTheme="minorHAnsi" w:hAnsi="Times New Roman" w:cs="Times New Roman"/>
          <w:sz w:val="28"/>
          <w:szCs w:val="28"/>
          <w:lang w:eastAsia="en-US"/>
        </w:rPr>
        <w:fldChar w:fldCharType="begin"/>
      </w:r>
      <w:r w:rsidR="00A00EFF">
        <w:rPr>
          <w:rFonts w:ascii="Times New Roman" w:eastAsiaTheme="minorHAnsi" w:hAnsi="Times New Roman" w:cs="Times New Roman"/>
          <w:sz w:val="28"/>
          <w:szCs w:val="28"/>
          <w:lang w:eastAsia="en-US"/>
        </w:rPr>
        <w:instrText xml:space="preserve"> ADDIN ZOTERO_ITEM CSL_CITATION {"citationID":"uo8Eitjs","properties":{"formattedCitation":"[227\\uc0\\u8211{}229]","plainCitation":"[227–229]","noteIndex":0},"citationItems":[{"id":1664,"uris":["http://zotero.org/users/local/XMo5Fvid/items/X2N36P8L"],"itemData":{"id":1664,"type":"article-journal","abstract":"PURPOSE: To evaluate the sensitivity, specificity, and predictive value of 7 different referral criteria used for the plusoptiX photoscreener on the same cohort of children.\nMETHODS: Retrospective chart review of patients presenting to a pediatric ophthalmology clinic who underwent plusoptiX photoscreening as part of a comprehensive examination. We applied multiple referral criteria from previously published studies as well as the manufacturer's criteria in order to calculate specificity, sensitivity, and predictive value differences between the various referral criteria. We compared all criteria to the results of a pediatric ophthalmology examination based upon the 2003 American Association for Pediatric Ophthalmology and Strabismus (AAPOS) criteria, as well as the newly accepted revision of the AAPOS referral criteria.\nRESULTS: 109 children were examined with a thorough pediatric ophthalmic exam and with the plusoptiX photoscreener. Of these, 58 (53%) were confirmed to demonstrate amblyopia risk factors, according to 2003 AAPOS criteria. The plusoptiX referral criteria were adjusted to match 7 different published plusoptiX referral paradigms so that the differing referral paradigms could be analyzed for sensitivity and specificity. When comparing the differing plusoptiX referral paradigms to 2003 AAPOS criteria, the sensitivity/specificity of the 7 different paradigms were respectively: Matta/Silbert 98%/80%, Arthur (2) 67%/96%, Arnold 81%/96%, Arthur 81%/92%, PediaVision 80%/94%, plusoptiX 98%/41%, AAPOS 74%/86%. When comparing the 7 differing referral paradigms to the newly approved (2013) AAPOS criteria, the sensitivity/specificity were respectively: Matta/Silbert 98%/68%, Arthur (2) 73%/92%, Arnold 92%/90%, Arthur 86%/85%, PediaVision 90%/92%, plusoptiX 98%/35%, AAPOS 87%/87%.\nCONCLUSION: There are multiple referral criteria available for the plusoptiX photoscreener. Screening programs need to evaluate their own requirements with respect to desired sensitivity and specificity and decide on the most appropriate referral criteria for their program. The \"Arnold\" criteria is the best at maximizing sensitivity and specificity utilizing the 2003 \"AAPOS\" criteria and the \"Arnold\" and \"PediaVision\" were best at maximizing sensitivity and specificity for the newly accepted AAPOS referral criteria. Screening programs will need to decide the level of sensitivity and specificity that they wish to obtain, but for most screening programs the \"Arnold\" criteria may be preferred.","container-title":"Strabismus","DOI":"10.3109/09273972.2013.811606","ISSN":"1744-5132","issue":"3","journalAbbreviation":"Strabismus","language":"eng","note":"PMID: 23978147\nPMCID: PMC3820012","page":"190-194","source":"PubMed","title":"A comparison of referral criteria used by the plusoptiX photoscreener","volume":"21","author":[{"family":"Singman","given":"Eric"},{"family":"Matta","given":"Noelle"},{"family":"Tian","given":"Jing"},{"family":"Silbert","given":"David"}],"issued":{"date-parts":[["2013",9]]}},"label":"page"},{"id":1667,"uris":["http://zotero.org/users/local/XMo5Fvid/items/HRB62AQ7"],"itemData":{"id":1667,"type":"article-journal","abstract":"BACKGROUND: Children with Down syndrome (DS) have an increased prevalence of ocular disorders, including amblyopia, strabismus, and refractive error. Health maintenance guidelines from the Down Syndrome Medical Interest Group recommend ophthalmologic examinations every 1 to 2 years for these children. Photoscreening may be a cost-effective option for subsequent screening evaluations after an initial complete examination, but no study has evaluated the accuracy of photoscreening in children with DS. The purpose of this study is to determine the sensitivity, specificity, and positive and negative predictive values of photoscreening in detecting treatable ocular conditions in children with DS.\nMETHODS: Photoscreening and complete ophthalmologic evaluations were performed in 50 consecutive 3- to 10-year-old children with DS. Sensitivity, specificity, and positive and negative predictive values were calculated with the use of ophthalmologic examination findings as the reference standard.\nRESULTS: Most children were able to complete photoscreening (94% with Medical Technology and Innovations [MTI] and 90% with Visiscreen OSS-C [VR]). Many children had an identified diagnosis on ophthalmologic examination (n = 46, 92%). Of these, approximately one-half (n = 27, 54%) had one or more condition(s) requiring treatment. Both the MTI and VR photoscreening devices had a sensitivity of 93% (95% confidence interval 0.76-0.99) for detecting treatable ocular conditions. The specificities for the MTI and VR photoscreening were 0.35 (0.18-0.57) and 0.55 (0.34-0.74), respectively.\nCONCLUSIONS: Photoscreening is sensitive but less specific at detecting treatable ocular conditions in children with DS. In specific instances, the use of photoscreening in the DS population has the potential to save time and expense related to routine eye examinations, particularly in children with a normal baseline comprehensive examination.","container-title":"Journal of AAPOS: the official publication of the American Association for Pediatric Ophthalmology and Strabismus","DOI":"10.1016/j.jaapos.2010.09.016","ISSN":"1528-3933","issue":"6","journalAbbreviation":"J AAPOS","language":"eng","note":"PMID: 21168069\nPMCID: PMC3042280","page":"472-477","source":"PubMed","title":"The accuracy of photoscreening at detecting treatable ocular conditions in children with Down syndrome","volume":"14","author":[{"family":"Yanovitch","given":"Tammy"},{"family":"Wallace","given":"David K."},{"family":"Freedman","given":"Sharon F."},{"family":"Enyedi","given":"Laura B."},{"family":"Kishnani","given":"Priya"},{"family":"Worley","given":"Gordon"},{"family":"Crissman","given":"Blythe"},{"family":"Burner","given":"Erica"},{"family":"Young","given":"Terri L."}],"issued":{"date-parts":[["2010",12]]}},"label":"page"},{"id":1670,"uris":["http://zotero.org/users/local/XMo5Fvid/items/BHBKR2TT"],"itemData":{"id":1670,"type":"article-journal","abstract":"PURPOSE: To evaluate the performance of the autorefractor Retinomax K-plus2 and the photoscreener plusoptiX S08 in measuring refractive errors by comparing them with cycloplegic retinoscopy (CR) and to assess limitations associated with their use.\nMETHODS: Cross-sectional study to compare data from CR, performed by an orthoptist, to data from Retinomax K-plus2 and plusoptiX S08 performed by a lay screener. Sensitivity and specificity for the detection of significant refractive errors were determined according to American Academy of Pediatric Ophthalmology and Strabismus criteria.\nRESULTS: Two hundred children were included, with a mean age of 5.2 ± 2.6 years (3 months to 11 years). Compared to CR, the plusoptiX S08 showed a mean difference of -1.13 ± 1.25 D (95% limits of agreement [LOA], -3.59 to +1.32) for spherical equivalent (SE) and -0.23 ± 0.53 D (LOA, -1.28 to +0.81) for the cylinder. Mean difference for the Retinomax K-plus2 before cycloplegia was -0.08 ± 0.58 D (LOA, -1.23 to +1.06) for SE and 0.03 ± 0.38 D (LOA, -0.72 to +0.78) for the cylinder; after cycloplegia -2.11 ± 1.64 D (LOA, -5.33 to +1.10) for SE and -0.06 ± 0.47 D (LOA, -0.98 to +0.86) for the cylinder. Sensitivity for detecting hyperopia &gt;3.5 D with the plusoptiX S08 was 33.3%, the Retinomax before cycloplegia 31.0% and after cycloplegia 84.6% and high for detecting myopia, astigmatism, and anisometropia.\nCONCLUSIONS: Retinomax K-plus2 and plusoptiX S08 have high sensitivity for the detection of myopia, astigmatism, and anisometropia compared to cycloplegic retinoscopy; however, when used without cycloplegia, hyperopia is underestimated.","container-title":"Journal of AAPOS: the official publication of the American Association for Pediatric Ophthalmology and Strabismus","DOI":"10.1016/j.jaapos.2010.09.015","ISSN":"1528-3933","issue":"6","journalAbbreviation":"J AAPOS","language":"eng","note":"PMID: 21168070","page":"478-483","source":"PubMed","title":"Screening for refractive errors in children: the plusoptiX S08 and the Retinomax K-plus2 performed by a lay screener compared to cycloplegic retinoscopy","title-short":"Screening for refractive errors in children","volume":"14","author":[{"family":"Paff","given":"Tamara"},{"family":"Oudesluys-Murphy","given":"Anne Marie"},{"family":"Wolterbeek","given":"Ron"},{"family":"Swart-van den Berg","given":"Marietta"},{"family":"Nie","given":"Johan M.","non-dropping-particle":"de"},{"family":"Tijssen","given":"Els"},{"family":"Schalij-Delfos","given":"Nicoline E."}],"issued":{"date-parts":[["2010",12]]}},"label":"page"}],"schema":"https://github.com/citation-style-language/schema/raw/master/csl-citation.json"} </w:instrText>
      </w:r>
      <w:r w:rsidR="002117AD" w:rsidRPr="004804AA">
        <w:rPr>
          <w:rFonts w:ascii="Times New Roman" w:eastAsiaTheme="minorHAnsi" w:hAnsi="Times New Roman" w:cs="Times New Roman"/>
          <w:sz w:val="28"/>
          <w:szCs w:val="28"/>
          <w:lang w:eastAsia="en-US"/>
        </w:rPr>
        <w:fldChar w:fldCharType="separate"/>
      </w:r>
      <w:r w:rsidR="00A00EFF" w:rsidRPr="00A00EFF">
        <w:rPr>
          <w:rFonts w:ascii="Times New Roman" w:hAnsi="Times New Roman" w:cs="Times New Roman"/>
          <w:sz w:val="28"/>
          <w:szCs w:val="24"/>
        </w:rPr>
        <w:t>[227–229]</w:t>
      </w:r>
      <w:r w:rsidR="002117AD" w:rsidRPr="004804AA">
        <w:rPr>
          <w:rFonts w:ascii="Times New Roman" w:eastAsiaTheme="minorHAnsi" w:hAnsi="Times New Roman" w:cs="Times New Roman"/>
          <w:sz w:val="28"/>
          <w:szCs w:val="28"/>
          <w:lang w:eastAsia="en-US"/>
        </w:rPr>
        <w:fldChar w:fldCharType="end"/>
      </w:r>
      <w:r w:rsidR="00B43CF9">
        <w:rPr>
          <w:rFonts w:ascii="Times New Roman" w:eastAsiaTheme="minorHAnsi" w:hAnsi="Times New Roman" w:cs="Times New Roman"/>
          <w:sz w:val="28"/>
          <w:szCs w:val="28"/>
          <w:lang w:eastAsia="en-US"/>
        </w:rPr>
        <w:t>.</w:t>
      </w:r>
    </w:p>
    <w:p w14:paraId="2E0A3B0B" w14:textId="3835021E" w:rsidR="00F63311" w:rsidRPr="004804AA" w:rsidRDefault="007F70A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Активное развитие телемедицины, и, в частности, телеофтальмологии началось несколько лет назад. Наиболее востребованными моделями по данным исследований стали компьютеризированные и мобильные программы проверки зрения</w:t>
      </w:r>
      <w:r w:rsidR="00B43CF9">
        <w:rPr>
          <w:rFonts w:ascii="Times New Roman" w:hAnsi="Times New Roman" w:cs="Times New Roman"/>
          <w:sz w:val="28"/>
          <w:szCs w:val="28"/>
        </w:rPr>
        <w:t xml:space="preserve"> </w:t>
      </w:r>
      <w:r w:rsidR="00AD759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{"citationID":"Fux6EHW5","properties":{"formattedCitation":"[230]","plainCitation":"[230]","noteIndex":0},"citationItems":[{"id":712,"uris":["http://zotero.org/users/local/XMo5Fvid/items/PRLIUETY"],"itemData":{"id":712,"type":"article-journal","abstract":"PURPOSE: To assess the accuracy of best-corrected visual acuity (BCVA) measured by non-ophthalmic emergency department (ED) staff with a standard Snellen chart versus an automated application (app) on a handheld smartphone (Paxos Checkup, San Francisco, CA, USA).\nMETHODS: The study included 128 subjects who presented to the Stanford Hospital ED for whom the ED requested an ophthalmology consultation. We conducted the study in two phases. During phase 1 of the study, ED staff tested patient BCVA using a standard Snellen test at 20 feet. During phase 2 of the study, ED staff tested patient near BCVA using the app. During both phases, ophthalmologists measured BCVA with a Rosenbaum near chart, which was treated as the gold standard. ED BCVA measurements were benchmarked prospectively against ophthalmologists' measurements and converted to logMAR.\nRESULTS: ED logMAR BCVA was 0.21 ± 0.35 (approximately 2 Snellen lines difference ± 3 Snellen lines) higher than that of ophthalmologists when ED staff used a Snellen chart (p = .0.00003). ED BCVA was 0.06 ± 0.40 (less than 1 Snellen line ± 4 Snellen lines) higher when ED staff used the app (p = 0.246). Inter-observer difference was therefore smaller by more than 1 line (0.15 logMAR) with the app (p = 0.046).\nCONCLUSIONS: BCVA measured by non-ophthalmic ED staff with an app was more accurate than with a Snellen chart. Automated apps may provide a means to standardize and improve the efficiency of ED ophthalmologic care.","container-title":"Graefe's Archive for Clinical and Experimental Ophthalmology = Albrecht Von Graefes Archiv Fur Klinische Und Experimentelle Ophthalmologie","DOI":"10.1007/s00417-016-3291-4","ISSN":"1435-702X","issue":"6","journalAbbreviation":"Graefes Arch. Clin. Exp. Ophthalmol.","language":"eng","note":"PMID: 26931323","page":"1175-1180","source":"PubMed","title":"Visual acuity measured with a smartphone app is more accurate than Snellen testing by emergency department providers","volume":"254","author":[{"family":"Pathipati","given":"Akhilesh S."},{"family":"Wood","given":"Edward H."},{"family":"Lam","given":"Carson K."},{"family":"Sáles","given":"Christopher S."},{"family":"Moshfeghi","given":"Darius M."}],"issued":{"date-parts":[["2016",6]]}}}],"schema":"https://github.com/citation-style-language/schema/raw/master/csl-citation.json"} </w:instrText>
      </w:r>
      <w:r w:rsidR="00AD759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[230]</w:t>
      </w:r>
      <w:r w:rsidR="00AD7595" w:rsidRPr="004804AA">
        <w:rPr>
          <w:rFonts w:ascii="Times New Roman" w:hAnsi="Times New Roman" w:cs="Times New Roman"/>
          <w:sz w:val="28"/>
          <w:szCs w:val="28"/>
        </w:rPr>
        <w:fldChar w:fldCharType="end"/>
      </w:r>
      <w:r w:rsidR="00B43CF9">
        <w:rPr>
          <w:rFonts w:ascii="Times New Roman" w:hAnsi="Times New Roman" w:cs="Times New Roman"/>
          <w:sz w:val="28"/>
          <w:szCs w:val="28"/>
        </w:rPr>
        <w:t>.</w:t>
      </w:r>
      <w:r w:rsidRPr="004804AA">
        <w:rPr>
          <w:rFonts w:ascii="Times New Roman" w:hAnsi="Times New Roman" w:cs="Times New Roman"/>
          <w:sz w:val="28"/>
          <w:szCs w:val="28"/>
        </w:rPr>
        <w:t xml:space="preserve"> </w:t>
      </w:r>
      <w:r w:rsidR="00AD7595" w:rsidRPr="004804AA">
        <w:rPr>
          <w:rFonts w:ascii="Times New Roman" w:hAnsi="Times New Roman" w:cs="Times New Roman"/>
          <w:sz w:val="28"/>
          <w:szCs w:val="28"/>
        </w:rPr>
        <w:t>Такие п</w:t>
      </w:r>
      <w:r w:rsidRPr="004804AA">
        <w:rPr>
          <w:rFonts w:ascii="Times New Roman" w:hAnsi="Times New Roman" w:cs="Times New Roman"/>
          <w:sz w:val="28"/>
          <w:szCs w:val="28"/>
        </w:rPr>
        <w:t>риложени</w:t>
      </w:r>
      <w:r w:rsidR="00AD7595" w:rsidRPr="004804AA">
        <w:rPr>
          <w:rFonts w:ascii="Times New Roman" w:hAnsi="Times New Roman" w:cs="Times New Roman"/>
          <w:sz w:val="28"/>
          <w:szCs w:val="28"/>
        </w:rPr>
        <w:t>я как</w:t>
      </w:r>
      <w:r w:rsidRPr="004804AA">
        <w:rPr>
          <w:rFonts w:ascii="Times New Roman" w:hAnsi="Times New Roman" w:cs="Times New Roman"/>
          <w:sz w:val="28"/>
          <w:szCs w:val="28"/>
        </w:rPr>
        <w:t xml:space="preserve"> </w:t>
      </w:r>
      <w:r w:rsidR="00114839" w:rsidRPr="004804AA">
        <w:rPr>
          <w:rFonts w:ascii="Times New Roman" w:hAnsi="Times New Roman" w:cs="Times New Roman"/>
          <w:sz w:val="28"/>
          <w:szCs w:val="28"/>
        </w:rPr>
        <w:t xml:space="preserve">GoCheck Kids (GCK, Phoenix, Ariz) </w:t>
      </w:r>
      <w:r w:rsidR="00AD7595" w:rsidRPr="004804AA">
        <w:rPr>
          <w:rFonts w:ascii="Times New Roman" w:hAnsi="Times New Roman" w:cs="Times New Roman"/>
          <w:sz w:val="28"/>
          <w:szCs w:val="28"/>
        </w:rPr>
        <w:t>Peek Acuity и др. адаптировали смартфоны для проведения проверки зрения, показав высокую положительную прогностическую ценность при скрининге педиатров от 70% до 80% и подтвердив экономически целесообразную технологию по сравнению с другими моделями скрининга в условиях низкого дохода из-за распространенности использования сотовых телефонов</w:t>
      </w:r>
      <w:r w:rsidR="00B43CF9">
        <w:rPr>
          <w:rFonts w:ascii="Times New Roman" w:hAnsi="Times New Roman" w:cs="Times New Roman"/>
          <w:sz w:val="28"/>
          <w:szCs w:val="28"/>
        </w:rPr>
        <w:t xml:space="preserve"> </w:t>
      </w:r>
      <w:r w:rsidR="00AD7595"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{"citationID":"7N0pmIuu","properties":{"formattedCitation":"[231; 232]","plainCitation":"[231; 232]","noteIndex":0},"citationItems":[{"id":709,"uris":["http://zotero.org/users/local/XMo5Fvid/items/R4X83LN4"],"itemData":{"id":709,"type":"article-journal","abstract":"AIM\nTo validate the Peek Acuity mobile phone application in pediatric populations and compare its utility, both economic and diagnostic, against conventional screening methods using a pediatric ophthalmologist examination as the gold standard.\n\nMETHODS\nA cohort of 393 subjects from Fernando de la Mora, Paraguay (ages 6-16y) were enrolled in the study. Subjects were randomly assigned a starting screening modality among: Peek Acuity, a single line of tumbling E optotypes set at 20/40, and Spot Vision Screener. Once completing the first screening modality, the subjects completed the two remaining techniques. Referral criteria were established based on the most current American Association of Pediatric Ophthalmology and Strabismus (AAPOS) recommendations: 20/40 for Peek Acuity and the tumbling E, and refractive error detection for the Spot Vision Screener. Subjects that failed to achieve the cut-off for any of the three screening techniques or subjects that passed the screening but were randomly selected to perform a comprehensive eye exam to determine the false negative rate, were evaluated by a pediatric ophthalmologist. This evaluation was considered the gold standard, and included vision assessment by a Snellen chart, strabismus evaluation, and cycloplegic refraction with dilated fundoscopy.\n\nRESULTS\nWe obtained 48% sensitivity, 83% specificity, 43% positive predictive value, and 86% negative predictive value for Peek Acuity's ability to refer compared to evaluation by a pediatric ophthalmologist, failing to achieve a desired sensitivity for implementation. Peek Acuity trended to overestimate the subject's visual acuity, providing a higher visual acuity that would not indicate referral for a comprehensive eye examination. However, its high specificity accurately predicted a significant number of children who did not need further evaluation. When comparing the three screening methods, no single screening modality outperformed the others. Peek Acuity represented a technology that was economically feasible compared to other screening modalities in low income settings, due to the prevalence of cell phone use.\n\nCONCLUSION\nPeek Acuity represents an efficient tool that has potential for implementation in school screenings with different strategies aimed at pediatric populations due to its low cost and high specificity. An increase in sensitivity would improve detection of children with refractive errors.","container-title":"International Journal of Ophthalmology","DOI":"10.18240/ijo.2018.08.21","ISSN":"2222-3959","issue":"8","journalAbbreviation":"Int J Ophthalmol","note":"PMID: 30140645\nPMCID: PMC6090125","page":"1384-1389","source":"PubMed Central","title":"Validation of Peek Acuity application in pediatric screening programs in Paraguay","volume":"11","author":[{"family":"Venecia","given":"Bryce","non-dropping-particle":"de"},{"family":"Bradfield","given":"Yasmin"},{"family":"Trane","given":"Ralph Møller"},{"family":"Bareiro","given":"Alicia"},{"family":"Scalamogna","given":"Miguel"}],"issued":{"date-parts":[["2018",8,18]]}},"label":"page"},{"id":1672,"uris":["http://zotero.org/users/local/XMo5Fvid/items/UZSUZDFU"],"itemData":{"id":1672,"type":"article-journal","abstract":"Purpose: To determine the specificity and sensitivity of a smartphone app (GoCheckKids [GCK] used as a photoscreening tool on the iPhone 7 to detect refractive amblyopia risk factors in children aged 1-6 years.\nParticipants and methods: A prospective, multicenter, 10-month evaluation of children aged 1-6 years old who underwent photoscreening with the GCK app to detect amblyopia risk factors. The first acceptable quality photograph of each study subject was evaluated by trained technicians using GCK's proprietary automated image processing algorithm to analyze for amblyopia risk factors. Trained graders, masked to the cycloplegic clinical data, remotely reviewed photographs taken with the app and compared results to the gold standard pediatric ophthalmology examinations using the 2013 American Association for Pediatric Ophthalmology &amp; Strabismus amblyopia risk factor guidelines. Primary outcome was the ability of the GCK app to identify amblyopia risk factors compared to the cycloplegic refraction.\nResults: There were 287 patient images analyzed. The overall sensitivity and specificity in detecting amblyopia risk factors were 76% and 85%, respectively using manual grading. The overall automated grading results had a sensitivity and sensitivity in detecting amblyopia risk factors of 65% and 83%, respectively.\nConclusion: The GCK smartphone app is a viable photoscreening device for the detection of amblyopia risk factors in children aged 1-6 years.","container-title":"Clinical Ophthalmology (Auckland, N.Z.)","DOI":"10.2147/OPTH.S171935","ISSN":"1177-5467","journalAbbreviation":"Clin Ophthalmol","language":"eng","note":"PMID: 30197499\nPMCID: PMC6112812","page":"1533-1537","source":"PubMed","title":"Evaluation of a smartphone photoscreening app to detect refractive amblyopia risk factors in children aged 1-6 years","volume":"12","author":[{"family":"Arnold","given":"Robert W."},{"family":"O'Neil","given":"James W."},{"family":"Cooper","given":"Kim L."},{"family":"Silbert","given":"David I."},{"family":"Donahue","given":"Sean P."}],"issued":{"date-parts":[["2018"]]}},"label":"page"}],"schema":"https://github.com/citation-style-language/schema/raw/master/csl-citation.json"} </w:instrText>
      </w:r>
      <w:r w:rsidR="00AD7595"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[231; 232]</w:t>
      </w:r>
      <w:r w:rsidR="00AD7595" w:rsidRPr="004804AA">
        <w:rPr>
          <w:rFonts w:ascii="Times New Roman" w:hAnsi="Times New Roman" w:cs="Times New Roman"/>
          <w:sz w:val="28"/>
          <w:szCs w:val="28"/>
        </w:rPr>
        <w:fldChar w:fldCharType="end"/>
      </w:r>
      <w:r w:rsidR="00B43CF9">
        <w:rPr>
          <w:rFonts w:ascii="Times New Roman" w:hAnsi="Times New Roman" w:cs="Times New Roman"/>
          <w:sz w:val="28"/>
          <w:szCs w:val="28"/>
        </w:rPr>
        <w:t>.</w:t>
      </w:r>
      <w:r w:rsidR="00D95190" w:rsidRPr="004804AA">
        <w:rPr>
          <w:rFonts w:ascii="Times New Roman" w:hAnsi="Times New Roman" w:cs="Times New Roman"/>
          <w:sz w:val="28"/>
          <w:szCs w:val="28"/>
        </w:rPr>
        <w:t xml:space="preserve"> </w:t>
      </w:r>
      <w:r w:rsidR="000D440D" w:rsidRPr="004804AA">
        <w:rPr>
          <w:rFonts w:ascii="Times New Roman" w:hAnsi="Times New Roman" w:cs="Times New Roman"/>
          <w:sz w:val="28"/>
          <w:szCs w:val="28"/>
        </w:rPr>
        <w:t xml:space="preserve">В 2015 году группа исследователей во главе с </w:t>
      </w:r>
      <w:hyperlink r:id="rId10" w:history="1">
        <w:r w:rsidR="000D440D" w:rsidRPr="004804AA">
          <w:rPr>
            <w:rFonts w:ascii="Times New Roman" w:hAnsi="Times New Roman" w:cs="Times New Roman"/>
            <w:sz w:val="28"/>
            <w:szCs w:val="28"/>
          </w:rPr>
          <w:t xml:space="preserve">Tomohiko </w:t>
        </w:r>
        <w:r w:rsidR="000D440D" w:rsidRPr="004804AA">
          <w:rPr>
            <w:rFonts w:ascii="Times New Roman" w:hAnsi="Times New Roman" w:cs="Times New Roman"/>
            <w:sz w:val="28"/>
            <w:szCs w:val="28"/>
          </w:rPr>
          <w:lastRenderedPageBreak/>
          <w:t>Yamada</w:t>
        </w:r>
      </w:hyperlink>
      <w:r w:rsidR="000D440D" w:rsidRPr="004804AA">
        <w:rPr>
          <w:rFonts w:ascii="Times New Roman" w:hAnsi="Times New Roman" w:cs="Times New Roman"/>
          <w:sz w:val="28"/>
          <w:szCs w:val="28"/>
        </w:rPr>
        <w:t xml:space="preserve"> разработали и провели пилотное исследование компьютеризированной программы проверки остроты зрения для детей дошкольного возраста Jaeb Visual Acuity Screener (JVAS), в которой используется стандартизированный алгоритм проверки зрения в домашних условиях. Возможность скринингового тестирования для JVAS была высокой - 100%.</w:t>
      </w:r>
      <w:r w:rsidR="00BE02F7">
        <w:rPr>
          <w:rFonts w:ascii="Times New Roman" w:hAnsi="Times New Roman" w:cs="Times New Roman"/>
          <w:sz w:val="28"/>
          <w:szCs w:val="28"/>
        </w:rPr>
        <w:t xml:space="preserve"> </w:t>
      </w:r>
      <w:r w:rsidR="000D440D" w:rsidRPr="004804AA">
        <w:rPr>
          <w:rFonts w:ascii="Times New Roman" w:hAnsi="Times New Roman" w:cs="Times New Roman"/>
          <w:sz w:val="28"/>
          <w:szCs w:val="28"/>
        </w:rPr>
        <w:t>Чувствительность JVAS варьировалась от 88% до 91%, а специфичность - от 73% до 86%</w:t>
      </w:r>
      <w:r w:rsidR="00B43CF9">
        <w:rPr>
          <w:rFonts w:ascii="Times New Roman" w:hAnsi="Times New Roman" w:cs="Times New Roman"/>
          <w:sz w:val="28"/>
          <w:szCs w:val="28"/>
        </w:rPr>
        <w:t xml:space="preserve"> </w:t>
      </w:r>
      <w:r w:rsidR="000D440D"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{"citationID":"Yj9qbKQ6","properties":{"formattedCitation":"[233]","plainCitation":"[233]","noteIndex":0},"citationItems":[{"id":722,"uris":["http://zotero.org/users/local/XMo5Fvid/items/IIQE8X5T"],"itemData":{"id":722,"type":"article-journal","abstract":"Background\nWe developed and validated the Jaeb Visual Acuity Screener (JVAS), a computerized visual acuity-based screening program for children that employs a rapid, age-specific, standardized algorithm for vision screening in the medical home that is available for download at no cost.\n\nMethods\nA total of 175 children aged 3 to &lt;8 (median, 6) years were screened with the JVAS before undergoing a complete eye examination (gold standard). The JVAS presented 2 large single surround optotypes (20/100 and 20/80) and then 5 optotypes at a predetermined, age-specific normal threshold. Failure on the gold standard examination was determined using recently published referral criteria and published visual acuity norms for age. We evaluated the sensitivity and specificity of the JVAS for detecting reduced visual acuity, amblyopia, and amblyopia risk factors. JVAS pass/fail paradigms evaluated were inability to identify 3 of 4, 3 of 5, and 4 of 5 age-appropriate optotype presentations.\n\nResults\nScreening testability for the JVAS was high, at 100%. Sensitivity of the JVAS ranged from 88% to 91%, and specificity from 73% to 86%, with positive predictive value ranging from 66% to 79% and negative predictive value from 92% to 93% (ranges reflect different pass/fail paradigms).\n\nConclusions\nThe new JVAS provides an effective and practical method for screening 3- to 7-year-olds using any Windows-based computer. Providing the JVAS free-of-charge to pediatricians and school systems would standardize currently fragmented visual acuity-based screening practices.","container-title":"Journal of AAPOS : the official publication of the American Association for Pediatric Ophthalmology and Strabismus / American Association for Pediatric Ophthalmology and Strabismus","DOI":"10.1016/j.jaapos.2015.01.011","ISSN":"1091-8531","issue":"2","journalAbbreviation":"J AAPOS","note":"PMID: 25892043\nPMCID: PMC4537792","page":"157-162","source":"PubMed Central","title":"A new computer-based pediatric vision-screening test","volume":"19","author":[{"family":"Yamada","given":"Tomohiko"},{"family":"Hatt","given":"Sarah R."},{"family":"Leske","given":"David A."},{"family":"Moke","given":"Pamela S."},{"family":"Parrucci","given":"Nick L."},{"family":"Reese","given":"J. Jeffrey"},{"family":"Ruben","given":"James B."},{"family":"Holmes","given":"Jonathan M."}],"issued":{"date-parts":[["2015",4]]}}}],"schema":"https://github.com/citation-style-language/schema/raw/master/csl-citation.json"} </w:instrText>
      </w:r>
      <w:r w:rsidR="000D440D"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[233]</w:t>
      </w:r>
      <w:r w:rsidR="000D440D" w:rsidRPr="004804AA">
        <w:rPr>
          <w:rFonts w:ascii="Times New Roman" w:hAnsi="Times New Roman" w:cs="Times New Roman"/>
          <w:sz w:val="28"/>
          <w:szCs w:val="28"/>
        </w:rPr>
        <w:fldChar w:fldCharType="end"/>
      </w:r>
      <w:r w:rsidR="00B43CF9">
        <w:rPr>
          <w:rFonts w:ascii="Times New Roman" w:hAnsi="Times New Roman" w:cs="Times New Roman"/>
          <w:sz w:val="28"/>
          <w:szCs w:val="28"/>
        </w:rPr>
        <w:t>.</w:t>
      </w:r>
      <w:r w:rsidR="00D95190" w:rsidRPr="004804AA">
        <w:rPr>
          <w:rFonts w:ascii="Times New Roman" w:hAnsi="Times New Roman" w:cs="Times New Roman"/>
          <w:sz w:val="28"/>
          <w:szCs w:val="28"/>
        </w:rPr>
        <w:t xml:space="preserve"> </w:t>
      </w:r>
      <w:r w:rsidR="00F63311" w:rsidRPr="004804AA">
        <w:rPr>
          <w:rFonts w:ascii="Times New Roman" w:hAnsi="Times New Roman" w:cs="Times New Roman"/>
          <w:sz w:val="28"/>
          <w:szCs w:val="28"/>
        </w:rPr>
        <w:t>При этом результаты обследований при помощи компьютеризированных программ и мобильных приложений имели возраст-зависимый эффект и не показали высокой эффективности среди детей дошкольного возраста. Однако, преимуществом таких программ является высокий охват, небольшие временные и низкие финансовые затраты.</w:t>
      </w:r>
    </w:p>
    <w:p w14:paraId="30445778" w14:textId="60DB4C27" w:rsidR="000D440D" w:rsidRPr="004804AA" w:rsidRDefault="00AE0E7D" w:rsidP="005C37DF">
      <w:pPr>
        <w:spacing w:after="0" w:line="240" w:lineRule="auto"/>
        <w:ind w:firstLine="709"/>
        <w:jc w:val="both"/>
        <w:rPr>
          <w:rFonts w:ascii="Times New Roman" w:eastAsiaTheme="minorHAnsi" w:hAnsi="Times New Roman" w:cs="Times New Roman"/>
          <w:sz w:val="28"/>
          <w:szCs w:val="28"/>
          <w:lang w:eastAsia="en-US"/>
        </w:rPr>
      </w:pPr>
      <w:r w:rsidRPr="004804AA">
        <w:rPr>
          <w:rFonts w:ascii="Times New Roman" w:eastAsiaTheme="minorHAnsi" w:hAnsi="Times New Roman" w:cs="Times New Roman"/>
          <w:sz w:val="28"/>
          <w:szCs w:val="28"/>
          <w:lang w:eastAsia="en-US"/>
        </w:rPr>
        <w:t>Таким образом, р</w:t>
      </w:r>
      <w:r w:rsidR="0061239B" w:rsidRPr="004804AA">
        <w:rPr>
          <w:rFonts w:ascii="Times New Roman" w:eastAsiaTheme="minorHAnsi" w:hAnsi="Times New Roman" w:cs="Times New Roman"/>
          <w:sz w:val="28"/>
          <w:szCs w:val="28"/>
          <w:lang w:eastAsia="en-US"/>
        </w:rPr>
        <w:t xml:space="preserve">анняя диагностика </w:t>
      </w:r>
      <w:r w:rsidR="00141027" w:rsidRPr="004804AA">
        <w:rPr>
          <w:rFonts w:ascii="Times New Roman" w:eastAsiaTheme="minorHAnsi" w:hAnsi="Times New Roman" w:cs="Times New Roman"/>
          <w:sz w:val="28"/>
          <w:szCs w:val="28"/>
          <w:lang w:eastAsia="en-US"/>
        </w:rPr>
        <w:t>аномалий</w:t>
      </w:r>
      <w:r w:rsidR="00106FC5" w:rsidRPr="004804AA">
        <w:rPr>
          <w:rFonts w:ascii="Times New Roman" w:eastAsiaTheme="minorHAnsi" w:hAnsi="Times New Roman" w:cs="Times New Roman"/>
          <w:sz w:val="28"/>
          <w:szCs w:val="28"/>
          <w:lang w:eastAsia="en-US"/>
        </w:rPr>
        <w:t xml:space="preserve"> рефракции у детей </w:t>
      </w:r>
      <w:r w:rsidR="0061239B" w:rsidRPr="004804AA">
        <w:rPr>
          <w:rFonts w:ascii="Times New Roman" w:eastAsiaTheme="minorHAnsi" w:hAnsi="Times New Roman" w:cs="Times New Roman"/>
          <w:sz w:val="28"/>
          <w:szCs w:val="28"/>
          <w:lang w:eastAsia="en-US"/>
        </w:rPr>
        <w:t xml:space="preserve">является одним из самых простых способов </w:t>
      </w:r>
      <w:r w:rsidR="00141027" w:rsidRPr="004804AA">
        <w:rPr>
          <w:rFonts w:ascii="Times New Roman" w:eastAsiaTheme="minorHAnsi" w:hAnsi="Times New Roman" w:cs="Times New Roman"/>
          <w:sz w:val="28"/>
          <w:szCs w:val="28"/>
          <w:lang w:eastAsia="en-US"/>
        </w:rPr>
        <w:t>профилактики прогрессирования</w:t>
      </w:r>
      <w:r w:rsidR="0061239B" w:rsidRPr="004804AA">
        <w:rPr>
          <w:rFonts w:ascii="Times New Roman" w:eastAsiaTheme="minorHAnsi" w:hAnsi="Times New Roman" w:cs="Times New Roman"/>
          <w:sz w:val="28"/>
          <w:szCs w:val="28"/>
          <w:lang w:eastAsia="en-US"/>
        </w:rPr>
        <w:t xml:space="preserve"> нарушени</w:t>
      </w:r>
      <w:r w:rsidR="00141027" w:rsidRPr="004804AA">
        <w:rPr>
          <w:rFonts w:ascii="Times New Roman" w:eastAsiaTheme="minorHAnsi" w:hAnsi="Times New Roman" w:cs="Times New Roman"/>
          <w:sz w:val="28"/>
          <w:szCs w:val="28"/>
          <w:lang w:eastAsia="en-US"/>
        </w:rPr>
        <w:t>й</w:t>
      </w:r>
      <w:r w:rsidR="0061239B" w:rsidRPr="004804AA">
        <w:rPr>
          <w:rFonts w:ascii="Times New Roman" w:eastAsiaTheme="minorHAnsi" w:hAnsi="Times New Roman" w:cs="Times New Roman"/>
          <w:sz w:val="28"/>
          <w:szCs w:val="28"/>
          <w:lang w:eastAsia="en-US"/>
        </w:rPr>
        <w:t xml:space="preserve"> зрения и</w:t>
      </w:r>
      <w:r w:rsidR="00141027" w:rsidRPr="004804AA">
        <w:rPr>
          <w:rFonts w:ascii="Times New Roman" w:eastAsiaTheme="minorHAnsi" w:hAnsi="Times New Roman" w:cs="Times New Roman"/>
          <w:sz w:val="28"/>
          <w:szCs w:val="28"/>
          <w:lang w:eastAsia="en-US"/>
        </w:rPr>
        <w:t xml:space="preserve"> предотвращения</w:t>
      </w:r>
      <w:r w:rsidR="0061239B" w:rsidRPr="004804AA">
        <w:rPr>
          <w:rFonts w:ascii="Times New Roman" w:eastAsiaTheme="minorHAnsi" w:hAnsi="Times New Roman" w:cs="Times New Roman"/>
          <w:sz w:val="28"/>
          <w:szCs w:val="28"/>
          <w:lang w:eastAsia="en-US"/>
        </w:rPr>
        <w:t xml:space="preserve"> слепот</w:t>
      </w:r>
      <w:r w:rsidR="00141027" w:rsidRPr="004804AA">
        <w:rPr>
          <w:rFonts w:ascii="Times New Roman" w:eastAsiaTheme="minorHAnsi" w:hAnsi="Times New Roman" w:cs="Times New Roman"/>
          <w:sz w:val="28"/>
          <w:szCs w:val="28"/>
          <w:lang w:eastAsia="en-US"/>
        </w:rPr>
        <w:t>ы</w:t>
      </w:r>
      <w:r w:rsidR="0061239B" w:rsidRPr="004804AA">
        <w:rPr>
          <w:rFonts w:ascii="Times New Roman" w:eastAsiaTheme="minorHAnsi" w:hAnsi="Times New Roman" w:cs="Times New Roman"/>
          <w:sz w:val="28"/>
          <w:szCs w:val="28"/>
          <w:lang w:eastAsia="en-US"/>
        </w:rPr>
        <w:t>. Активный скрининг для выявления детей с нарушениями рефракции и коррекция их путем предоставления очков используется во многих странах мира. Однако, расходы на программы офтальмологического обследования детей достаточно высоки и вариабельны в зависимости от региона мира</w:t>
      </w:r>
      <w:r w:rsidR="00141027" w:rsidRPr="004804AA">
        <w:rPr>
          <w:rFonts w:ascii="Times New Roman" w:eastAsiaTheme="minorHAnsi" w:hAnsi="Times New Roman" w:cs="Times New Roman"/>
          <w:sz w:val="28"/>
          <w:szCs w:val="28"/>
          <w:lang w:eastAsia="en-US"/>
        </w:rPr>
        <w:t>.</w:t>
      </w:r>
    </w:p>
    <w:p w14:paraId="5805660F" w14:textId="622938BF"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6272D56C" w14:textId="6A72687F"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421FCF4A" w14:textId="59602D16"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59AE91B6" w14:textId="1918E277"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6AB49F8F" w14:textId="2E5A10DC"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50458E94" w14:textId="177BA89F"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7E00A1F7" w14:textId="7952887F"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6E4B756F" w14:textId="5FE5028E"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6F9FFCB1" w14:textId="67ADFCD9"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18C9F610" w14:textId="16F18680"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4AC1A94D" w14:textId="0288CFC9"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5597F935" w14:textId="42404005" w:rsidR="000A0294" w:rsidRPr="004804AA"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40EBBAD9" w14:textId="13C5AABD" w:rsidR="00B87F64" w:rsidRDefault="00B87F64" w:rsidP="00EF2487">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14:paraId="3F89FF41" w14:textId="1921922F" w:rsidR="000A0294" w:rsidRPr="006B50E8" w:rsidRDefault="000A0294" w:rsidP="005C37DF">
      <w:pPr>
        <w:pStyle w:val="a4"/>
        <w:ind w:firstLine="709"/>
        <w:jc w:val="both"/>
        <w:rPr>
          <w:rFonts w:ascii="Times New Roman" w:hAnsi="Times New Roman" w:cs="Times New Roman"/>
          <w:b/>
          <w:bCs/>
          <w:sz w:val="28"/>
          <w:szCs w:val="28"/>
        </w:rPr>
      </w:pPr>
      <w:bookmarkStart w:id="13" w:name="_Hlk100143573"/>
      <w:r w:rsidRPr="006B50E8">
        <w:rPr>
          <w:rFonts w:ascii="Times New Roman" w:hAnsi="Times New Roman" w:cs="Times New Roman"/>
          <w:b/>
          <w:bCs/>
          <w:sz w:val="28"/>
          <w:szCs w:val="28"/>
        </w:rPr>
        <w:lastRenderedPageBreak/>
        <w:t>2 М</w:t>
      </w:r>
      <w:r w:rsidR="006B50E8" w:rsidRPr="006B50E8">
        <w:rPr>
          <w:rFonts w:ascii="Times New Roman" w:hAnsi="Times New Roman" w:cs="Times New Roman"/>
          <w:b/>
          <w:bCs/>
          <w:sz w:val="28"/>
          <w:szCs w:val="28"/>
        </w:rPr>
        <w:t>АТЕРИАЛ</w:t>
      </w:r>
      <w:r w:rsidR="00EF2487">
        <w:rPr>
          <w:rFonts w:ascii="Times New Roman" w:hAnsi="Times New Roman" w:cs="Times New Roman"/>
          <w:b/>
          <w:bCs/>
          <w:sz w:val="28"/>
          <w:szCs w:val="28"/>
        </w:rPr>
        <w:t>Ы</w:t>
      </w:r>
      <w:r w:rsidR="006B50E8" w:rsidRPr="006B50E8">
        <w:rPr>
          <w:rFonts w:ascii="Times New Roman" w:hAnsi="Times New Roman" w:cs="Times New Roman"/>
          <w:b/>
          <w:bCs/>
          <w:sz w:val="28"/>
          <w:szCs w:val="28"/>
        </w:rPr>
        <w:t xml:space="preserve"> И МЕТОДЫ ИССЛЕДОВАНИЯ</w:t>
      </w:r>
    </w:p>
    <w:p w14:paraId="3CE3B373" w14:textId="77777777" w:rsidR="006B50E8" w:rsidRPr="004804AA" w:rsidRDefault="006B50E8" w:rsidP="005C37DF">
      <w:pPr>
        <w:pStyle w:val="a4"/>
        <w:ind w:firstLine="709"/>
        <w:jc w:val="both"/>
        <w:rPr>
          <w:rFonts w:ascii="Times New Roman" w:hAnsi="Times New Roman" w:cs="Times New Roman"/>
          <w:sz w:val="28"/>
          <w:szCs w:val="28"/>
        </w:rPr>
      </w:pPr>
    </w:p>
    <w:p w14:paraId="2C122C4B" w14:textId="48DD78E4" w:rsidR="000A0294" w:rsidRPr="006B50E8" w:rsidRDefault="000A0294" w:rsidP="005C37DF">
      <w:pPr>
        <w:spacing w:after="0" w:line="240" w:lineRule="auto"/>
        <w:ind w:firstLine="709"/>
        <w:jc w:val="both"/>
        <w:rPr>
          <w:rFonts w:ascii="Times New Roman" w:hAnsi="Times New Roman" w:cs="Times New Roman"/>
          <w:b/>
          <w:bCs/>
          <w:sz w:val="28"/>
          <w:szCs w:val="28"/>
        </w:rPr>
      </w:pPr>
      <w:r w:rsidRPr="006B50E8">
        <w:rPr>
          <w:rFonts w:ascii="Times New Roman" w:hAnsi="Times New Roman" w:cs="Times New Roman"/>
          <w:b/>
          <w:bCs/>
          <w:sz w:val="28"/>
          <w:szCs w:val="28"/>
        </w:rPr>
        <w:t xml:space="preserve">2.1 </w:t>
      </w:r>
      <w:r w:rsidR="00AE7DB6" w:rsidRPr="006B50E8">
        <w:rPr>
          <w:rFonts w:ascii="Times New Roman" w:hAnsi="Times New Roman" w:cs="Times New Roman"/>
          <w:b/>
          <w:bCs/>
          <w:sz w:val="28"/>
          <w:szCs w:val="28"/>
        </w:rPr>
        <w:t>Общая характеристика популяции</w:t>
      </w:r>
    </w:p>
    <w:p w14:paraId="5039FE41" w14:textId="329F16FC"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Алматы – город республиканского значения, крупнейший мегаполис в Казахстане. С 2014 года город разделен на 8 административно-территориальных районов.</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 xml:space="preserve">На начало 2019 года численность населения города составляла 1854700 человек, 470 тысяч из них – дети до 18 лет (25,3%). </w:t>
      </w:r>
    </w:p>
    <w:p w14:paraId="5BDBE89E" w14:textId="1C4509D2"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Среднее образование в Казахстане включает 3 ступени: начальную (1–4 классы), основную (5–9 классы) и старшую (10–11 классы)</w:t>
      </w:r>
      <w:r w:rsidR="008C12AE">
        <w:rPr>
          <w:rFonts w:ascii="Times New Roman" w:hAnsi="Times New Roman" w:cs="Times New Roman"/>
          <w:sz w:val="28"/>
          <w:szCs w:val="28"/>
        </w:rPr>
        <w:t>.</w:t>
      </w:r>
      <w:r w:rsidRPr="004804AA">
        <w:rPr>
          <w:rFonts w:ascii="Times New Roman" w:hAnsi="Times New Roman" w:cs="Times New Roman"/>
          <w:sz w:val="28"/>
          <w:szCs w:val="28"/>
        </w:rPr>
        <w:t xml:space="preserve"> В соответствии с </w:t>
      </w:r>
      <w:bookmarkStart w:id="14" w:name="_Hlk100572624"/>
      <w:r w:rsidRPr="004804AA">
        <w:rPr>
          <w:rFonts w:ascii="Times New Roman" w:hAnsi="Times New Roman" w:cs="Times New Roman"/>
          <w:sz w:val="28"/>
          <w:szCs w:val="28"/>
        </w:rPr>
        <w:t>Приказом Министра здравоохранения Республики Казахстан от 16 августа 2017 года № 611</w:t>
      </w:r>
      <w:bookmarkEnd w:id="14"/>
      <w:r w:rsidRPr="004804AA">
        <w:rPr>
          <w:rFonts w:ascii="Times New Roman" w:hAnsi="Times New Roman" w:cs="Times New Roman"/>
          <w:sz w:val="28"/>
          <w:szCs w:val="28"/>
        </w:rPr>
        <w:t xml:space="preserve">, продолжительность урока в общеобразовательной организации не должна превышать 40 минут. Не допускается проведение </w:t>
      </w:r>
      <w:bookmarkStart w:id="15" w:name="_Hlk100572648"/>
      <w:r w:rsidRPr="004804AA">
        <w:rPr>
          <w:rFonts w:ascii="Times New Roman" w:hAnsi="Times New Roman" w:cs="Times New Roman"/>
          <w:sz w:val="28"/>
          <w:szCs w:val="28"/>
        </w:rPr>
        <w:t>«сдвоенных» уроков в начальной школе. В первых классах применяют "ступенчатый" режим учебных занятий с постепенным наращиванием учебной нагрузки</w:t>
      </w:r>
      <w:bookmarkEnd w:id="15"/>
      <w:r w:rsidR="0002114E">
        <w:rPr>
          <w:rFonts w:ascii="Times New Roman" w:hAnsi="Times New Roman" w:cs="Times New Roman"/>
          <w:sz w:val="28"/>
          <w:szCs w:val="28"/>
        </w:rPr>
        <w:t xml:space="preserve"> и </w:t>
      </w:r>
      <w:r w:rsidRPr="004804AA">
        <w:rPr>
          <w:rFonts w:ascii="Times New Roman" w:hAnsi="Times New Roman" w:cs="Times New Roman"/>
          <w:sz w:val="28"/>
          <w:szCs w:val="28"/>
        </w:rPr>
        <w:t xml:space="preserve">проведением на уроках физкультминуток и гимнастики для глаз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{"citationID":"ngmggOBg","properties":{"formattedCitation":"[235]","plainCitation":"[235]","noteIndex":0},"citationItems":[{"id":1683,"uris":["http://zotero.org/users/local/XMo5Fvid/items/9BQFTGPK"],"itemData":{"id":1683,"type":"webpage","abstract":"Приказ Министра здравоохранения Республики Казахстан от 16 августа 2017 года № 611. Зарегистрирован в Министерстве юстиции Республики Казахстан 13 сентября 2017 года № 15681.","language":"ru","title":"Об утверждении Санитарных правил \"Санитарно-эпидемиологические требования к объектам образования\"","URL":"https://zakon.uchet.kz/rus/docs/V1700015681","accessed":{"date-parts":[["2021",4,16]]}}}],"schema":"https://github.com/citation-style-language/schema/raw/master/csl-citation.json"}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w:t>
      </w:r>
      <w:r w:rsidR="0002114E">
        <w:rPr>
          <w:rFonts w:ascii="Times New Roman" w:hAnsi="Times New Roman" w:cs="Times New Roman"/>
          <w:sz w:val="28"/>
        </w:rPr>
        <w:t>235</w:t>
      </w:r>
      <w:r w:rsidR="00A00EFF" w:rsidRPr="00A00EFF">
        <w:rPr>
          <w:rFonts w:ascii="Times New Roman" w:hAnsi="Times New Roman" w:cs="Times New Roman"/>
          <w:sz w:val="28"/>
        </w:rPr>
        <w:t>]</w:t>
      </w:r>
      <w:r w:rsidRPr="004804AA">
        <w:rPr>
          <w:rFonts w:ascii="Times New Roman" w:hAnsi="Times New Roman" w:cs="Times New Roman"/>
          <w:sz w:val="28"/>
          <w:szCs w:val="28"/>
        </w:rPr>
        <w:fldChar w:fldCharType="end"/>
      </w:r>
      <w:r w:rsidR="008C12AE">
        <w:rPr>
          <w:rFonts w:ascii="Times New Roman" w:hAnsi="Times New Roman" w:cs="Times New Roman"/>
          <w:sz w:val="28"/>
          <w:szCs w:val="28"/>
        </w:rPr>
        <w:t>.</w:t>
      </w:r>
      <w:r w:rsidRPr="004804AA">
        <w:rPr>
          <w:rFonts w:ascii="Times New Roman" w:hAnsi="Times New Roman" w:cs="Times New Roman"/>
          <w:sz w:val="28"/>
          <w:szCs w:val="28"/>
        </w:rPr>
        <w:t xml:space="preserve"> Продолжительность учебного года в 1 классах – 33 учебные недели, во 2-4 классах – 34 учебные недели. Продолжительность каникулярного времени в учебном году составляет не менее 30 дней и предоставляются три раза в учебном году – осенью, зимой и весной. Кроме того, для учащихся 1-х классов дополнительно предоставляются недельные каникулы в третьей четверти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{"citationID":"fu5meSwR","properties":{"formattedCitation":"[236]","plainCitation":"[236]","noteIndex":0},"citationItems":[{"id":1685,"uris":["http://zotero.org/users/local/XMo5Fvid/items/5E8A2VWC"],"itemData":{"id":1685,"type":"webpage","abstract":"Приказ Министра образования и науки Республики Казахстан от 31 октября 2018 года № 604. Зарегистрирован в Министерстве юстиции Республики Казахстан 1 ноября 2018 года № 17669.","language":"ru","title":"Об утверждении государственных общеобязательных стандартов образования всех уровней образования","URL":"https://zakon.uchet.kz/rus/docs/V1800017669","accessed":{"date-parts":[["2021",4,16]]}}}],"schema":"https://github.com/citation-style-language/schema/raw/master/csl-citation.json"}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[236]</w:t>
      </w:r>
      <w:r w:rsidRPr="004804AA">
        <w:rPr>
          <w:rFonts w:ascii="Times New Roman" w:hAnsi="Times New Roman" w:cs="Times New Roman"/>
          <w:sz w:val="28"/>
          <w:szCs w:val="28"/>
        </w:rPr>
        <w:fldChar w:fldCharType="end"/>
      </w:r>
      <w:r w:rsidR="008C12AE">
        <w:rPr>
          <w:rFonts w:ascii="Times New Roman" w:hAnsi="Times New Roman" w:cs="Times New Roman"/>
          <w:sz w:val="28"/>
          <w:szCs w:val="28"/>
        </w:rPr>
        <w:t>.</w:t>
      </w:r>
      <w:r w:rsidRPr="004804AA">
        <w:rPr>
          <w:rFonts w:ascii="Times New Roman" w:hAnsi="Times New Roman" w:cs="Times New Roman"/>
          <w:sz w:val="28"/>
          <w:szCs w:val="28"/>
        </w:rPr>
        <w:t xml:space="preserve"> Недельная учебная нагрузка для разных образовательных уровней приведена в таблице 1</w:t>
      </w:r>
      <w:r w:rsidR="00E71C2C">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{"citationID":"dn6Oh9L5","properties":{"formattedCitation":"[237]","plainCitation":"[237]","noteIndex":0},"citationItems":[{"id":1687,"uris":["http://zotero.org/users/local/XMo5Fvid/items/4NY74AQV"],"itemData":{"id":1687,"type":"webpage","abstract":"Приказ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Казахстан»","container-title":"Информационная система ПАРАГРАФ","title":"Приказ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и дополнениями по состоянию на 26.03.2021 г.)","URL":"https://online.zakon.kz/Document/?doc_id=31313534","accessed":{"date-parts":[["2021",4,16]]}}}],"schema":"https://github.com/citation-style-language/schema/raw/master/csl-citation.json"}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[237]</w:t>
      </w:r>
      <w:r w:rsidRPr="004804AA">
        <w:rPr>
          <w:rFonts w:ascii="Times New Roman" w:hAnsi="Times New Roman" w:cs="Times New Roman"/>
          <w:sz w:val="28"/>
          <w:szCs w:val="28"/>
        </w:rPr>
        <w:fldChar w:fldCharType="end"/>
      </w:r>
      <w:r w:rsidR="00E71C2C">
        <w:rPr>
          <w:rFonts w:ascii="Times New Roman" w:hAnsi="Times New Roman" w:cs="Times New Roman"/>
          <w:sz w:val="28"/>
          <w:szCs w:val="28"/>
        </w:rPr>
        <w:t>.</w:t>
      </w:r>
    </w:p>
    <w:p w14:paraId="1E77C98C"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747BB2A8" w14:textId="70AA86F7" w:rsidR="000A0294" w:rsidRDefault="000A0294" w:rsidP="00025EBC">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Таблица 1</w:t>
      </w:r>
      <w:r w:rsidR="0088397D">
        <w:rPr>
          <w:rFonts w:ascii="Times New Roman" w:hAnsi="Times New Roman" w:cs="Times New Roman"/>
          <w:sz w:val="28"/>
          <w:szCs w:val="28"/>
        </w:rPr>
        <w:t xml:space="preserve"> -</w:t>
      </w:r>
      <w:r w:rsidRPr="004804AA">
        <w:rPr>
          <w:rFonts w:ascii="Times New Roman" w:hAnsi="Times New Roman" w:cs="Times New Roman"/>
          <w:sz w:val="28"/>
          <w:szCs w:val="28"/>
        </w:rPr>
        <w:t xml:space="preserve"> Недельная учебная нагрузка в общеобразовательных </w:t>
      </w:r>
      <w:r w:rsidR="00025EBC">
        <w:rPr>
          <w:rFonts w:ascii="Times New Roman" w:hAnsi="Times New Roman" w:cs="Times New Roman"/>
          <w:sz w:val="28"/>
          <w:szCs w:val="28"/>
        </w:rPr>
        <w:t>школах</w:t>
      </w:r>
    </w:p>
    <w:p w14:paraId="72A0CD40" w14:textId="77777777" w:rsidR="00025EBC" w:rsidRPr="004804AA" w:rsidRDefault="00025EBC" w:rsidP="008A33F5">
      <w:pPr>
        <w:spacing w:after="0" w:line="240" w:lineRule="auto"/>
        <w:jc w:val="center"/>
        <w:rPr>
          <w:rFonts w:ascii="Times New Roman" w:hAnsi="Times New Roman" w:cs="Times New Roman"/>
          <w:sz w:val="28"/>
          <w:szCs w:val="28"/>
        </w:rPr>
      </w:pPr>
    </w:p>
    <w:tbl>
      <w:tblPr>
        <w:tblStyle w:val="af0"/>
        <w:tblW w:w="0" w:type="auto"/>
        <w:tblLook w:val="04A0" w:firstRow="1" w:lastRow="0" w:firstColumn="1" w:lastColumn="0" w:noHBand="0" w:noVBand="1"/>
      </w:tblPr>
      <w:tblGrid>
        <w:gridCol w:w="2364"/>
        <w:gridCol w:w="2327"/>
        <w:gridCol w:w="2327"/>
        <w:gridCol w:w="2327"/>
      </w:tblGrid>
      <w:tr w:rsidR="000A0294" w:rsidRPr="004804AA" w14:paraId="7AE8FA53" w14:textId="77777777" w:rsidTr="00292B55">
        <w:tc>
          <w:tcPr>
            <w:tcW w:w="2372" w:type="dxa"/>
            <w:vMerge w:val="restart"/>
          </w:tcPr>
          <w:p w14:paraId="4881DD14" w14:textId="77777777" w:rsidR="000A0294" w:rsidRPr="004804AA" w:rsidRDefault="000A0294" w:rsidP="008A33F5">
            <w:pPr>
              <w:spacing w:after="0" w:line="240" w:lineRule="auto"/>
              <w:jc w:val="center"/>
              <w:rPr>
                <w:rFonts w:ascii="Times New Roman" w:hAnsi="Times New Roman" w:cs="Times New Roman"/>
                <w:sz w:val="28"/>
                <w:szCs w:val="28"/>
              </w:rPr>
            </w:pPr>
          </w:p>
        </w:tc>
        <w:tc>
          <w:tcPr>
            <w:tcW w:w="7116" w:type="dxa"/>
            <w:gridSpan w:val="3"/>
          </w:tcPr>
          <w:p w14:paraId="390B2075"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Класс</w:t>
            </w:r>
          </w:p>
        </w:tc>
      </w:tr>
      <w:tr w:rsidR="000A0294" w:rsidRPr="004804AA" w14:paraId="752A19C2" w14:textId="77777777" w:rsidTr="00292B55">
        <w:tc>
          <w:tcPr>
            <w:tcW w:w="2372" w:type="dxa"/>
            <w:vMerge/>
          </w:tcPr>
          <w:p w14:paraId="56D8297A" w14:textId="77777777" w:rsidR="000A0294" w:rsidRPr="004804AA" w:rsidRDefault="000A0294" w:rsidP="008A33F5">
            <w:pPr>
              <w:spacing w:after="0" w:line="240" w:lineRule="auto"/>
              <w:jc w:val="center"/>
              <w:rPr>
                <w:rFonts w:ascii="Times New Roman" w:hAnsi="Times New Roman" w:cs="Times New Roman"/>
                <w:sz w:val="28"/>
                <w:szCs w:val="28"/>
              </w:rPr>
            </w:pPr>
          </w:p>
        </w:tc>
        <w:tc>
          <w:tcPr>
            <w:tcW w:w="2372" w:type="dxa"/>
          </w:tcPr>
          <w:p w14:paraId="3DBC19BE"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w:t>
            </w:r>
          </w:p>
        </w:tc>
        <w:tc>
          <w:tcPr>
            <w:tcW w:w="2372" w:type="dxa"/>
          </w:tcPr>
          <w:p w14:paraId="7434617E"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5</w:t>
            </w:r>
          </w:p>
        </w:tc>
        <w:tc>
          <w:tcPr>
            <w:tcW w:w="2372" w:type="dxa"/>
          </w:tcPr>
          <w:p w14:paraId="188D05F4"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w:t>
            </w:r>
          </w:p>
        </w:tc>
      </w:tr>
      <w:tr w:rsidR="000A0294" w:rsidRPr="004804AA" w14:paraId="2C4507BE" w14:textId="77777777" w:rsidTr="00292B55">
        <w:tc>
          <w:tcPr>
            <w:tcW w:w="2372" w:type="dxa"/>
          </w:tcPr>
          <w:p w14:paraId="6B2B298D" w14:textId="0C96CB07" w:rsidR="000A0294" w:rsidRPr="004804AA" w:rsidRDefault="000A0294" w:rsidP="008A33F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Средняя учебная нагрузка, в неделю</w:t>
            </w:r>
            <w:r w:rsidR="00025EBC">
              <w:rPr>
                <w:rFonts w:ascii="Times New Roman" w:hAnsi="Times New Roman" w:cs="Times New Roman"/>
                <w:sz w:val="28"/>
                <w:szCs w:val="28"/>
              </w:rPr>
              <w:t xml:space="preserve"> (</w:t>
            </w:r>
            <w:r w:rsidRPr="004804AA">
              <w:rPr>
                <w:rFonts w:ascii="Times New Roman" w:hAnsi="Times New Roman" w:cs="Times New Roman"/>
                <w:sz w:val="28"/>
                <w:szCs w:val="28"/>
              </w:rPr>
              <w:t>час</w:t>
            </w:r>
            <w:r w:rsidR="00025EBC">
              <w:rPr>
                <w:rFonts w:ascii="Times New Roman" w:hAnsi="Times New Roman" w:cs="Times New Roman"/>
                <w:sz w:val="28"/>
                <w:szCs w:val="28"/>
              </w:rPr>
              <w:t>ов)</w:t>
            </w:r>
          </w:p>
        </w:tc>
        <w:tc>
          <w:tcPr>
            <w:tcW w:w="2372" w:type="dxa"/>
          </w:tcPr>
          <w:p w14:paraId="71E5ECA6"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22</w:t>
            </w:r>
          </w:p>
        </w:tc>
        <w:tc>
          <w:tcPr>
            <w:tcW w:w="2372" w:type="dxa"/>
          </w:tcPr>
          <w:p w14:paraId="1CB481D6"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28</w:t>
            </w:r>
          </w:p>
        </w:tc>
        <w:tc>
          <w:tcPr>
            <w:tcW w:w="2372" w:type="dxa"/>
          </w:tcPr>
          <w:p w14:paraId="53E5A703"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33</w:t>
            </w:r>
          </w:p>
        </w:tc>
      </w:tr>
      <w:tr w:rsidR="000A0294" w:rsidRPr="004804AA" w14:paraId="1D55699A" w14:textId="77777777" w:rsidTr="00292B55">
        <w:tc>
          <w:tcPr>
            <w:tcW w:w="2372" w:type="dxa"/>
          </w:tcPr>
          <w:p w14:paraId="6F46BBD8" w14:textId="7878E119" w:rsidR="000A0294" w:rsidRPr="004804AA" w:rsidRDefault="000A0294" w:rsidP="008A33F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Максимальная учебная нагрузка, в неделю</w:t>
            </w:r>
            <w:r w:rsidR="00025EBC">
              <w:rPr>
                <w:rFonts w:ascii="Times New Roman" w:hAnsi="Times New Roman" w:cs="Times New Roman"/>
                <w:sz w:val="28"/>
                <w:szCs w:val="28"/>
              </w:rPr>
              <w:t xml:space="preserve"> (часов)</w:t>
            </w:r>
          </w:p>
        </w:tc>
        <w:tc>
          <w:tcPr>
            <w:tcW w:w="2372" w:type="dxa"/>
          </w:tcPr>
          <w:p w14:paraId="07A133AD"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24</w:t>
            </w:r>
          </w:p>
        </w:tc>
        <w:tc>
          <w:tcPr>
            <w:tcW w:w="2372" w:type="dxa"/>
          </w:tcPr>
          <w:p w14:paraId="4E481E08"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33</w:t>
            </w:r>
          </w:p>
        </w:tc>
        <w:tc>
          <w:tcPr>
            <w:tcW w:w="2372" w:type="dxa"/>
          </w:tcPr>
          <w:p w14:paraId="3FB4FCDC" w14:textId="77777777" w:rsidR="000A0294" w:rsidRPr="004804AA" w:rsidRDefault="000A0294" w:rsidP="008A33F5">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38</w:t>
            </w:r>
          </w:p>
        </w:tc>
      </w:tr>
    </w:tbl>
    <w:p w14:paraId="70C0FF13"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37067CB4" w14:textId="317D64F1"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2018 году по официальным данным Министерства науки </w:t>
      </w:r>
      <w:r w:rsidR="0066116A">
        <w:rPr>
          <w:rFonts w:ascii="Times New Roman" w:hAnsi="Times New Roman" w:cs="Times New Roman"/>
          <w:sz w:val="28"/>
          <w:szCs w:val="28"/>
        </w:rPr>
        <w:t xml:space="preserve">и высшего образования </w:t>
      </w:r>
      <w:r w:rsidRPr="004804AA">
        <w:rPr>
          <w:rFonts w:ascii="Times New Roman" w:hAnsi="Times New Roman" w:cs="Times New Roman"/>
          <w:sz w:val="28"/>
          <w:szCs w:val="28"/>
        </w:rPr>
        <w:t>Республики Казахстан РК насчитывалось 3,2 млн учеников, в Алматы было ориентировочно 254000 учащихся средних школ, из них 231100 детей – учащиеся государственных школ, 12240 – учащиеся частных образовательных учреждений (</w:t>
      </w:r>
      <w:r w:rsidR="00C27F5D">
        <w:rPr>
          <w:rFonts w:ascii="Times New Roman" w:hAnsi="Times New Roman" w:cs="Times New Roman"/>
          <w:sz w:val="28"/>
          <w:szCs w:val="28"/>
        </w:rPr>
        <w:t>т</w:t>
      </w:r>
      <w:r w:rsidRPr="004804AA">
        <w:rPr>
          <w:rFonts w:ascii="Times New Roman" w:hAnsi="Times New Roman" w:cs="Times New Roman"/>
          <w:sz w:val="28"/>
          <w:szCs w:val="28"/>
        </w:rPr>
        <w:t>абл</w:t>
      </w:r>
      <w:r w:rsidR="00C27F5D">
        <w:rPr>
          <w:rFonts w:ascii="Times New Roman" w:hAnsi="Times New Roman" w:cs="Times New Roman"/>
          <w:sz w:val="28"/>
          <w:szCs w:val="28"/>
        </w:rPr>
        <w:t>ица</w:t>
      </w:r>
      <w:r w:rsidR="005005BD" w:rsidRPr="005005BD">
        <w:rPr>
          <w:rFonts w:ascii="Times New Roman" w:hAnsi="Times New Roman" w:cs="Times New Roman"/>
          <w:sz w:val="28"/>
          <w:szCs w:val="28"/>
        </w:rPr>
        <w:t xml:space="preserve"> </w:t>
      </w:r>
      <w:r w:rsidR="00C27F5D">
        <w:rPr>
          <w:rFonts w:ascii="Times New Roman" w:hAnsi="Times New Roman" w:cs="Times New Roman"/>
          <w:sz w:val="28"/>
          <w:szCs w:val="28"/>
        </w:rPr>
        <w:t>2</w:t>
      </w:r>
      <w:r w:rsidRPr="004804AA">
        <w:rPr>
          <w:rFonts w:ascii="Times New Roman" w:hAnsi="Times New Roman" w:cs="Times New Roman"/>
          <w:sz w:val="28"/>
          <w:szCs w:val="28"/>
        </w:rPr>
        <w:t>)</w:t>
      </w:r>
      <w:r w:rsidR="00C27F5D">
        <w:rPr>
          <w:rFonts w:ascii="Times New Roman" w:hAnsi="Times New Roman" w:cs="Times New Roman"/>
          <w:sz w:val="28"/>
          <w:szCs w:val="28"/>
        </w:rPr>
        <w:t>.</w:t>
      </w:r>
      <w:r w:rsidRPr="004804AA">
        <w:rPr>
          <w:rFonts w:ascii="Times New Roman" w:hAnsi="Times New Roman" w:cs="Times New Roman"/>
          <w:sz w:val="28"/>
          <w:szCs w:val="28"/>
        </w:rPr>
        <w:t xml:space="preserve"> По данным Бюро национальной статистики Агентства по стратегическому планированию и реформам Республики Казахстан в 2017 - 2018 учебном году, в Алматы насчитывалось 260 общеобразовательных школ, из них 202 государственные школы, 49 – частные школы и 9 – специальные коррекционные учреждения и школы для детей с ограниченными возможностями. Таким образом, доля </w:t>
      </w:r>
      <w:r w:rsidRPr="004804AA">
        <w:rPr>
          <w:rFonts w:ascii="Times New Roman" w:hAnsi="Times New Roman" w:cs="Times New Roman"/>
          <w:sz w:val="28"/>
          <w:szCs w:val="28"/>
        </w:rPr>
        <w:lastRenderedPageBreak/>
        <w:t>негосударственных школ в Алматы составляет 18,8%. В среднем по Казахстану этот показатель равен 2,5%. Кроме этого, в городе функционируют 3 республиканские школы, 1 школа подведомственная Министерству обороны, 8 школ подведомственные Министерству культуры и спорта и 2 школы АОО «НИШ»</w:t>
      </w:r>
      <w:r w:rsidR="0088397D">
        <w:rPr>
          <w:rFonts w:ascii="Times New Roman" w:hAnsi="Times New Roman" w:cs="Times New Roman"/>
          <w:sz w:val="28"/>
          <w:szCs w:val="28"/>
        </w:rPr>
        <w:t>. В таблице 2 представлена сеть организаций среднего образования г.Алматы и контингент ее учащихся</w:t>
      </w:r>
      <w:r w:rsidRPr="004804AA">
        <w:rPr>
          <w:rFonts w:ascii="Times New Roman" w:hAnsi="Times New Roman" w:cs="Times New Roman"/>
          <w:sz w:val="28"/>
          <w:szCs w:val="28"/>
        </w:rPr>
        <w:t xml:space="preserve">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jOwDiHoC","properties":{"formattedCitation":"[238]","plainCitation":"[238]","noteIndex":0},"citationItems":[{"id":1704,"uris":["http://zotero.org/users/local/XMo5Fvid/items/J42J3YGF"],"itemData":{"id":1704,"type":"document","title":"nacionalnyy_sbornik_2017-2018.pdf","URL":"http://iac.kz/sites/default/files/nacionalnyy_sbornik_2017-2018.pdf","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[238]</w:t>
      </w:r>
      <w:r w:rsidRPr="004804AA">
        <w:rPr>
          <w:rFonts w:ascii="Times New Roman" w:hAnsi="Times New Roman" w:cs="Times New Roman"/>
          <w:sz w:val="28"/>
          <w:szCs w:val="28"/>
        </w:rPr>
        <w:fldChar w:fldCharType="end"/>
      </w:r>
      <w:r w:rsidR="0088397D">
        <w:rPr>
          <w:rFonts w:ascii="Times New Roman" w:hAnsi="Times New Roman" w:cs="Times New Roman"/>
          <w:sz w:val="28"/>
          <w:szCs w:val="28"/>
        </w:rPr>
        <w:t>.</w:t>
      </w:r>
    </w:p>
    <w:p w14:paraId="0EEAE886"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64E71C11" w14:textId="73D97C50" w:rsidR="000A0294" w:rsidRDefault="000A0294" w:rsidP="00F66F57">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88397D">
        <w:rPr>
          <w:rFonts w:ascii="Times New Roman" w:hAnsi="Times New Roman" w:cs="Times New Roman"/>
          <w:sz w:val="28"/>
          <w:szCs w:val="28"/>
        </w:rPr>
        <w:t>2 -</w:t>
      </w:r>
      <w:r w:rsidRPr="004804AA">
        <w:rPr>
          <w:rFonts w:ascii="Times New Roman" w:hAnsi="Times New Roman" w:cs="Times New Roman"/>
          <w:sz w:val="28"/>
          <w:szCs w:val="28"/>
        </w:rPr>
        <w:t xml:space="preserve"> Сеть и контингент организаций среднего образования г. Алматы</w:t>
      </w:r>
    </w:p>
    <w:p w14:paraId="077A25A8" w14:textId="77777777" w:rsidR="00F66F57" w:rsidRPr="004804AA" w:rsidRDefault="00F66F57" w:rsidP="00F66F57">
      <w:pPr>
        <w:spacing w:after="0" w:line="240" w:lineRule="auto"/>
        <w:rPr>
          <w:rFonts w:ascii="Times New Roman" w:hAnsi="Times New Roman" w:cs="Times New Roman"/>
          <w:sz w:val="28"/>
          <w:szCs w:val="28"/>
        </w:rPr>
      </w:pPr>
    </w:p>
    <w:tbl>
      <w:tblPr>
        <w:tblStyle w:val="af0"/>
        <w:tblW w:w="0" w:type="auto"/>
        <w:tblLayout w:type="fixed"/>
        <w:tblLook w:val="04A0" w:firstRow="1" w:lastRow="0" w:firstColumn="1" w:lastColumn="0" w:noHBand="0" w:noVBand="1"/>
      </w:tblPr>
      <w:tblGrid>
        <w:gridCol w:w="1133"/>
        <w:gridCol w:w="1110"/>
        <w:gridCol w:w="1065"/>
        <w:gridCol w:w="988"/>
        <w:gridCol w:w="1011"/>
        <w:gridCol w:w="809"/>
        <w:gridCol w:w="1534"/>
        <w:gridCol w:w="954"/>
        <w:gridCol w:w="741"/>
      </w:tblGrid>
      <w:tr w:rsidR="009D49E7" w:rsidRPr="00C85E75" w14:paraId="70C3DB1B" w14:textId="77777777" w:rsidTr="00853F9E">
        <w:tc>
          <w:tcPr>
            <w:tcW w:w="1133" w:type="dxa"/>
          </w:tcPr>
          <w:p w14:paraId="112CABA5"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2175" w:type="dxa"/>
            <w:gridSpan w:val="2"/>
          </w:tcPr>
          <w:p w14:paraId="79C188E4" w14:textId="3CFD786E"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Город</w:t>
            </w:r>
            <w:r w:rsidR="00F66F57" w:rsidRPr="00C85E75">
              <w:rPr>
                <w:rFonts w:ascii="Times New Roman" w:hAnsi="Times New Roman" w:cs="Times New Roman"/>
                <w:sz w:val="24"/>
                <w:szCs w:val="24"/>
              </w:rPr>
              <w:t>ские</w:t>
            </w:r>
            <w:r w:rsidRPr="00C85E75">
              <w:rPr>
                <w:rFonts w:ascii="Times New Roman" w:hAnsi="Times New Roman" w:cs="Times New Roman"/>
                <w:sz w:val="24"/>
                <w:szCs w:val="24"/>
              </w:rPr>
              <w:t xml:space="preserve"> гос</w:t>
            </w:r>
            <w:r w:rsidR="00F66F57" w:rsidRPr="00C85E75">
              <w:rPr>
                <w:rFonts w:ascii="Times New Roman" w:hAnsi="Times New Roman" w:cs="Times New Roman"/>
                <w:sz w:val="24"/>
                <w:szCs w:val="24"/>
              </w:rPr>
              <w:t>уд</w:t>
            </w:r>
            <w:r w:rsidRPr="00C85E75">
              <w:rPr>
                <w:rFonts w:ascii="Times New Roman" w:hAnsi="Times New Roman" w:cs="Times New Roman"/>
                <w:sz w:val="24"/>
                <w:szCs w:val="24"/>
              </w:rPr>
              <w:t>. школы</w:t>
            </w:r>
          </w:p>
        </w:tc>
        <w:tc>
          <w:tcPr>
            <w:tcW w:w="988" w:type="dxa"/>
            <w:vMerge w:val="restart"/>
          </w:tcPr>
          <w:p w14:paraId="10AD9CA0"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Частные школы</w:t>
            </w:r>
          </w:p>
        </w:tc>
        <w:tc>
          <w:tcPr>
            <w:tcW w:w="1011" w:type="dxa"/>
            <w:vMerge w:val="restart"/>
          </w:tcPr>
          <w:p w14:paraId="6F5E5B19"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Республ. школы</w:t>
            </w:r>
          </w:p>
        </w:tc>
        <w:tc>
          <w:tcPr>
            <w:tcW w:w="809" w:type="dxa"/>
            <w:vMerge w:val="restart"/>
          </w:tcPr>
          <w:p w14:paraId="11D9B809" w14:textId="3EDC57B9"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НИШ</w:t>
            </w:r>
            <w:r w:rsidR="007949E6">
              <w:rPr>
                <w:rFonts w:ascii="Times New Roman" w:hAnsi="Times New Roman" w:cs="Times New Roman"/>
                <w:sz w:val="24"/>
                <w:szCs w:val="24"/>
                <w:vertAlign w:val="superscript"/>
              </w:rPr>
              <w:t>1</w:t>
            </w:r>
            <w:r w:rsidRPr="00C85E75">
              <w:rPr>
                <w:rFonts w:ascii="Times New Roman" w:hAnsi="Times New Roman" w:cs="Times New Roman"/>
                <w:sz w:val="24"/>
                <w:szCs w:val="24"/>
              </w:rPr>
              <w:t xml:space="preserve"> </w:t>
            </w:r>
          </w:p>
        </w:tc>
        <w:tc>
          <w:tcPr>
            <w:tcW w:w="1534" w:type="dxa"/>
            <w:vMerge w:val="restart"/>
          </w:tcPr>
          <w:p w14:paraId="6875DEC0" w14:textId="4A286988"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Ведомственные (</w:t>
            </w:r>
            <w:r w:rsidR="007949E6">
              <w:rPr>
                <w:rFonts w:ascii="Times New Roman" w:hAnsi="Times New Roman" w:cs="Times New Roman"/>
                <w:sz w:val="24"/>
                <w:szCs w:val="24"/>
              </w:rPr>
              <w:t>МО РК</w:t>
            </w:r>
            <w:r w:rsidR="007949E6" w:rsidRPr="007949E6">
              <w:rPr>
                <w:rFonts w:ascii="Times New Roman" w:hAnsi="Times New Roman" w:cs="Times New Roman"/>
                <w:sz w:val="24"/>
                <w:szCs w:val="24"/>
                <w:vertAlign w:val="superscript"/>
              </w:rPr>
              <w:t>2</w:t>
            </w:r>
            <w:r w:rsidRPr="00C85E75">
              <w:rPr>
                <w:rFonts w:ascii="Times New Roman" w:hAnsi="Times New Roman" w:cs="Times New Roman"/>
                <w:sz w:val="24"/>
                <w:szCs w:val="24"/>
              </w:rPr>
              <w:t xml:space="preserve"> и </w:t>
            </w:r>
            <w:r w:rsidR="007949E6">
              <w:rPr>
                <w:rFonts w:ascii="Times New Roman" w:hAnsi="Times New Roman" w:cs="Times New Roman"/>
                <w:sz w:val="24"/>
                <w:szCs w:val="24"/>
              </w:rPr>
              <w:t>МКС РК</w:t>
            </w:r>
            <w:r w:rsidRPr="00C85E75">
              <w:rPr>
                <w:rFonts w:ascii="Times New Roman" w:hAnsi="Times New Roman" w:cs="Times New Roman"/>
                <w:sz w:val="24"/>
                <w:szCs w:val="24"/>
              </w:rPr>
              <w:t>)</w:t>
            </w:r>
          </w:p>
        </w:tc>
        <w:tc>
          <w:tcPr>
            <w:tcW w:w="954" w:type="dxa"/>
          </w:tcPr>
          <w:p w14:paraId="0CEF4F68" w14:textId="11EFBFEB"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Спец.</w:t>
            </w:r>
            <w:r w:rsidR="00853F9E">
              <w:rPr>
                <w:rFonts w:ascii="Times New Roman" w:hAnsi="Times New Roman" w:cs="Times New Roman"/>
                <w:sz w:val="24"/>
                <w:szCs w:val="24"/>
              </w:rPr>
              <w:t xml:space="preserve"> </w:t>
            </w:r>
            <w:r w:rsidRPr="00C85E75">
              <w:rPr>
                <w:rFonts w:ascii="Times New Roman" w:hAnsi="Times New Roman" w:cs="Times New Roman"/>
                <w:sz w:val="24"/>
                <w:szCs w:val="24"/>
              </w:rPr>
              <w:t>школы</w:t>
            </w:r>
          </w:p>
        </w:tc>
        <w:tc>
          <w:tcPr>
            <w:tcW w:w="741" w:type="dxa"/>
          </w:tcPr>
          <w:p w14:paraId="53C61296"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Всего</w:t>
            </w:r>
          </w:p>
        </w:tc>
      </w:tr>
      <w:tr w:rsidR="00C85E75" w:rsidRPr="00C85E75" w14:paraId="47629D8B" w14:textId="77777777" w:rsidTr="00853F9E">
        <w:tc>
          <w:tcPr>
            <w:tcW w:w="1133" w:type="dxa"/>
          </w:tcPr>
          <w:p w14:paraId="24B99A1D"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1110" w:type="dxa"/>
          </w:tcPr>
          <w:p w14:paraId="7F5A1563" w14:textId="57AD41F9" w:rsidR="000A0294" w:rsidRPr="00C85E75" w:rsidRDefault="009D49E7"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О</w:t>
            </w:r>
            <w:r w:rsidR="000A0294" w:rsidRPr="00C85E75">
              <w:rPr>
                <w:rFonts w:ascii="Times New Roman" w:hAnsi="Times New Roman" w:cs="Times New Roman"/>
                <w:sz w:val="24"/>
                <w:szCs w:val="24"/>
              </w:rPr>
              <w:t>бщеобр</w:t>
            </w:r>
            <w:r w:rsidR="00C85E75">
              <w:rPr>
                <w:rFonts w:ascii="Times New Roman" w:hAnsi="Times New Roman" w:cs="Times New Roman"/>
                <w:sz w:val="24"/>
                <w:szCs w:val="24"/>
              </w:rPr>
              <w:t>.</w:t>
            </w:r>
          </w:p>
        </w:tc>
        <w:tc>
          <w:tcPr>
            <w:tcW w:w="1065" w:type="dxa"/>
          </w:tcPr>
          <w:p w14:paraId="3DF3626A" w14:textId="431D23DE" w:rsidR="000A0294" w:rsidRPr="00C85E75" w:rsidRDefault="009D49E7"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г</w:t>
            </w:r>
            <w:r w:rsidR="000A0294" w:rsidRPr="00C85E75">
              <w:rPr>
                <w:rFonts w:ascii="Times New Roman" w:hAnsi="Times New Roman" w:cs="Times New Roman"/>
                <w:sz w:val="24"/>
                <w:szCs w:val="24"/>
              </w:rPr>
              <w:t>имназич</w:t>
            </w:r>
          </w:p>
        </w:tc>
        <w:tc>
          <w:tcPr>
            <w:tcW w:w="988" w:type="dxa"/>
            <w:vMerge/>
          </w:tcPr>
          <w:p w14:paraId="3D134244"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1011" w:type="dxa"/>
            <w:vMerge/>
          </w:tcPr>
          <w:p w14:paraId="26E208AA"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809" w:type="dxa"/>
            <w:vMerge/>
          </w:tcPr>
          <w:p w14:paraId="4873330E"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1534" w:type="dxa"/>
            <w:vMerge/>
          </w:tcPr>
          <w:p w14:paraId="067A7D00"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954" w:type="dxa"/>
          </w:tcPr>
          <w:p w14:paraId="241A2578" w14:textId="77777777" w:rsidR="000A0294" w:rsidRPr="00C85E75" w:rsidRDefault="000A0294" w:rsidP="00853F9E">
            <w:pPr>
              <w:spacing w:after="0" w:line="240" w:lineRule="auto"/>
              <w:jc w:val="center"/>
              <w:rPr>
                <w:rFonts w:ascii="Times New Roman" w:hAnsi="Times New Roman" w:cs="Times New Roman"/>
                <w:sz w:val="24"/>
                <w:szCs w:val="24"/>
              </w:rPr>
            </w:pPr>
          </w:p>
        </w:tc>
        <w:tc>
          <w:tcPr>
            <w:tcW w:w="741" w:type="dxa"/>
          </w:tcPr>
          <w:p w14:paraId="1A1C367A" w14:textId="77777777" w:rsidR="000A0294" w:rsidRPr="00C85E75" w:rsidRDefault="000A0294" w:rsidP="00853F9E">
            <w:pPr>
              <w:spacing w:after="0" w:line="240" w:lineRule="auto"/>
              <w:jc w:val="center"/>
              <w:rPr>
                <w:rFonts w:ascii="Times New Roman" w:hAnsi="Times New Roman" w:cs="Times New Roman"/>
                <w:sz w:val="24"/>
                <w:szCs w:val="24"/>
              </w:rPr>
            </w:pPr>
          </w:p>
        </w:tc>
      </w:tr>
      <w:tr w:rsidR="00C85E75" w:rsidRPr="00C85E75" w14:paraId="7F61E61F" w14:textId="77777777" w:rsidTr="00853F9E">
        <w:tc>
          <w:tcPr>
            <w:tcW w:w="1133" w:type="dxa"/>
          </w:tcPr>
          <w:p w14:paraId="2D42B251"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Школы</w:t>
            </w:r>
          </w:p>
        </w:tc>
        <w:tc>
          <w:tcPr>
            <w:tcW w:w="1110" w:type="dxa"/>
          </w:tcPr>
          <w:p w14:paraId="72BF9893"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103</w:t>
            </w:r>
          </w:p>
        </w:tc>
        <w:tc>
          <w:tcPr>
            <w:tcW w:w="1065" w:type="dxa"/>
          </w:tcPr>
          <w:p w14:paraId="3B4D46B9"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99</w:t>
            </w:r>
          </w:p>
        </w:tc>
        <w:tc>
          <w:tcPr>
            <w:tcW w:w="988" w:type="dxa"/>
          </w:tcPr>
          <w:p w14:paraId="1E9F02D9"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49</w:t>
            </w:r>
          </w:p>
        </w:tc>
        <w:tc>
          <w:tcPr>
            <w:tcW w:w="1011" w:type="dxa"/>
          </w:tcPr>
          <w:p w14:paraId="553CF7ED"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3</w:t>
            </w:r>
          </w:p>
        </w:tc>
        <w:tc>
          <w:tcPr>
            <w:tcW w:w="809" w:type="dxa"/>
          </w:tcPr>
          <w:p w14:paraId="1F0028AD"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2</w:t>
            </w:r>
          </w:p>
        </w:tc>
        <w:tc>
          <w:tcPr>
            <w:tcW w:w="1534" w:type="dxa"/>
          </w:tcPr>
          <w:p w14:paraId="642525B3"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9</w:t>
            </w:r>
          </w:p>
        </w:tc>
        <w:tc>
          <w:tcPr>
            <w:tcW w:w="954" w:type="dxa"/>
          </w:tcPr>
          <w:p w14:paraId="00242E5B"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9</w:t>
            </w:r>
          </w:p>
        </w:tc>
        <w:tc>
          <w:tcPr>
            <w:tcW w:w="741" w:type="dxa"/>
          </w:tcPr>
          <w:p w14:paraId="071302DF"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274</w:t>
            </w:r>
          </w:p>
        </w:tc>
      </w:tr>
      <w:tr w:rsidR="00C85E75" w:rsidRPr="00C85E75" w14:paraId="77F1DB5D" w14:textId="77777777" w:rsidTr="00853F9E">
        <w:tc>
          <w:tcPr>
            <w:tcW w:w="1133" w:type="dxa"/>
          </w:tcPr>
          <w:p w14:paraId="69C63BEB"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Учащиеся</w:t>
            </w:r>
          </w:p>
        </w:tc>
        <w:tc>
          <w:tcPr>
            <w:tcW w:w="1110" w:type="dxa"/>
          </w:tcPr>
          <w:p w14:paraId="74F5A36C" w14:textId="41ECD72F"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117312</w:t>
            </w:r>
          </w:p>
        </w:tc>
        <w:tc>
          <w:tcPr>
            <w:tcW w:w="1065" w:type="dxa"/>
          </w:tcPr>
          <w:p w14:paraId="0E8B6C82" w14:textId="360803CF"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115345</w:t>
            </w:r>
          </w:p>
        </w:tc>
        <w:tc>
          <w:tcPr>
            <w:tcW w:w="988" w:type="dxa"/>
          </w:tcPr>
          <w:p w14:paraId="15CE7DE3" w14:textId="6C86FEF4"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12242</w:t>
            </w:r>
          </w:p>
        </w:tc>
        <w:tc>
          <w:tcPr>
            <w:tcW w:w="1011" w:type="dxa"/>
          </w:tcPr>
          <w:p w14:paraId="2DC02BF5"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1845</w:t>
            </w:r>
          </w:p>
        </w:tc>
        <w:tc>
          <w:tcPr>
            <w:tcW w:w="809" w:type="dxa"/>
          </w:tcPr>
          <w:p w14:paraId="40631C36"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1845</w:t>
            </w:r>
          </w:p>
        </w:tc>
        <w:tc>
          <w:tcPr>
            <w:tcW w:w="1534" w:type="dxa"/>
          </w:tcPr>
          <w:p w14:paraId="353E2506"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3070</w:t>
            </w:r>
          </w:p>
        </w:tc>
        <w:tc>
          <w:tcPr>
            <w:tcW w:w="954" w:type="dxa"/>
          </w:tcPr>
          <w:p w14:paraId="2C1F361E"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2293</w:t>
            </w:r>
          </w:p>
        </w:tc>
        <w:tc>
          <w:tcPr>
            <w:tcW w:w="741" w:type="dxa"/>
          </w:tcPr>
          <w:p w14:paraId="446BD5B2" w14:textId="77777777" w:rsidR="000A0294" w:rsidRPr="00C85E75" w:rsidRDefault="000A0294" w:rsidP="00853F9E">
            <w:pPr>
              <w:spacing w:after="0" w:line="240" w:lineRule="auto"/>
              <w:jc w:val="center"/>
              <w:rPr>
                <w:rFonts w:ascii="Times New Roman" w:hAnsi="Times New Roman" w:cs="Times New Roman"/>
                <w:sz w:val="24"/>
                <w:szCs w:val="24"/>
              </w:rPr>
            </w:pPr>
            <w:r w:rsidRPr="00C85E75">
              <w:rPr>
                <w:rFonts w:ascii="Times New Roman" w:hAnsi="Times New Roman" w:cs="Times New Roman"/>
                <w:sz w:val="24"/>
                <w:szCs w:val="24"/>
              </w:rPr>
              <w:t>253 952</w:t>
            </w:r>
          </w:p>
        </w:tc>
      </w:tr>
      <w:tr w:rsidR="007949E6" w:rsidRPr="00C85E75" w14:paraId="417E2FB0" w14:textId="77777777" w:rsidTr="00853F9E">
        <w:tc>
          <w:tcPr>
            <w:tcW w:w="9345" w:type="dxa"/>
            <w:gridSpan w:val="9"/>
          </w:tcPr>
          <w:p w14:paraId="57851FEC" w14:textId="77777777" w:rsidR="007949E6" w:rsidRPr="00DE6F47" w:rsidRDefault="007949E6" w:rsidP="00853F9E">
            <w:pPr>
              <w:spacing w:after="0" w:line="240" w:lineRule="auto"/>
              <w:rPr>
                <w:rFonts w:ascii="Times New Roman" w:hAnsi="Times New Roman" w:cs="Times New Roman"/>
                <w:sz w:val="28"/>
                <w:szCs w:val="28"/>
              </w:rPr>
            </w:pPr>
            <w:r w:rsidRPr="00DE6F47">
              <w:rPr>
                <w:rFonts w:ascii="Times New Roman" w:hAnsi="Times New Roman" w:cs="Times New Roman"/>
                <w:sz w:val="28"/>
                <w:szCs w:val="28"/>
              </w:rPr>
              <w:t>Примечания:</w:t>
            </w:r>
          </w:p>
          <w:p w14:paraId="39BA65B3" w14:textId="77777777" w:rsidR="007949E6" w:rsidRPr="00DE6F47" w:rsidRDefault="007949E6" w:rsidP="00853F9E">
            <w:pPr>
              <w:spacing w:after="0" w:line="240" w:lineRule="auto"/>
              <w:rPr>
                <w:rFonts w:ascii="Times New Roman" w:hAnsi="Times New Roman" w:cs="Times New Roman"/>
                <w:sz w:val="28"/>
                <w:szCs w:val="28"/>
              </w:rPr>
            </w:pPr>
            <w:r w:rsidRPr="00DE6F47">
              <w:rPr>
                <w:rFonts w:ascii="Times New Roman" w:hAnsi="Times New Roman" w:cs="Times New Roman"/>
                <w:sz w:val="28"/>
                <w:szCs w:val="28"/>
                <w:vertAlign w:val="superscript"/>
              </w:rPr>
              <w:t>1</w:t>
            </w:r>
            <w:r w:rsidRPr="00DE6F47">
              <w:rPr>
                <w:rFonts w:ascii="Times New Roman" w:hAnsi="Times New Roman" w:cs="Times New Roman"/>
                <w:sz w:val="28"/>
                <w:szCs w:val="28"/>
              </w:rPr>
              <w:t>НИШ – Назарбаев Интеллектуальные школы;</w:t>
            </w:r>
          </w:p>
          <w:p w14:paraId="7362374D" w14:textId="54B8B179" w:rsidR="007949E6" w:rsidRPr="00DE6F47" w:rsidRDefault="007949E6" w:rsidP="00853F9E">
            <w:pPr>
              <w:spacing w:after="0" w:line="240" w:lineRule="auto"/>
              <w:rPr>
                <w:rFonts w:ascii="Times New Roman" w:hAnsi="Times New Roman" w:cs="Times New Roman"/>
                <w:sz w:val="28"/>
                <w:szCs w:val="28"/>
              </w:rPr>
            </w:pPr>
            <w:r w:rsidRPr="00DE6F47">
              <w:rPr>
                <w:rFonts w:ascii="Times New Roman" w:hAnsi="Times New Roman" w:cs="Times New Roman"/>
                <w:sz w:val="28"/>
                <w:szCs w:val="28"/>
                <w:vertAlign w:val="superscript"/>
              </w:rPr>
              <w:t>2</w:t>
            </w:r>
            <w:r w:rsidRPr="00DE6F47">
              <w:rPr>
                <w:rFonts w:ascii="Times New Roman" w:hAnsi="Times New Roman" w:cs="Times New Roman"/>
                <w:sz w:val="28"/>
                <w:szCs w:val="28"/>
              </w:rPr>
              <w:t>МО РК – Министерство обороны Республики Казахстан</w:t>
            </w:r>
          </w:p>
          <w:p w14:paraId="40636DF5" w14:textId="3577C537" w:rsidR="007949E6" w:rsidRPr="007949E6" w:rsidRDefault="007949E6" w:rsidP="00853F9E">
            <w:pPr>
              <w:spacing w:after="0" w:line="240" w:lineRule="auto"/>
              <w:rPr>
                <w:rFonts w:ascii="Times New Roman" w:hAnsi="Times New Roman" w:cs="Times New Roman"/>
                <w:sz w:val="24"/>
                <w:szCs w:val="24"/>
              </w:rPr>
            </w:pPr>
            <w:r w:rsidRPr="00DE6F47">
              <w:rPr>
                <w:rFonts w:ascii="Times New Roman" w:hAnsi="Times New Roman" w:cs="Times New Roman"/>
                <w:sz w:val="28"/>
                <w:szCs w:val="28"/>
                <w:vertAlign w:val="superscript"/>
              </w:rPr>
              <w:t xml:space="preserve">3 </w:t>
            </w:r>
            <w:r w:rsidRPr="00DE6F47">
              <w:rPr>
                <w:rFonts w:ascii="Times New Roman" w:hAnsi="Times New Roman" w:cs="Times New Roman"/>
                <w:sz w:val="28"/>
                <w:szCs w:val="28"/>
              </w:rPr>
              <w:t>МКС РК – Министерство культуры и спорта РК</w:t>
            </w:r>
          </w:p>
        </w:tc>
      </w:tr>
    </w:tbl>
    <w:p w14:paraId="1479667D" w14:textId="77777777" w:rsidR="000A0294" w:rsidRPr="004804AA" w:rsidRDefault="000A0294" w:rsidP="005C37DF">
      <w:pPr>
        <w:spacing w:after="0" w:line="240" w:lineRule="auto"/>
        <w:ind w:firstLine="709"/>
        <w:jc w:val="center"/>
        <w:rPr>
          <w:rFonts w:ascii="Times New Roman" w:hAnsi="Times New Roman" w:cs="Times New Roman"/>
          <w:sz w:val="28"/>
          <w:szCs w:val="28"/>
        </w:rPr>
      </w:pPr>
    </w:p>
    <w:p w14:paraId="1D472A92" w14:textId="2F2D070C" w:rsidR="007A5763" w:rsidRPr="00F57A51" w:rsidRDefault="007A5763" w:rsidP="00B56356">
      <w:pPr>
        <w:spacing w:after="0" w:line="240" w:lineRule="auto"/>
        <w:ind w:firstLine="709"/>
        <w:jc w:val="both"/>
        <w:rPr>
          <w:rFonts w:ascii="Times New Roman" w:hAnsi="Times New Roman" w:cs="Times New Roman"/>
          <w:b/>
          <w:bCs/>
          <w:sz w:val="28"/>
          <w:szCs w:val="28"/>
        </w:rPr>
      </w:pPr>
      <w:r w:rsidRPr="00F57A51">
        <w:rPr>
          <w:rFonts w:ascii="Times New Roman" w:hAnsi="Times New Roman" w:cs="Times New Roman"/>
          <w:b/>
          <w:bCs/>
          <w:sz w:val="28"/>
          <w:szCs w:val="28"/>
        </w:rPr>
        <w:t xml:space="preserve">2.2 </w:t>
      </w:r>
      <w:r w:rsidR="00AE7DB6" w:rsidRPr="00F57A51">
        <w:rPr>
          <w:rFonts w:ascii="Times New Roman" w:hAnsi="Times New Roman" w:cs="Times New Roman"/>
          <w:b/>
          <w:bCs/>
          <w:sz w:val="28"/>
          <w:szCs w:val="28"/>
        </w:rPr>
        <w:t>Характеристика и расчет</w:t>
      </w:r>
      <w:r w:rsidRPr="00F57A51">
        <w:rPr>
          <w:rFonts w:ascii="Times New Roman" w:hAnsi="Times New Roman" w:cs="Times New Roman"/>
          <w:b/>
          <w:bCs/>
          <w:sz w:val="28"/>
          <w:szCs w:val="28"/>
        </w:rPr>
        <w:t xml:space="preserve"> выборк</w:t>
      </w:r>
      <w:r w:rsidR="00AE7DB6" w:rsidRPr="00F57A51">
        <w:rPr>
          <w:rFonts w:ascii="Times New Roman" w:hAnsi="Times New Roman" w:cs="Times New Roman"/>
          <w:b/>
          <w:bCs/>
          <w:sz w:val="28"/>
          <w:szCs w:val="28"/>
        </w:rPr>
        <w:t>и</w:t>
      </w:r>
    </w:p>
    <w:p w14:paraId="6359892D" w14:textId="7550C3A2" w:rsidR="00B56356" w:rsidRDefault="000A0294" w:rsidP="00B56356">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Расчет минимального размера выборки для исследования проводился в соответствии с рекомендациями протокола исследования нарушений рефракции у детей для оценки распространенности нарушений зрения, связанных с аномалиями рефракции или другими причинами (RESC) Всемирной организации здравоохранения, который основан на оценке возрастной распространенности миопии в популяции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{"citationID":"C4MsKaqH","properties":{"formattedCitation":"[239]","plainCitation":"[239]","noteIndex":0},"citationItems":[{"id":974,"uris":["http://zotero.org/users/local/XMo5Fvid/items/RDFPJUHD"],"itemData":{"id":974,"type":"document","publisher":"World Health Organization","title":"Assessment of the prevalence of visual impairment attributable to refractive error or other causes in school children. Protocol and manual Ginebra.","issued":{"date-parts":[["2007"]]}}}],"schema":"https://github.com/citation-style-language/schema/raw/master/csl-citation.json"}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[239]</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Расчет осуществлялся по формуле</w:t>
      </w:r>
      <w:r w:rsidR="00F36393" w:rsidRPr="007A5763">
        <w:rPr>
          <w:rFonts w:ascii="Times New Roman" w:hAnsi="Times New Roman" w:cs="Times New Roman"/>
          <w:sz w:val="28"/>
          <w:szCs w:val="28"/>
        </w:rPr>
        <w:t xml:space="preserve"> (1)</w:t>
      </w:r>
      <w:r w:rsidRPr="004804AA">
        <w:rPr>
          <w:rFonts w:ascii="Times New Roman" w:hAnsi="Times New Roman" w:cs="Times New Roman"/>
          <w:sz w:val="28"/>
          <w:szCs w:val="28"/>
        </w:rPr>
        <w:t>:</w:t>
      </w:r>
    </w:p>
    <w:p w14:paraId="7C2319D6" w14:textId="77777777" w:rsidR="009F6EBA" w:rsidRDefault="009F6EBA" w:rsidP="00B56356">
      <w:pPr>
        <w:spacing w:after="0" w:line="240" w:lineRule="auto"/>
        <w:ind w:firstLine="709"/>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9F6EBA" w14:paraId="6EF7D19D" w14:textId="77777777" w:rsidTr="009F6EBA">
        <w:tc>
          <w:tcPr>
            <w:tcW w:w="8642" w:type="dxa"/>
          </w:tcPr>
          <w:p w14:paraId="17100CE8" w14:textId="64964453" w:rsidR="009F6EBA" w:rsidRDefault="009F6EBA" w:rsidP="009F6EBA">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N</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r>
                          <w:rPr>
                            <w:rFonts w:ascii="Cambria Math" w:hAnsi="Cambria Math" w:cs="Times New Roman"/>
                            <w:sz w:val="28"/>
                            <w:szCs w:val="28"/>
                          </w:rPr>
                          <m:t>P</m:t>
                        </m:r>
                      </m:e>
                    </m:d>
                    <m:r>
                      <m:rPr>
                        <m:sty m:val="p"/>
                      </m:rPr>
                      <w:rPr>
                        <w:rFonts w:ascii="Cambria Math" w:hAnsi="Cambria Math" w:cs="Times New Roman"/>
                        <w:sz w:val="28"/>
                        <w:szCs w:val="28"/>
                      </w:rPr>
                      <m:t>*</m:t>
                    </m:r>
                    <m:r>
                      <w:rPr>
                        <w:rFonts w:ascii="Cambria Math" w:hAnsi="Cambria Math" w:cs="Times New Roman"/>
                        <w:sz w:val="28"/>
                        <w:szCs w:val="28"/>
                      </w:rPr>
                      <m:t>P</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den>
                </m:f>
              </m:oMath>
            </m:oMathPara>
          </w:p>
        </w:tc>
        <w:tc>
          <w:tcPr>
            <w:tcW w:w="703" w:type="dxa"/>
            <w:vAlign w:val="center"/>
          </w:tcPr>
          <w:p w14:paraId="5DCBD002" w14:textId="35420FE3" w:rsidR="009F6EBA" w:rsidRDefault="009F6EBA" w:rsidP="009F6E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77CEEC3C" w14:textId="24425835" w:rsidR="000A0294" w:rsidRPr="004804AA" w:rsidRDefault="002439FF" w:rsidP="002439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0A0294" w:rsidRPr="004804AA">
        <w:rPr>
          <w:rFonts w:ascii="Times New Roman" w:hAnsi="Times New Roman" w:cs="Times New Roman"/>
          <w:sz w:val="28"/>
          <w:szCs w:val="28"/>
        </w:rPr>
        <w:t>де</w:t>
      </w:r>
      <w:r>
        <w:rPr>
          <w:rFonts w:ascii="Times New Roman" w:hAnsi="Times New Roman" w:cs="Times New Roman"/>
          <w:sz w:val="28"/>
          <w:szCs w:val="28"/>
        </w:rPr>
        <w:t>:</w:t>
      </w:r>
    </w:p>
    <w:p w14:paraId="5849ACA9"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N – объем выборки</w:t>
      </w:r>
    </w:p>
    <w:p w14:paraId="1D71BAC5"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Z – уровень достоверности </w:t>
      </w:r>
    </w:p>
    <w:p w14:paraId="2F16D635"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P – ожидаемая распространенность миопии</w:t>
      </w:r>
    </w:p>
    <w:p w14:paraId="1A248367"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B – ошибка II рода</w:t>
      </w:r>
    </w:p>
    <w:p w14:paraId="05D1B939" w14:textId="28C34093"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Размер выборки был рассчитан на основании предыдущих показателей распространенности аномалий рефракции - 20% и 95% доверительным интервалом (Z = 1,96). Доля ошибок </w:t>
      </w:r>
      <w:r w:rsidRPr="004804AA">
        <w:rPr>
          <w:rFonts w:ascii="Times New Roman" w:hAnsi="Times New Roman" w:cs="Times New Roman"/>
          <w:sz w:val="28"/>
          <w:szCs w:val="28"/>
          <w:lang w:val="en-US"/>
        </w:rPr>
        <w:t>II</w:t>
      </w:r>
      <w:r w:rsidRPr="004804AA">
        <w:rPr>
          <w:rFonts w:ascii="Times New Roman" w:hAnsi="Times New Roman" w:cs="Times New Roman"/>
          <w:sz w:val="28"/>
          <w:szCs w:val="28"/>
        </w:rPr>
        <w:t xml:space="preserve"> рода установлена на уровне 15%. Мы использовали уровень значимости 0,05 и ожидаемый уровень непредоставления ответов и неучастия в 10%. Таким образом, </w:t>
      </w:r>
      <w:r w:rsidR="002B31C9">
        <w:rPr>
          <w:rFonts w:ascii="Times New Roman" w:hAnsi="Times New Roman" w:cs="Times New Roman"/>
          <w:sz w:val="28"/>
          <w:szCs w:val="28"/>
        </w:rPr>
        <w:t xml:space="preserve">согласно формуле </w:t>
      </w:r>
      <w:r w:rsidR="002B31C9" w:rsidRPr="00846FA1">
        <w:rPr>
          <w:rFonts w:ascii="Times New Roman" w:hAnsi="Times New Roman" w:cs="Times New Roman"/>
          <w:sz w:val="28"/>
          <w:szCs w:val="28"/>
        </w:rPr>
        <w:t>(1),</w:t>
      </w:r>
      <w:r w:rsidR="00846FA1" w:rsidRPr="00846FA1">
        <w:rPr>
          <w:rFonts w:ascii="Times New Roman" w:hAnsi="Times New Roman" w:cs="Times New Roman"/>
          <w:sz w:val="28"/>
          <w:szCs w:val="28"/>
        </w:rPr>
        <w:t xml:space="preserve"> </w:t>
      </w:r>
      <w:r w:rsidRPr="004804AA">
        <w:rPr>
          <w:rFonts w:ascii="Times New Roman" w:hAnsi="Times New Roman" w:cs="Times New Roman"/>
          <w:sz w:val="28"/>
          <w:szCs w:val="28"/>
        </w:rPr>
        <w:t>минимальный размер выборки для каждой возрастной группы</w:t>
      </w:r>
      <w:r w:rsidR="004E36A1">
        <w:rPr>
          <w:rFonts w:ascii="Times New Roman" w:hAnsi="Times New Roman" w:cs="Times New Roman"/>
          <w:sz w:val="28"/>
          <w:szCs w:val="28"/>
        </w:rPr>
        <w:t xml:space="preserve"> составил</w:t>
      </w:r>
      <w:r w:rsidRPr="004804AA">
        <w:rPr>
          <w:rFonts w:ascii="Times New Roman" w:hAnsi="Times New Roman" w:cs="Times New Roman"/>
          <w:sz w:val="28"/>
          <w:szCs w:val="28"/>
        </w:rPr>
        <w:t xml:space="preserve"> 751. В соответствии с 3-ступенчатой </w:t>
      </w:r>
      <w:r w:rsidR="004E36A1">
        <w:rPr>
          <w:rFonts w:ascii="Times New Roman" w:hAnsi="Times New Roman" w:cs="Times New Roman"/>
          <w:sz w:val="28"/>
          <w:szCs w:val="28"/>
        </w:rPr>
        <w:t xml:space="preserve">структурой среднего </w:t>
      </w:r>
      <w:r w:rsidRPr="004804AA">
        <w:rPr>
          <w:rFonts w:ascii="Times New Roman" w:hAnsi="Times New Roman" w:cs="Times New Roman"/>
          <w:sz w:val="28"/>
          <w:szCs w:val="28"/>
        </w:rPr>
        <w:lastRenderedPageBreak/>
        <w:t xml:space="preserve">образования нами было изучено 3 возрастные </w:t>
      </w:r>
      <w:r w:rsidR="004E36A1">
        <w:rPr>
          <w:rFonts w:ascii="Times New Roman" w:hAnsi="Times New Roman" w:cs="Times New Roman"/>
          <w:sz w:val="28"/>
          <w:szCs w:val="28"/>
        </w:rPr>
        <w:t>категории детей</w:t>
      </w:r>
      <w:r w:rsidRPr="004804AA">
        <w:rPr>
          <w:rFonts w:ascii="Times New Roman" w:hAnsi="Times New Roman" w:cs="Times New Roman"/>
          <w:sz w:val="28"/>
          <w:szCs w:val="28"/>
        </w:rPr>
        <w:t>: младшего, среднего и старшего звена, которые включали в себя учащихся 1, 5 и 9 классов. Согласно данным литературы, эти возрастные периоды характеризуются повышенной психоэмоциональной нагрузкой и скачкообразным нарастанием зрительной нагрузки: 1 класс – начало школьной жизни, непривычное зрительное напряжение, стресс, адаптация к новым условиям; 5 класс – изменение психо-эмоциональной и зрительной нагрузки в связи с переходом в среднее звено обучения; 9 класс – наиболее уязвимый возраст, сочетающий в себе пубертатный период, период активного роста, переход в старшее звено и соответствующие усложнение учебной программы, а также физическое, интеллектуальное и моральное переутомление.</w:t>
      </w:r>
    </w:p>
    <w:p w14:paraId="59BB7907" w14:textId="05BD15F3" w:rsidR="000A0294"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Таким образом, минимальный общий требуемый размер выборки составил всего 2260 школьников для всех 3 возрастных групп. Из общего списка городских школ случайным образом было выбрано 8 школ. Все школы являлись государственными, учебные помещения, учебные места и оснащение классов соответствовало санитарным правилам «Санитарно-эпидемиологические требования к объектам воспитания и образования детей и подростков»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{"citationID":"fWyjWZrR","properties":{"formattedCitation":"[235]","plainCitation":"[235]","noteIndex":0},"citationItems":[{"id":1683,"uris":["http://zotero.org/users/local/XMo5Fvid/items/9BQFTGPK"],"itemData":{"id":1683,"type":"webpage","abstract":"Приказ Министра здравоохранения Республики Казахстан от 16 августа 2017 года № 611. Зарегистрирован в Министерстве юстиции Республики Казахстан 13 сентября 2017 года № 15681.","language":"ru","title":"Об утверждении Санитарных правил \"Санитарно-эпидемиологические требования к объектам образования\"","URL":"https://zakon.uchet.kz/rus/docs/V1700015681","accessed":{"date-parts":[["2021",4,16]]}}}],"schema":"https://github.com/citation-style-language/schema/raw/master/csl-citation.json"}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[235]</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Уровень освещения объектов образования регулируется Департаментом научно–технической политики и нормирования Агентства по делам строительства и жилищно</w:t>
      </w:r>
      <w:r w:rsidR="00370636">
        <w:rPr>
          <w:rFonts w:ascii="Times New Roman" w:hAnsi="Times New Roman" w:cs="Times New Roman"/>
          <w:sz w:val="28"/>
          <w:szCs w:val="28"/>
        </w:rPr>
        <w:t>-</w:t>
      </w:r>
      <w:r w:rsidRPr="004804AA">
        <w:rPr>
          <w:rFonts w:ascii="Times New Roman" w:hAnsi="Times New Roman" w:cs="Times New Roman"/>
          <w:sz w:val="28"/>
          <w:szCs w:val="28"/>
        </w:rPr>
        <w:t xml:space="preserve">коммунального хозяйства Республики Казахстан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{"citationID":"KmQ0447f","properties":{"formattedCitation":"[240]","plainCitation":"[240]","noteIndex":0},"citationItems":[{"id":1695,"uris":["http://zotero.org/users/local/XMo5Fvid/items/G9NSYZST"],"itemData":{"id":1695,"type":"webpage","title":"Об утверждении строительных норм Республики Казахстан - ИПС \"Әділет\"","URL":"http://adilet.zan.kz/rus/docs/V1800017157","accessed":{"date-parts":[["2021",4,16]]}}}],"schema":"https://github.com/citation-style-language/schema/raw/master/csl-citation.json"}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[240]</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и зависит от площади учебного помещения, его назначения и степени естественного светового потока</w:t>
      </w:r>
      <w:r w:rsidRPr="005E69BD">
        <w:rPr>
          <w:rFonts w:ascii="Times New Roman" w:hAnsi="Times New Roman" w:cs="Times New Roman"/>
          <w:sz w:val="28"/>
          <w:szCs w:val="28"/>
        </w:rPr>
        <w:t xml:space="preserve">. </w:t>
      </w:r>
      <w:r w:rsidR="008944A8">
        <w:rPr>
          <w:rFonts w:ascii="Times New Roman" w:hAnsi="Times New Roman" w:cs="Times New Roman"/>
          <w:sz w:val="28"/>
          <w:szCs w:val="28"/>
        </w:rPr>
        <w:t xml:space="preserve">Нормы </w:t>
      </w:r>
      <w:r w:rsidRPr="005E69BD">
        <w:rPr>
          <w:rFonts w:ascii="Times New Roman" w:hAnsi="Times New Roman" w:cs="Times New Roman"/>
          <w:sz w:val="28"/>
          <w:szCs w:val="28"/>
        </w:rPr>
        <w:t xml:space="preserve">освещенности для школ представлены в таблице 3 </w:t>
      </w:r>
      <w:r w:rsidRPr="005E69BD">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{"citationID":"hrUpeENB","properties":{"formattedCitation":"[241; 242]","plainCitation":"[241; 242]","noteIndex":0},"citationItems":[{"id":1697,"uris":["http://zotero.org/users/local/XMo5Fvid/items/YJRIVR9U"],"itemData":{"id":1697,"type":"document","title":"osveshhenie_shkol_v_Kazaxstane.pdf","URL":"https://st.ampervolt.kz/9/2636/594/osveshhenie_shkol_v_Kazaxstane.pdf","accessed":{"date-parts":[["2021",4,16]]}},"label":"page"},{"id":1700,"uris":["http://zotero.org/users/local/XMo5Fvid/items/BUU3CJRF"],"itemData":{"id":1700,"type":"webpage","abstract":"СН РК 1.01-01-2011 «Государственные нормативы в области архитектуры, градостроительства и строительства Основные положения»","container-title":"Информационная система ПАРАГРАФ","title":"СН РК 1.01-01-2011 «Государственные нормативы в области архитектуры, градостроительства и строительства Основные положения» (с изменениями от 12.05.2014 г.) (отменен)","URL":"https://online.zakon.kz/Document/?doc_id=31274180","accessed":{"date-parts":[["2021",4,16]]}},"label":"page"}],"schema":"https://github.com/citation-style-language/schema/raw/master/csl-citation.json"} </w:instrText>
      </w:r>
      <w:r w:rsidRPr="005E69BD">
        <w:rPr>
          <w:rFonts w:ascii="Times New Roman" w:hAnsi="Times New Roman" w:cs="Times New Roman"/>
          <w:sz w:val="28"/>
          <w:szCs w:val="28"/>
        </w:rPr>
        <w:fldChar w:fldCharType="separate"/>
      </w:r>
      <w:r w:rsidR="00A00EFF" w:rsidRPr="00A00EFF">
        <w:rPr>
          <w:rFonts w:ascii="Times New Roman" w:hAnsi="Times New Roman" w:cs="Times New Roman"/>
          <w:sz w:val="28"/>
        </w:rPr>
        <w:t>[241; 242]</w:t>
      </w:r>
      <w:r w:rsidRPr="005E69BD">
        <w:rPr>
          <w:rFonts w:ascii="Times New Roman" w:hAnsi="Times New Roman" w:cs="Times New Roman"/>
          <w:sz w:val="28"/>
          <w:szCs w:val="28"/>
        </w:rPr>
        <w:fldChar w:fldCharType="end"/>
      </w:r>
      <w:r w:rsidRPr="005E69BD">
        <w:rPr>
          <w:rFonts w:ascii="Times New Roman" w:hAnsi="Times New Roman" w:cs="Times New Roman"/>
          <w:sz w:val="28"/>
          <w:szCs w:val="28"/>
        </w:rPr>
        <w:t>:</w:t>
      </w:r>
    </w:p>
    <w:p w14:paraId="150C4540" w14:textId="77777777" w:rsidR="006B6138" w:rsidRPr="005E69BD" w:rsidRDefault="006B6138" w:rsidP="005C37DF">
      <w:pPr>
        <w:spacing w:after="0" w:line="240" w:lineRule="auto"/>
        <w:ind w:firstLine="709"/>
        <w:jc w:val="both"/>
        <w:rPr>
          <w:rFonts w:ascii="Times New Roman" w:hAnsi="Times New Roman" w:cs="Times New Roman"/>
          <w:sz w:val="28"/>
          <w:szCs w:val="28"/>
        </w:rPr>
      </w:pPr>
    </w:p>
    <w:p w14:paraId="081ED9AA" w14:textId="2B7BCE9F" w:rsidR="000A0294" w:rsidRDefault="000A0294" w:rsidP="006B6138">
      <w:pPr>
        <w:spacing w:after="0" w:line="240" w:lineRule="auto"/>
        <w:jc w:val="both"/>
        <w:rPr>
          <w:rFonts w:ascii="Times New Roman" w:hAnsi="Times New Roman" w:cs="Times New Roman"/>
          <w:sz w:val="28"/>
          <w:szCs w:val="28"/>
        </w:rPr>
      </w:pPr>
      <w:r w:rsidRPr="005E69BD">
        <w:rPr>
          <w:rFonts w:ascii="Times New Roman" w:hAnsi="Times New Roman" w:cs="Times New Roman"/>
          <w:sz w:val="28"/>
          <w:szCs w:val="28"/>
        </w:rPr>
        <w:t>Таблица 3</w:t>
      </w:r>
      <w:r w:rsidR="006B6138">
        <w:rPr>
          <w:rFonts w:ascii="Times New Roman" w:hAnsi="Times New Roman" w:cs="Times New Roman"/>
          <w:sz w:val="28"/>
          <w:szCs w:val="28"/>
        </w:rPr>
        <w:t xml:space="preserve"> -</w:t>
      </w:r>
      <w:r w:rsidRPr="005E69BD">
        <w:rPr>
          <w:rFonts w:ascii="Times New Roman" w:hAnsi="Times New Roman" w:cs="Times New Roman"/>
          <w:sz w:val="28"/>
          <w:szCs w:val="28"/>
        </w:rPr>
        <w:t xml:space="preserve"> Рекомендуемые уровни освещенности при искусственном освещении учебных помещений</w:t>
      </w:r>
    </w:p>
    <w:p w14:paraId="72C741DC" w14:textId="77777777" w:rsidR="006B6138" w:rsidRPr="005E69BD" w:rsidRDefault="006B6138" w:rsidP="006B6138">
      <w:pPr>
        <w:spacing w:after="0" w:line="24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2787"/>
        <w:gridCol w:w="3450"/>
        <w:gridCol w:w="3108"/>
      </w:tblGrid>
      <w:tr w:rsidR="000A0294" w:rsidRPr="005E69BD" w14:paraId="3816DFDA" w14:textId="77777777" w:rsidTr="000441EF">
        <w:tc>
          <w:tcPr>
            <w:tcW w:w="2830" w:type="dxa"/>
          </w:tcPr>
          <w:p w14:paraId="2290F340" w14:textId="77777777" w:rsidR="000A0294" w:rsidRPr="005E69BD" w:rsidRDefault="000A0294" w:rsidP="00653A9A">
            <w:pPr>
              <w:spacing w:after="0" w:line="240" w:lineRule="auto"/>
              <w:jc w:val="center"/>
              <w:rPr>
                <w:rFonts w:ascii="Times New Roman" w:hAnsi="Times New Roman" w:cs="Times New Roman"/>
                <w:sz w:val="28"/>
                <w:szCs w:val="28"/>
              </w:rPr>
            </w:pPr>
          </w:p>
        </w:tc>
        <w:tc>
          <w:tcPr>
            <w:tcW w:w="6658" w:type="dxa"/>
            <w:gridSpan w:val="2"/>
          </w:tcPr>
          <w:p w14:paraId="2DD0A356" w14:textId="43C1FB5B"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Уровни освещенности</w:t>
            </w:r>
            <w:r w:rsidR="00BC6F65">
              <w:rPr>
                <w:rFonts w:ascii="Times New Roman" w:hAnsi="Times New Roman" w:cs="Times New Roman"/>
                <w:sz w:val="28"/>
                <w:szCs w:val="28"/>
              </w:rPr>
              <w:t>, лк</w:t>
            </w:r>
            <w:r w:rsidR="00BC6F65" w:rsidRPr="00BC6F65">
              <w:rPr>
                <w:rFonts w:ascii="Times New Roman" w:hAnsi="Times New Roman" w:cs="Times New Roman"/>
                <w:sz w:val="28"/>
                <w:szCs w:val="28"/>
                <w:vertAlign w:val="superscript"/>
              </w:rPr>
              <w:t>1</w:t>
            </w:r>
          </w:p>
        </w:tc>
      </w:tr>
      <w:tr w:rsidR="000A0294" w:rsidRPr="005E69BD" w14:paraId="2EC2E137" w14:textId="77777777" w:rsidTr="000441EF">
        <w:tc>
          <w:tcPr>
            <w:tcW w:w="2830" w:type="dxa"/>
          </w:tcPr>
          <w:p w14:paraId="60967E38" w14:textId="77777777" w:rsidR="000A0294" w:rsidRPr="005E69BD" w:rsidRDefault="000A0294" w:rsidP="00653A9A">
            <w:pPr>
              <w:spacing w:after="0" w:line="240" w:lineRule="auto"/>
              <w:jc w:val="center"/>
              <w:rPr>
                <w:rFonts w:ascii="Times New Roman" w:hAnsi="Times New Roman" w:cs="Times New Roman"/>
                <w:sz w:val="28"/>
                <w:szCs w:val="28"/>
              </w:rPr>
            </w:pPr>
          </w:p>
        </w:tc>
        <w:tc>
          <w:tcPr>
            <w:tcW w:w="3495" w:type="dxa"/>
          </w:tcPr>
          <w:p w14:paraId="087503E3"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люминесцентные лампы</w:t>
            </w:r>
          </w:p>
        </w:tc>
        <w:tc>
          <w:tcPr>
            <w:tcW w:w="3163" w:type="dxa"/>
          </w:tcPr>
          <w:p w14:paraId="0C22D144"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лампы накаливания</w:t>
            </w:r>
          </w:p>
        </w:tc>
      </w:tr>
      <w:tr w:rsidR="000A0294" w:rsidRPr="005E69BD" w14:paraId="46BEA038" w14:textId="77777777" w:rsidTr="000441EF">
        <w:tc>
          <w:tcPr>
            <w:tcW w:w="2830" w:type="dxa"/>
          </w:tcPr>
          <w:p w14:paraId="0546C7B6" w14:textId="77777777" w:rsidR="000A0294" w:rsidRPr="005E69BD" w:rsidRDefault="000A0294" w:rsidP="000441EF">
            <w:pPr>
              <w:spacing w:after="0" w:line="240" w:lineRule="auto"/>
              <w:rPr>
                <w:rFonts w:ascii="Times New Roman" w:hAnsi="Times New Roman" w:cs="Times New Roman"/>
                <w:sz w:val="28"/>
                <w:szCs w:val="28"/>
              </w:rPr>
            </w:pPr>
            <w:r w:rsidRPr="005E69BD">
              <w:rPr>
                <w:rFonts w:ascii="Times New Roman" w:hAnsi="Times New Roman" w:cs="Times New Roman"/>
                <w:sz w:val="28"/>
                <w:szCs w:val="28"/>
              </w:rPr>
              <w:t>Учебные классы</w:t>
            </w:r>
          </w:p>
        </w:tc>
        <w:tc>
          <w:tcPr>
            <w:tcW w:w="3495" w:type="dxa"/>
          </w:tcPr>
          <w:p w14:paraId="07684499"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300</w:t>
            </w:r>
          </w:p>
        </w:tc>
        <w:tc>
          <w:tcPr>
            <w:tcW w:w="3163" w:type="dxa"/>
          </w:tcPr>
          <w:p w14:paraId="461C4CE4"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150</w:t>
            </w:r>
          </w:p>
        </w:tc>
      </w:tr>
      <w:tr w:rsidR="000A0294" w:rsidRPr="005E69BD" w14:paraId="5FB53B16" w14:textId="77777777" w:rsidTr="000441EF">
        <w:tc>
          <w:tcPr>
            <w:tcW w:w="2830" w:type="dxa"/>
          </w:tcPr>
          <w:p w14:paraId="1A155292" w14:textId="77777777" w:rsidR="000A0294" w:rsidRPr="005E69BD" w:rsidRDefault="000A0294" w:rsidP="000441EF">
            <w:pPr>
              <w:spacing w:after="0" w:line="240" w:lineRule="auto"/>
              <w:rPr>
                <w:rFonts w:ascii="Times New Roman" w:hAnsi="Times New Roman" w:cs="Times New Roman"/>
                <w:sz w:val="28"/>
                <w:szCs w:val="28"/>
              </w:rPr>
            </w:pPr>
            <w:r w:rsidRPr="005E69BD">
              <w:rPr>
                <w:rFonts w:ascii="Times New Roman" w:hAnsi="Times New Roman" w:cs="Times New Roman"/>
                <w:sz w:val="28"/>
                <w:szCs w:val="28"/>
              </w:rPr>
              <w:t>Читальные залы</w:t>
            </w:r>
          </w:p>
        </w:tc>
        <w:tc>
          <w:tcPr>
            <w:tcW w:w="3495" w:type="dxa"/>
          </w:tcPr>
          <w:p w14:paraId="3F0D76CB"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500</w:t>
            </w:r>
          </w:p>
        </w:tc>
        <w:tc>
          <w:tcPr>
            <w:tcW w:w="3163" w:type="dxa"/>
          </w:tcPr>
          <w:p w14:paraId="029315BA"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300</w:t>
            </w:r>
          </w:p>
        </w:tc>
      </w:tr>
      <w:tr w:rsidR="000A0294" w:rsidRPr="005E69BD" w14:paraId="0034B19E" w14:textId="77777777" w:rsidTr="000441EF">
        <w:tc>
          <w:tcPr>
            <w:tcW w:w="2830" w:type="dxa"/>
          </w:tcPr>
          <w:p w14:paraId="46A8B5E0" w14:textId="77777777" w:rsidR="000A0294" w:rsidRPr="005E69BD" w:rsidRDefault="000A0294" w:rsidP="000441EF">
            <w:pPr>
              <w:spacing w:after="0" w:line="240" w:lineRule="auto"/>
              <w:rPr>
                <w:rFonts w:ascii="Times New Roman" w:hAnsi="Times New Roman" w:cs="Times New Roman"/>
                <w:sz w:val="28"/>
                <w:szCs w:val="28"/>
              </w:rPr>
            </w:pPr>
            <w:r w:rsidRPr="005E69BD">
              <w:rPr>
                <w:rFonts w:ascii="Times New Roman" w:hAnsi="Times New Roman" w:cs="Times New Roman"/>
                <w:sz w:val="28"/>
                <w:szCs w:val="28"/>
              </w:rPr>
              <w:t>Спортзалы</w:t>
            </w:r>
          </w:p>
        </w:tc>
        <w:tc>
          <w:tcPr>
            <w:tcW w:w="3495" w:type="dxa"/>
          </w:tcPr>
          <w:p w14:paraId="51563F05"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200</w:t>
            </w:r>
          </w:p>
        </w:tc>
        <w:tc>
          <w:tcPr>
            <w:tcW w:w="3163" w:type="dxa"/>
          </w:tcPr>
          <w:p w14:paraId="74BC8B30"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100</w:t>
            </w:r>
          </w:p>
        </w:tc>
      </w:tr>
      <w:tr w:rsidR="000A0294" w:rsidRPr="004804AA" w14:paraId="1D3CD927" w14:textId="77777777" w:rsidTr="000441EF">
        <w:tc>
          <w:tcPr>
            <w:tcW w:w="2830" w:type="dxa"/>
          </w:tcPr>
          <w:p w14:paraId="008EB393" w14:textId="77777777" w:rsidR="000A0294" w:rsidRPr="005E69BD" w:rsidRDefault="000A0294" w:rsidP="000441EF">
            <w:pPr>
              <w:spacing w:after="0" w:line="240" w:lineRule="auto"/>
              <w:rPr>
                <w:rFonts w:ascii="Times New Roman" w:hAnsi="Times New Roman" w:cs="Times New Roman"/>
                <w:sz w:val="28"/>
                <w:szCs w:val="28"/>
              </w:rPr>
            </w:pPr>
            <w:r w:rsidRPr="005E69BD">
              <w:rPr>
                <w:rFonts w:ascii="Times New Roman" w:hAnsi="Times New Roman" w:cs="Times New Roman"/>
                <w:sz w:val="28"/>
                <w:szCs w:val="28"/>
              </w:rPr>
              <w:t>Мастерские, кабинеты труда</w:t>
            </w:r>
          </w:p>
        </w:tc>
        <w:tc>
          <w:tcPr>
            <w:tcW w:w="3495" w:type="dxa"/>
          </w:tcPr>
          <w:p w14:paraId="7D8BB237" w14:textId="77777777" w:rsidR="000A0294" w:rsidRPr="005E69BD"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500 - 600</w:t>
            </w:r>
          </w:p>
        </w:tc>
        <w:tc>
          <w:tcPr>
            <w:tcW w:w="3163" w:type="dxa"/>
          </w:tcPr>
          <w:p w14:paraId="7340EFCF" w14:textId="77777777" w:rsidR="000A0294" w:rsidRPr="004804AA" w:rsidRDefault="000A0294" w:rsidP="00653A9A">
            <w:pPr>
              <w:spacing w:after="0" w:line="240" w:lineRule="auto"/>
              <w:jc w:val="center"/>
              <w:rPr>
                <w:rFonts w:ascii="Times New Roman" w:hAnsi="Times New Roman" w:cs="Times New Roman"/>
                <w:sz w:val="28"/>
                <w:szCs w:val="28"/>
              </w:rPr>
            </w:pPr>
            <w:r w:rsidRPr="005E69BD">
              <w:rPr>
                <w:rFonts w:ascii="Times New Roman" w:hAnsi="Times New Roman" w:cs="Times New Roman"/>
                <w:sz w:val="28"/>
                <w:szCs w:val="28"/>
              </w:rPr>
              <w:t>-</w:t>
            </w:r>
          </w:p>
        </w:tc>
      </w:tr>
      <w:tr w:rsidR="00BC6F65" w:rsidRPr="004804AA" w14:paraId="724DFCCE" w14:textId="77777777" w:rsidTr="00292B55">
        <w:tc>
          <w:tcPr>
            <w:tcW w:w="9488" w:type="dxa"/>
            <w:gridSpan w:val="3"/>
          </w:tcPr>
          <w:p w14:paraId="37B9E9E0" w14:textId="21B1BE26" w:rsidR="00BC6F65" w:rsidRPr="005E69BD" w:rsidRDefault="00BC6F65" w:rsidP="00BC6F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Примечание: </w:t>
            </w:r>
            <w:r>
              <w:rPr>
                <w:rFonts w:ascii="Times New Roman" w:hAnsi="Times New Roman" w:cs="Times New Roman"/>
                <w:sz w:val="28"/>
                <w:szCs w:val="28"/>
                <w:vertAlign w:val="superscript"/>
              </w:rPr>
              <w:t>1</w:t>
            </w:r>
            <w:r>
              <w:rPr>
                <w:rFonts w:ascii="Times New Roman" w:hAnsi="Times New Roman" w:cs="Times New Roman"/>
                <w:sz w:val="28"/>
                <w:szCs w:val="28"/>
              </w:rPr>
              <w:t>лк - люкс</w:t>
            </w:r>
          </w:p>
        </w:tc>
      </w:tr>
    </w:tbl>
    <w:p w14:paraId="426377DF"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7CFA8385" w14:textId="15BEF08B"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исследование были включены ученики двух различных типов школ: общеобразовательных и гимназических. Средняя наполняемость классов государственных общеобразовательных школ, в соответствии с данными Министерства науки </w:t>
      </w:r>
      <w:r w:rsidR="00914151">
        <w:rPr>
          <w:rFonts w:ascii="Times New Roman" w:hAnsi="Times New Roman" w:cs="Times New Roman"/>
          <w:sz w:val="28"/>
          <w:szCs w:val="28"/>
        </w:rPr>
        <w:t xml:space="preserve">и высшего образования </w:t>
      </w:r>
      <w:r w:rsidRPr="004804AA">
        <w:rPr>
          <w:rFonts w:ascii="Times New Roman" w:hAnsi="Times New Roman" w:cs="Times New Roman"/>
          <w:sz w:val="28"/>
          <w:szCs w:val="28"/>
        </w:rPr>
        <w:t xml:space="preserve">РК составляет: 22 ученика для начального звена, 20 учеников для среднего и старшего звена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cicFleRX","properties":{"formattedCitation":"[238]","plainCitation":"[238]","noteIndex":0},"citationItems":[{"id":1704,"uris":["http://zotero.org/users/local/XMo5Fvid/items/J42J3YGF"],"itemData":{"id":1704,"type":"document","title":"nacionalnyy_sbornik_2017-2018.pdf","URL":"http://iac.kz/sites/default/files/nacionalnyy_sbornik_2017-2018.pdf","accessed":{"date-parts":[["2021",4,16]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[238]</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w:t>
      </w:r>
      <w:r w:rsidRPr="005E69BD">
        <w:rPr>
          <w:rFonts w:ascii="Times New Roman" w:hAnsi="Times New Roman" w:cs="Times New Roman"/>
          <w:sz w:val="28"/>
          <w:szCs w:val="28"/>
        </w:rPr>
        <w:t xml:space="preserve">Количество учеников в классах городских школ колеблется в пределах 30–40 учеников, и согласно предполагаемому минимальному размеру выборки нам потребовалось 63 класса (21 класс на каждую группу). Количество </w:t>
      </w:r>
      <w:r w:rsidRPr="005E69BD">
        <w:rPr>
          <w:rFonts w:ascii="Times New Roman" w:hAnsi="Times New Roman" w:cs="Times New Roman"/>
          <w:sz w:val="28"/>
          <w:szCs w:val="28"/>
        </w:rPr>
        <w:lastRenderedPageBreak/>
        <w:t>исследуемых классов в каждой школе зависело от общего числа учащихся и колебалось от 2 до</w:t>
      </w:r>
      <w:r w:rsidR="005E69BD" w:rsidRPr="005E69BD">
        <w:rPr>
          <w:rFonts w:ascii="Times New Roman" w:hAnsi="Times New Roman" w:cs="Times New Roman"/>
          <w:sz w:val="28"/>
          <w:szCs w:val="28"/>
        </w:rPr>
        <w:t xml:space="preserve"> </w:t>
      </w:r>
      <w:r w:rsidRPr="005E69BD">
        <w:rPr>
          <w:rFonts w:ascii="Times New Roman" w:hAnsi="Times New Roman" w:cs="Times New Roman"/>
          <w:sz w:val="28"/>
          <w:szCs w:val="28"/>
        </w:rPr>
        <w:t>4 классов каждого звена (в среднем от 6 до</w:t>
      </w:r>
      <w:r w:rsidR="00EC1C69">
        <w:rPr>
          <w:rFonts w:ascii="Times New Roman" w:hAnsi="Times New Roman" w:cs="Times New Roman"/>
          <w:sz w:val="28"/>
          <w:szCs w:val="28"/>
        </w:rPr>
        <w:t xml:space="preserve"> </w:t>
      </w:r>
      <w:r w:rsidRPr="005E69BD">
        <w:rPr>
          <w:rFonts w:ascii="Times New Roman" w:hAnsi="Times New Roman" w:cs="Times New Roman"/>
          <w:sz w:val="28"/>
          <w:szCs w:val="28"/>
        </w:rPr>
        <w:t>12 классов в каждой школе). В</w:t>
      </w:r>
      <w:r w:rsidRPr="004804AA">
        <w:rPr>
          <w:rFonts w:ascii="Times New Roman" w:hAnsi="Times New Roman" w:cs="Times New Roman"/>
          <w:sz w:val="28"/>
          <w:szCs w:val="28"/>
        </w:rPr>
        <w:t xml:space="preserve"> исследование были включены все ученики выбранных классов по списку учащихся, всего 2442 ребенка, из которых в окончательный анализ вошло 2293 детей (ответ составил 93,3%). Средний возраст детей, учувствовавших в исследовании, составил 11,2 ± 3,6 лет (от 6 до 16 лет), из них 1161 (50,6%) мальчики и 1132 (49,4%) девочки. Средний возраст учащихся на разных ступенях приведен в таблице</w:t>
      </w:r>
      <w:r w:rsidR="00AF7E32">
        <w:rPr>
          <w:rFonts w:ascii="Times New Roman" w:hAnsi="Times New Roman" w:cs="Times New Roman"/>
          <w:sz w:val="28"/>
          <w:szCs w:val="28"/>
        </w:rPr>
        <w:t xml:space="preserve"> 4</w:t>
      </w:r>
      <w:r w:rsidRPr="004804AA">
        <w:rPr>
          <w:rFonts w:ascii="Times New Roman" w:hAnsi="Times New Roman" w:cs="Times New Roman"/>
          <w:sz w:val="28"/>
          <w:szCs w:val="28"/>
        </w:rPr>
        <w:t>. Между группами не было значительных различий по возрасту и полу.</w:t>
      </w:r>
    </w:p>
    <w:p w14:paraId="31947988" w14:textId="77777777" w:rsidR="000A0294" w:rsidRPr="004804AA" w:rsidRDefault="000A0294" w:rsidP="005C37DF">
      <w:pPr>
        <w:spacing w:after="0" w:line="240" w:lineRule="auto"/>
        <w:ind w:firstLine="709"/>
        <w:jc w:val="center"/>
        <w:rPr>
          <w:rFonts w:ascii="Times New Roman" w:hAnsi="Times New Roman" w:cs="Times New Roman"/>
          <w:sz w:val="28"/>
          <w:szCs w:val="28"/>
        </w:rPr>
      </w:pPr>
    </w:p>
    <w:p w14:paraId="280725C2" w14:textId="26D9D7D5" w:rsidR="000A0294" w:rsidRDefault="000A0294" w:rsidP="00E53474">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E53474">
        <w:rPr>
          <w:rFonts w:ascii="Times New Roman" w:hAnsi="Times New Roman" w:cs="Times New Roman"/>
          <w:sz w:val="28"/>
          <w:szCs w:val="28"/>
        </w:rPr>
        <w:t>4 -</w:t>
      </w:r>
      <w:r w:rsidRPr="004804AA">
        <w:rPr>
          <w:rFonts w:ascii="Times New Roman" w:hAnsi="Times New Roman" w:cs="Times New Roman"/>
          <w:sz w:val="28"/>
          <w:szCs w:val="28"/>
        </w:rPr>
        <w:t xml:space="preserve"> Возраст школьников 1, 5 и 9 классов, участвующих в исследовании</w:t>
      </w:r>
    </w:p>
    <w:p w14:paraId="30BD4527" w14:textId="77777777" w:rsidR="00E53474" w:rsidRPr="004804AA" w:rsidRDefault="00E53474" w:rsidP="00E53474">
      <w:pPr>
        <w:spacing w:after="0" w:line="240" w:lineRule="auto"/>
        <w:jc w:val="both"/>
        <w:rPr>
          <w:rFonts w:ascii="Times New Roman" w:hAnsi="Times New Roman" w:cs="Times New Roman"/>
          <w:sz w:val="28"/>
          <w:szCs w:val="28"/>
        </w:rPr>
      </w:pPr>
    </w:p>
    <w:tbl>
      <w:tblPr>
        <w:tblStyle w:val="af0"/>
        <w:tblW w:w="0" w:type="auto"/>
        <w:jc w:val="center"/>
        <w:tblLook w:val="04A0" w:firstRow="1" w:lastRow="0" w:firstColumn="1" w:lastColumn="0" w:noHBand="0" w:noVBand="1"/>
      </w:tblPr>
      <w:tblGrid>
        <w:gridCol w:w="865"/>
        <w:gridCol w:w="3103"/>
        <w:gridCol w:w="2635"/>
      </w:tblGrid>
      <w:tr w:rsidR="000A0294" w:rsidRPr="004804AA" w14:paraId="22064379" w14:textId="77777777" w:rsidTr="00292B55">
        <w:trPr>
          <w:trHeight w:val="547"/>
          <w:jc w:val="center"/>
        </w:trPr>
        <w:tc>
          <w:tcPr>
            <w:tcW w:w="846" w:type="dxa"/>
          </w:tcPr>
          <w:p w14:paraId="354044AA"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класс</w:t>
            </w:r>
          </w:p>
        </w:tc>
        <w:tc>
          <w:tcPr>
            <w:tcW w:w="3103" w:type="dxa"/>
          </w:tcPr>
          <w:p w14:paraId="7D9708A4" w14:textId="0ED185DD"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Возрастной диапазон</w:t>
            </w:r>
          </w:p>
        </w:tc>
        <w:tc>
          <w:tcPr>
            <w:tcW w:w="2635" w:type="dxa"/>
          </w:tcPr>
          <w:p w14:paraId="26338872"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Средний возраст</w:t>
            </w:r>
          </w:p>
        </w:tc>
      </w:tr>
      <w:tr w:rsidR="000A0294" w:rsidRPr="004804AA" w14:paraId="3F5E985A" w14:textId="77777777" w:rsidTr="00292B55">
        <w:trPr>
          <w:trHeight w:val="267"/>
          <w:jc w:val="center"/>
        </w:trPr>
        <w:tc>
          <w:tcPr>
            <w:tcW w:w="846" w:type="dxa"/>
          </w:tcPr>
          <w:p w14:paraId="65574C6D"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w:t>
            </w:r>
          </w:p>
        </w:tc>
        <w:tc>
          <w:tcPr>
            <w:tcW w:w="3103" w:type="dxa"/>
          </w:tcPr>
          <w:p w14:paraId="611BD8C6"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6–8 лет</w:t>
            </w:r>
          </w:p>
        </w:tc>
        <w:tc>
          <w:tcPr>
            <w:tcW w:w="2635" w:type="dxa"/>
          </w:tcPr>
          <w:p w14:paraId="04580258"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6,8 ± 0,48 лет</w:t>
            </w:r>
          </w:p>
        </w:tc>
      </w:tr>
      <w:tr w:rsidR="000A0294" w:rsidRPr="004804AA" w14:paraId="427281AD" w14:textId="77777777" w:rsidTr="00292B55">
        <w:trPr>
          <w:trHeight w:val="267"/>
          <w:jc w:val="center"/>
        </w:trPr>
        <w:tc>
          <w:tcPr>
            <w:tcW w:w="846" w:type="dxa"/>
          </w:tcPr>
          <w:p w14:paraId="2B0778E2"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5</w:t>
            </w:r>
          </w:p>
        </w:tc>
        <w:tc>
          <w:tcPr>
            <w:tcW w:w="3103" w:type="dxa"/>
          </w:tcPr>
          <w:p w14:paraId="58B534D1"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10–12 лет</w:t>
            </w:r>
          </w:p>
        </w:tc>
        <w:tc>
          <w:tcPr>
            <w:tcW w:w="2635" w:type="dxa"/>
          </w:tcPr>
          <w:p w14:paraId="3AB8110A"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11,5 ± 0,74 лет</w:t>
            </w:r>
          </w:p>
        </w:tc>
      </w:tr>
      <w:tr w:rsidR="000A0294" w:rsidRPr="004804AA" w14:paraId="2F58EEDE" w14:textId="77777777" w:rsidTr="00292B55">
        <w:trPr>
          <w:trHeight w:val="267"/>
          <w:jc w:val="center"/>
        </w:trPr>
        <w:tc>
          <w:tcPr>
            <w:tcW w:w="846" w:type="dxa"/>
          </w:tcPr>
          <w:p w14:paraId="3DE5A9E8"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w:t>
            </w:r>
          </w:p>
        </w:tc>
        <w:tc>
          <w:tcPr>
            <w:tcW w:w="3103" w:type="dxa"/>
          </w:tcPr>
          <w:p w14:paraId="2EB3FDE0"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14–16 лет</w:t>
            </w:r>
          </w:p>
        </w:tc>
        <w:tc>
          <w:tcPr>
            <w:tcW w:w="2635" w:type="dxa"/>
          </w:tcPr>
          <w:p w14:paraId="4A1F56FC"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15,5 ± 0,49 лет</w:t>
            </w:r>
          </w:p>
        </w:tc>
      </w:tr>
    </w:tbl>
    <w:p w14:paraId="7312E7A3" w14:textId="77777777" w:rsidR="00E53474" w:rsidRDefault="00E53474" w:rsidP="005C37DF">
      <w:pPr>
        <w:spacing w:after="0" w:line="240" w:lineRule="auto"/>
        <w:ind w:firstLine="709"/>
        <w:jc w:val="both"/>
        <w:rPr>
          <w:rFonts w:ascii="Times New Roman" w:hAnsi="Times New Roman" w:cs="Times New Roman"/>
          <w:sz w:val="28"/>
          <w:szCs w:val="28"/>
        </w:rPr>
      </w:pPr>
    </w:p>
    <w:p w14:paraId="39F1702D" w14:textId="4A380229"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Критерием исключения стали пассивный (непредоставление письменного информированного согласия) или активный отказ родителей от участия в исследовании, </w:t>
      </w:r>
      <w:bookmarkStart w:id="16" w:name="_Hlk100573065"/>
      <w:r w:rsidRPr="004804AA">
        <w:rPr>
          <w:rFonts w:ascii="Times New Roman" w:hAnsi="Times New Roman" w:cs="Times New Roman"/>
          <w:sz w:val="28"/>
          <w:szCs w:val="28"/>
        </w:rPr>
        <w:t xml:space="preserve">нерефракционные офтальмологические заболевания ребенка в анамнезе, а также перенесенное ранее хирургическое вмешательство на органе зрения, использование ортокератологических линз. </w:t>
      </w:r>
      <w:bookmarkEnd w:id="16"/>
      <w:r w:rsidRPr="004804AA">
        <w:rPr>
          <w:rFonts w:ascii="Times New Roman" w:hAnsi="Times New Roman" w:cs="Times New Roman"/>
          <w:sz w:val="28"/>
          <w:szCs w:val="28"/>
        </w:rPr>
        <w:t xml:space="preserve">С учетом относительной однородности условий жизни в пределах города и одинаковых условий обучения, мы не делили обследуемых по этническому, социально-экономическому и географическому статусу. Характеристика исследуемой выборки по группам в зависимости от их уровня обучения, пола и типа школы представлена в таблице </w:t>
      </w:r>
      <w:r w:rsidR="008E1E65">
        <w:rPr>
          <w:rFonts w:ascii="Times New Roman" w:hAnsi="Times New Roman" w:cs="Times New Roman"/>
          <w:sz w:val="28"/>
          <w:szCs w:val="28"/>
        </w:rPr>
        <w:t>5.</w:t>
      </w:r>
    </w:p>
    <w:p w14:paraId="05365B79" w14:textId="77777777" w:rsidR="00E53474" w:rsidRDefault="00E53474" w:rsidP="00E53474">
      <w:pPr>
        <w:spacing w:after="0" w:line="240" w:lineRule="auto"/>
        <w:rPr>
          <w:rFonts w:ascii="Times New Roman" w:hAnsi="Times New Roman" w:cs="Times New Roman"/>
          <w:sz w:val="28"/>
          <w:szCs w:val="28"/>
        </w:rPr>
      </w:pPr>
    </w:p>
    <w:p w14:paraId="7E695140" w14:textId="610B8C66" w:rsidR="000A0294" w:rsidRDefault="000A0294" w:rsidP="00E53474">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E53474">
        <w:rPr>
          <w:rFonts w:ascii="Times New Roman" w:hAnsi="Times New Roman" w:cs="Times New Roman"/>
          <w:sz w:val="28"/>
          <w:szCs w:val="28"/>
        </w:rPr>
        <w:t xml:space="preserve">5 - </w:t>
      </w:r>
      <w:r w:rsidRPr="004804AA">
        <w:rPr>
          <w:rFonts w:ascii="Times New Roman" w:hAnsi="Times New Roman" w:cs="Times New Roman"/>
          <w:sz w:val="28"/>
          <w:szCs w:val="28"/>
        </w:rPr>
        <w:t>Характеристика обследуемых детей по возрасту, полу и типу школы</w:t>
      </w:r>
    </w:p>
    <w:p w14:paraId="11DC6A9B" w14:textId="77777777" w:rsidR="008E1E65" w:rsidRPr="004804AA" w:rsidRDefault="008E1E65" w:rsidP="00E53474">
      <w:pPr>
        <w:spacing w:after="0" w:line="240" w:lineRule="auto"/>
        <w:jc w:val="both"/>
        <w:rPr>
          <w:rFonts w:ascii="Times New Roman" w:hAnsi="Times New Roman" w:cs="Times New Roman"/>
          <w:sz w:val="28"/>
          <w:szCs w:val="28"/>
        </w:rPr>
      </w:pPr>
    </w:p>
    <w:tbl>
      <w:tblPr>
        <w:tblStyle w:val="af0"/>
        <w:tblW w:w="9357" w:type="dxa"/>
        <w:tblLook w:val="04A0" w:firstRow="1" w:lastRow="0" w:firstColumn="1" w:lastColumn="0" w:noHBand="0" w:noVBand="1"/>
      </w:tblPr>
      <w:tblGrid>
        <w:gridCol w:w="1791"/>
        <w:gridCol w:w="2882"/>
        <w:gridCol w:w="1093"/>
        <w:gridCol w:w="1283"/>
        <w:gridCol w:w="1153"/>
        <w:gridCol w:w="1155"/>
      </w:tblGrid>
      <w:tr w:rsidR="000A0294" w:rsidRPr="004804AA" w14:paraId="22F19A46" w14:textId="77777777" w:rsidTr="00292B55">
        <w:trPr>
          <w:trHeight w:val="296"/>
        </w:trPr>
        <w:tc>
          <w:tcPr>
            <w:tcW w:w="1791" w:type="dxa"/>
            <w:shd w:val="clear" w:color="auto" w:fill="auto"/>
            <w:vAlign w:val="center"/>
          </w:tcPr>
          <w:p w14:paraId="295F1277"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Группы</w:t>
            </w:r>
          </w:p>
        </w:tc>
        <w:tc>
          <w:tcPr>
            <w:tcW w:w="2882" w:type="dxa"/>
            <w:shd w:val="clear" w:color="auto" w:fill="auto"/>
            <w:vAlign w:val="center"/>
          </w:tcPr>
          <w:p w14:paraId="3F542FC7"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Школы</w:t>
            </w:r>
          </w:p>
        </w:tc>
        <w:tc>
          <w:tcPr>
            <w:tcW w:w="1093" w:type="dxa"/>
            <w:shd w:val="clear" w:color="auto" w:fill="auto"/>
            <w:vAlign w:val="center"/>
          </w:tcPr>
          <w:p w14:paraId="1BB9C940"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Всего</w:t>
            </w:r>
          </w:p>
        </w:tc>
        <w:tc>
          <w:tcPr>
            <w:tcW w:w="1283" w:type="dxa"/>
            <w:shd w:val="clear" w:color="auto" w:fill="auto"/>
            <w:vAlign w:val="center"/>
          </w:tcPr>
          <w:p w14:paraId="416A5B91"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1</w:t>
            </w:r>
            <w:r w:rsidRPr="004804AA">
              <w:rPr>
                <w:rFonts w:ascii="Times New Roman" w:hAnsi="Times New Roman" w:cs="Times New Roman"/>
                <w:sz w:val="28"/>
                <w:szCs w:val="28"/>
              </w:rPr>
              <w:t xml:space="preserve"> класс</w:t>
            </w:r>
          </w:p>
        </w:tc>
        <w:tc>
          <w:tcPr>
            <w:tcW w:w="1153" w:type="dxa"/>
            <w:shd w:val="clear" w:color="auto" w:fill="auto"/>
            <w:vAlign w:val="center"/>
          </w:tcPr>
          <w:p w14:paraId="28478FCF"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5</w:t>
            </w:r>
            <w:r w:rsidRPr="004804AA">
              <w:rPr>
                <w:rFonts w:ascii="Times New Roman" w:hAnsi="Times New Roman" w:cs="Times New Roman"/>
                <w:sz w:val="28"/>
                <w:szCs w:val="28"/>
              </w:rPr>
              <w:t xml:space="preserve"> класс</w:t>
            </w:r>
          </w:p>
        </w:tc>
        <w:tc>
          <w:tcPr>
            <w:tcW w:w="1155" w:type="dxa"/>
            <w:shd w:val="clear" w:color="auto" w:fill="auto"/>
            <w:vAlign w:val="center"/>
          </w:tcPr>
          <w:p w14:paraId="5C64D2A3"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9</w:t>
            </w:r>
            <w:r w:rsidRPr="004804AA">
              <w:rPr>
                <w:rFonts w:ascii="Times New Roman" w:hAnsi="Times New Roman" w:cs="Times New Roman"/>
                <w:sz w:val="28"/>
                <w:szCs w:val="28"/>
              </w:rPr>
              <w:t xml:space="preserve"> класс</w:t>
            </w:r>
          </w:p>
        </w:tc>
      </w:tr>
      <w:tr w:rsidR="000A0294" w:rsidRPr="004804AA" w14:paraId="190C869A" w14:textId="77777777" w:rsidTr="00292B55">
        <w:trPr>
          <w:trHeight w:val="283"/>
        </w:trPr>
        <w:tc>
          <w:tcPr>
            <w:tcW w:w="1791" w:type="dxa"/>
            <w:vMerge w:val="restart"/>
            <w:shd w:val="clear" w:color="auto" w:fill="auto"/>
            <w:vAlign w:val="center"/>
          </w:tcPr>
          <w:p w14:paraId="29B827DA"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Всего</w:t>
            </w:r>
            <w:r w:rsidRPr="004804AA">
              <w:rPr>
                <w:rFonts w:ascii="Times New Roman" w:hAnsi="Times New Roman" w:cs="Times New Roman"/>
                <w:sz w:val="28"/>
                <w:szCs w:val="28"/>
                <w:lang w:val="en-US"/>
              </w:rPr>
              <w:t>, N (%)</w:t>
            </w:r>
          </w:p>
        </w:tc>
        <w:tc>
          <w:tcPr>
            <w:tcW w:w="2882" w:type="dxa"/>
            <w:shd w:val="clear" w:color="auto" w:fill="auto"/>
            <w:vAlign w:val="center"/>
          </w:tcPr>
          <w:p w14:paraId="18DDA76C" w14:textId="4DB8D9E5"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000A0294" w:rsidRPr="004804AA">
              <w:rPr>
                <w:rFonts w:ascii="Times New Roman" w:hAnsi="Times New Roman" w:cs="Times New Roman"/>
                <w:sz w:val="28"/>
                <w:szCs w:val="28"/>
              </w:rPr>
              <w:t>се типы школ</w:t>
            </w:r>
          </w:p>
        </w:tc>
        <w:tc>
          <w:tcPr>
            <w:tcW w:w="1093" w:type="dxa"/>
            <w:vMerge w:val="restart"/>
            <w:shd w:val="clear" w:color="auto" w:fill="auto"/>
            <w:vAlign w:val="center"/>
          </w:tcPr>
          <w:p w14:paraId="0A6C89D1"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rPr>
              <w:t>2293</w:t>
            </w:r>
            <w:r w:rsidRPr="004804AA">
              <w:rPr>
                <w:rFonts w:ascii="Times New Roman" w:hAnsi="Times New Roman" w:cs="Times New Roman"/>
                <w:sz w:val="28"/>
                <w:szCs w:val="28"/>
                <w:lang w:val="en-US"/>
              </w:rPr>
              <w:t xml:space="preserve"> (100)</w:t>
            </w:r>
          </w:p>
        </w:tc>
        <w:tc>
          <w:tcPr>
            <w:tcW w:w="1283" w:type="dxa"/>
            <w:shd w:val="clear" w:color="auto" w:fill="auto"/>
            <w:vAlign w:val="center"/>
          </w:tcPr>
          <w:p w14:paraId="00EFD785"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769</w:t>
            </w:r>
          </w:p>
        </w:tc>
        <w:tc>
          <w:tcPr>
            <w:tcW w:w="1153" w:type="dxa"/>
            <w:shd w:val="clear" w:color="auto" w:fill="auto"/>
            <w:vAlign w:val="center"/>
          </w:tcPr>
          <w:p w14:paraId="0C2BAC76"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768</w:t>
            </w:r>
          </w:p>
        </w:tc>
        <w:tc>
          <w:tcPr>
            <w:tcW w:w="1155" w:type="dxa"/>
            <w:shd w:val="clear" w:color="auto" w:fill="auto"/>
            <w:vAlign w:val="center"/>
          </w:tcPr>
          <w:p w14:paraId="0283E59E"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756</w:t>
            </w:r>
          </w:p>
        </w:tc>
      </w:tr>
      <w:tr w:rsidR="000A0294" w:rsidRPr="004804AA" w14:paraId="33C55A36" w14:textId="77777777" w:rsidTr="00292B55">
        <w:trPr>
          <w:trHeight w:val="320"/>
        </w:trPr>
        <w:tc>
          <w:tcPr>
            <w:tcW w:w="1791" w:type="dxa"/>
            <w:vMerge/>
            <w:shd w:val="clear" w:color="auto" w:fill="auto"/>
            <w:vAlign w:val="center"/>
          </w:tcPr>
          <w:p w14:paraId="10947384"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2882" w:type="dxa"/>
            <w:shd w:val="clear" w:color="auto" w:fill="auto"/>
            <w:vAlign w:val="center"/>
          </w:tcPr>
          <w:p w14:paraId="2A204C35" w14:textId="6428BF33"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000A0294" w:rsidRPr="004804AA">
              <w:rPr>
                <w:rFonts w:ascii="Times New Roman" w:hAnsi="Times New Roman" w:cs="Times New Roman"/>
                <w:sz w:val="28"/>
                <w:szCs w:val="28"/>
              </w:rPr>
              <w:t>имназии</w:t>
            </w:r>
          </w:p>
        </w:tc>
        <w:tc>
          <w:tcPr>
            <w:tcW w:w="1093" w:type="dxa"/>
            <w:vMerge/>
            <w:shd w:val="clear" w:color="auto" w:fill="auto"/>
            <w:vAlign w:val="center"/>
          </w:tcPr>
          <w:p w14:paraId="341866C2" w14:textId="77777777" w:rsidR="000A0294" w:rsidRPr="004804AA" w:rsidRDefault="000A0294" w:rsidP="00653A9A">
            <w:pPr>
              <w:spacing w:after="0" w:line="240" w:lineRule="auto"/>
              <w:jc w:val="center"/>
              <w:rPr>
                <w:rFonts w:ascii="Times New Roman" w:hAnsi="Times New Roman" w:cs="Times New Roman"/>
                <w:sz w:val="28"/>
                <w:szCs w:val="28"/>
                <w:lang w:val="en-US"/>
              </w:rPr>
            </w:pPr>
          </w:p>
        </w:tc>
        <w:tc>
          <w:tcPr>
            <w:tcW w:w="3591" w:type="dxa"/>
            <w:gridSpan w:val="3"/>
            <w:shd w:val="clear" w:color="auto" w:fill="auto"/>
            <w:vAlign w:val="center"/>
          </w:tcPr>
          <w:p w14:paraId="272AE5F9"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1062 (46,3)</w:t>
            </w:r>
          </w:p>
        </w:tc>
      </w:tr>
      <w:tr w:rsidR="000A0294" w:rsidRPr="004804AA" w14:paraId="79FA8041" w14:textId="77777777" w:rsidTr="00292B55">
        <w:trPr>
          <w:trHeight w:val="308"/>
        </w:trPr>
        <w:tc>
          <w:tcPr>
            <w:tcW w:w="1791" w:type="dxa"/>
            <w:vMerge/>
            <w:shd w:val="clear" w:color="auto" w:fill="auto"/>
            <w:vAlign w:val="center"/>
          </w:tcPr>
          <w:p w14:paraId="35229628"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2882" w:type="dxa"/>
            <w:shd w:val="clear" w:color="auto" w:fill="auto"/>
            <w:vAlign w:val="center"/>
          </w:tcPr>
          <w:p w14:paraId="0AE75822" w14:textId="3BAE065B"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A0294" w:rsidRPr="004804AA">
              <w:rPr>
                <w:rFonts w:ascii="Times New Roman" w:hAnsi="Times New Roman" w:cs="Times New Roman"/>
                <w:sz w:val="28"/>
                <w:szCs w:val="28"/>
              </w:rPr>
              <w:t>бщеобразовательные</w:t>
            </w:r>
          </w:p>
        </w:tc>
        <w:tc>
          <w:tcPr>
            <w:tcW w:w="1093" w:type="dxa"/>
            <w:vMerge/>
            <w:shd w:val="clear" w:color="auto" w:fill="auto"/>
            <w:vAlign w:val="center"/>
          </w:tcPr>
          <w:p w14:paraId="682CD924" w14:textId="77777777" w:rsidR="000A0294" w:rsidRPr="004804AA" w:rsidRDefault="000A0294" w:rsidP="00653A9A">
            <w:pPr>
              <w:spacing w:after="0" w:line="240" w:lineRule="auto"/>
              <w:jc w:val="center"/>
              <w:rPr>
                <w:rFonts w:ascii="Times New Roman" w:hAnsi="Times New Roman" w:cs="Times New Roman"/>
                <w:sz w:val="28"/>
                <w:szCs w:val="28"/>
                <w:lang w:val="en-US"/>
              </w:rPr>
            </w:pPr>
          </w:p>
        </w:tc>
        <w:tc>
          <w:tcPr>
            <w:tcW w:w="3591" w:type="dxa"/>
            <w:gridSpan w:val="3"/>
            <w:shd w:val="clear" w:color="auto" w:fill="auto"/>
            <w:vAlign w:val="center"/>
          </w:tcPr>
          <w:p w14:paraId="1B9338E6"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1231 (53,</w:t>
            </w:r>
            <w:r w:rsidRPr="004804AA">
              <w:rPr>
                <w:rFonts w:ascii="Times New Roman" w:hAnsi="Times New Roman" w:cs="Times New Roman"/>
                <w:sz w:val="28"/>
                <w:szCs w:val="28"/>
                <w:lang w:val="en-US"/>
              </w:rPr>
              <w:t>7</w:t>
            </w:r>
            <w:r w:rsidRPr="004804AA">
              <w:rPr>
                <w:rFonts w:ascii="Times New Roman" w:hAnsi="Times New Roman" w:cs="Times New Roman"/>
                <w:sz w:val="28"/>
                <w:szCs w:val="28"/>
              </w:rPr>
              <w:t>)</w:t>
            </w:r>
          </w:p>
        </w:tc>
      </w:tr>
      <w:tr w:rsidR="000A0294" w:rsidRPr="004804AA" w14:paraId="650EA9D0" w14:textId="77777777" w:rsidTr="00292B55">
        <w:trPr>
          <w:trHeight w:val="283"/>
        </w:trPr>
        <w:tc>
          <w:tcPr>
            <w:tcW w:w="1791" w:type="dxa"/>
            <w:vMerge w:val="restart"/>
            <w:shd w:val="clear" w:color="auto" w:fill="auto"/>
            <w:vAlign w:val="center"/>
          </w:tcPr>
          <w:p w14:paraId="1A17405E"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Мальчики</w:t>
            </w:r>
            <w:r w:rsidRPr="004804AA">
              <w:rPr>
                <w:rFonts w:ascii="Times New Roman" w:hAnsi="Times New Roman" w:cs="Times New Roman"/>
                <w:sz w:val="28"/>
                <w:szCs w:val="28"/>
                <w:lang w:val="en-US"/>
              </w:rPr>
              <w:t>, N (%)</w:t>
            </w:r>
          </w:p>
        </w:tc>
        <w:tc>
          <w:tcPr>
            <w:tcW w:w="2882" w:type="dxa"/>
            <w:shd w:val="clear" w:color="auto" w:fill="auto"/>
            <w:vAlign w:val="center"/>
          </w:tcPr>
          <w:p w14:paraId="090D0847" w14:textId="32DF6460"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000A0294" w:rsidRPr="004804AA">
              <w:rPr>
                <w:rFonts w:ascii="Times New Roman" w:hAnsi="Times New Roman" w:cs="Times New Roman"/>
                <w:sz w:val="28"/>
                <w:szCs w:val="28"/>
              </w:rPr>
              <w:t>се типы школ</w:t>
            </w:r>
          </w:p>
        </w:tc>
        <w:tc>
          <w:tcPr>
            <w:tcW w:w="1093" w:type="dxa"/>
            <w:vMerge w:val="restart"/>
            <w:shd w:val="clear" w:color="auto" w:fill="auto"/>
            <w:vAlign w:val="center"/>
          </w:tcPr>
          <w:p w14:paraId="54035320"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rPr>
              <w:t>1161 (50,</w:t>
            </w:r>
            <w:r w:rsidRPr="004804AA">
              <w:rPr>
                <w:rFonts w:ascii="Times New Roman" w:hAnsi="Times New Roman" w:cs="Times New Roman"/>
                <w:sz w:val="28"/>
                <w:szCs w:val="28"/>
                <w:lang w:val="en-US"/>
              </w:rPr>
              <w:t>6</w:t>
            </w:r>
            <w:r w:rsidRPr="004804AA">
              <w:rPr>
                <w:rFonts w:ascii="Times New Roman" w:hAnsi="Times New Roman" w:cs="Times New Roman"/>
                <w:sz w:val="28"/>
                <w:szCs w:val="28"/>
              </w:rPr>
              <w:t>)</w:t>
            </w:r>
          </w:p>
        </w:tc>
        <w:tc>
          <w:tcPr>
            <w:tcW w:w="1283" w:type="dxa"/>
            <w:shd w:val="clear" w:color="auto" w:fill="auto"/>
            <w:vAlign w:val="center"/>
          </w:tcPr>
          <w:p w14:paraId="1E98C978"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387</w:t>
            </w:r>
          </w:p>
        </w:tc>
        <w:tc>
          <w:tcPr>
            <w:tcW w:w="1153" w:type="dxa"/>
            <w:shd w:val="clear" w:color="auto" w:fill="auto"/>
            <w:vAlign w:val="center"/>
          </w:tcPr>
          <w:p w14:paraId="6675C813"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404</w:t>
            </w:r>
          </w:p>
        </w:tc>
        <w:tc>
          <w:tcPr>
            <w:tcW w:w="1155" w:type="dxa"/>
            <w:shd w:val="clear" w:color="auto" w:fill="auto"/>
            <w:vAlign w:val="center"/>
          </w:tcPr>
          <w:p w14:paraId="4F8965AE"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370</w:t>
            </w:r>
          </w:p>
        </w:tc>
      </w:tr>
      <w:tr w:rsidR="000A0294" w:rsidRPr="004804AA" w14:paraId="5847E323" w14:textId="77777777" w:rsidTr="00292B55">
        <w:trPr>
          <w:trHeight w:val="296"/>
        </w:trPr>
        <w:tc>
          <w:tcPr>
            <w:tcW w:w="1791" w:type="dxa"/>
            <w:vMerge/>
            <w:shd w:val="clear" w:color="auto" w:fill="auto"/>
            <w:vAlign w:val="center"/>
          </w:tcPr>
          <w:p w14:paraId="7E957616" w14:textId="77777777" w:rsidR="000A0294" w:rsidRPr="004804AA" w:rsidRDefault="000A0294" w:rsidP="00653A9A">
            <w:pPr>
              <w:spacing w:after="0" w:line="240" w:lineRule="auto"/>
              <w:jc w:val="center"/>
              <w:rPr>
                <w:rFonts w:ascii="Times New Roman" w:hAnsi="Times New Roman" w:cs="Times New Roman"/>
                <w:sz w:val="28"/>
                <w:szCs w:val="28"/>
                <w:lang w:val="en-US"/>
              </w:rPr>
            </w:pPr>
          </w:p>
        </w:tc>
        <w:tc>
          <w:tcPr>
            <w:tcW w:w="2882" w:type="dxa"/>
            <w:shd w:val="clear" w:color="auto" w:fill="auto"/>
            <w:vAlign w:val="center"/>
          </w:tcPr>
          <w:p w14:paraId="46E02EEA" w14:textId="7520DCD6"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000A0294" w:rsidRPr="004804AA">
              <w:rPr>
                <w:rFonts w:ascii="Times New Roman" w:hAnsi="Times New Roman" w:cs="Times New Roman"/>
                <w:sz w:val="28"/>
                <w:szCs w:val="28"/>
              </w:rPr>
              <w:t>имназии</w:t>
            </w:r>
          </w:p>
        </w:tc>
        <w:tc>
          <w:tcPr>
            <w:tcW w:w="1093" w:type="dxa"/>
            <w:vMerge/>
            <w:shd w:val="clear" w:color="auto" w:fill="auto"/>
            <w:vAlign w:val="center"/>
          </w:tcPr>
          <w:p w14:paraId="2174A9D7"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1283" w:type="dxa"/>
            <w:shd w:val="clear" w:color="auto" w:fill="auto"/>
            <w:vAlign w:val="center"/>
          </w:tcPr>
          <w:p w14:paraId="13A466FD"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166</w:t>
            </w:r>
          </w:p>
        </w:tc>
        <w:tc>
          <w:tcPr>
            <w:tcW w:w="1153" w:type="dxa"/>
            <w:shd w:val="clear" w:color="auto" w:fill="auto"/>
            <w:vAlign w:val="center"/>
          </w:tcPr>
          <w:p w14:paraId="250FAF22"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194</w:t>
            </w:r>
          </w:p>
        </w:tc>
        <w:tc>
          <w:tcPr>
            <w:tcW w:w="1155" w:type="dxa"/>
            <w:shd w:val="clear" w:color="auto" w:fill="auto"/>
            <w:vAlign w:val="center"/>
          </w:tcPr>
          <w:p w14:paraId="65BE802B"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160</w:t>
            </w:r>
          </w:p>
        </w:tc>
      </w:tr>
      <w:tr w:rsidR="000A0294" w:rsidRPr="004804AA" w14:paraId="7640059F" w14:textId="77777777" w:rsidTr="00292B55">
        <w:trPr>
          <w:trHeight w:val="283"/>
        </w:trPr>
        <w:tc>
          <w:tcPr>
            <w:tcW w:w="1791" w:type="dxa"/>
            <w:vMerge/>
            <w:shd w:val="clear" w:color="auto" w:fill="auto"/>
            <w:vAlign w:val="center"/>
          </w:tcPr>
          <w:p w14:paraId="58E196AC" w14:textId="77777777" w:rsidR="000A0294" w:rsidRPr="004804AA" w:rsidRDefault="000A0294" w:rsidP="00653A9A">
            <w:pPr>
              <w:spacing w:after="0" w:line="240" w:lineRule="auto"/>
              <w:jc w:val="center"/>
              <w:rPr>
                <w:rFonts w:ascii="Times New Roman" w:hAnsi="Times New Roman" w:cs="Times New Roman"/>
                <w:sz w:val="28"/>
                <w:szCs w:val="28"/>
                <w:lang w:val="en-US"/>
              </w:rPr>
            </w:pPr>
          </w:p>
        </w:tc>
        <w:tc>
          <w:tcPr>
            <w:tcW w:w="2882" w:type="dxa"/>
            <w:shd w:val="clear" w:color="auto" w:fill="auto"/>
            <w:vAlign w:val="center"/>
          </w:tcPr>
          <w:p w14:paraId="615E1FF8" w14:textId="06F8EDFB"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A0294" w:rsidRPr="004804AA">
              <w:rPr>
                <w:rFonts w:ascii="Times New Roman" w:hAnsi="Times New Roman" w:cs="Times New Roman"/>
                <w:sz w:val="28"/>
                <w:szCs w:val="28"/>
              </w:rPr>
              <w:t>бщеобразовательные</w:t>
            </w:r>
          </w:p>
        </w:tc>
        <w:tc>
          <w:tcPr>
            <w:tcW w:w="1093" w:type="dxa"/>
            <w:vMerge/>
            <w:shd w:val="clear" w:color="auto" w:fill="auto"/>
            <w:vAlign w:val="center"/>
          </w:tcPr>
          <w:p w14:paraId="72FD64FA"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1283" w:type="dxa"/>
            <w:shd w:val="clear" w:color="auto" w:fill="auto"/>
            <w:vAlign w:val="center"/>
          </w:tcPr>
          <w:p w14:paraId="7E17BCA2"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221</w:t>
            </w:r>
          </w:p>
        </w:tc>
        <w:tc>
          <w:tcPr>
            <w:tcW w:w="1153" w:type="dxa"/>
            <w:shd w:val="clear" w:color="auto" w:fill="auto"/>
            <w:vAlign w:val="center"/>
          </w:tcPr>
          <w:p w14:paraId="6FAC8FC1"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210</w:t>
            </w:r>
          </w:p>
        </w:tc>
        <w:tc>
          <w:tcPr>
            <w:tcW w:w="1155" w:type="dxa"/>
            <w:shd w:val="clear" w:color="auto" w:fill="auto"/>
            <w:vAlign w:val="center"/>
          </w:tcPr>
          <w:p w14:paraId="4A13D786"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210</w:t>
            </w:r>
          </w:p>
        </w:tc>
      </w:tr>
      <w:tr w:rsidR="000A0294" w:rsidRPr="004804AA" w14:paraId="313E6634" w14:textId="77777777" w:rsidTr="00292B55">
        <w:trPr>
          <w:trHeight w:val="283"/>
        </w:trPr>
        <w:tc>
          <w:tcPr>
            <w:tcW w:w="1791" w:type="dxa"/>
            <w:vMerge w:val="restart"/>
            <w:shd w:val="clear" w:color="auto" w:fill="auto"/>
            <w:vAlign w:val="center"/>
          </w:tcPr>
          <w:p w14:paraId="11248BB7"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rPr>
              <w:t>Девочки</w:t>
            </w:r>
            <w:r w:rsidRPr="004804AA">
              <w:rPr>
                <w:rFonts w:ascii="Times New Roman" w:hAnsi="Times New Roman" w:cs="Times New Roman"/>
                <w:sz w:val="28"/>
                <w:szCs w:val="28"/>
                <w:lang w:val="en-US"/>
              </w:rPr>
              <w:t>, N (%)</w:t>
            </w:r>
          </w:p>
        </w:tc>
        <w:tc>
          <w:tcPr>
            <w:tcW w:w="2882" w:type="dxa"/>
            <w:shd w:val="clear" w:color="auto" w:fill="auto"/>
            <w:vAlign w:val="center"/>
          </w:tcPr>
          <w:p w14:paraId="4210B523" w14:textId="0667F934"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000A0294" w:rsidRPr="004804AA">
              <w:rPr>
                <w:rFonts w:ascii="Times New Roman" w:hAnsi="Times New Roman" w:cs="Times New Roman"/>
                <w:sz w:val="28"/>
                <w:szCs w:val="28"/>
              </w:rPr>
              <w:t>се типы школ</w:t>
            </w:r>
          </w:p>
        </w:tc>
        <w:tc>
          <w:tcPr>
            <w:tcW w:w="1093" w:type="dxa"/>
            <w:vMerge w:val="restart"/>
            <w:shd w:val="clear" w:color="auto" w:fill="auto"/>
            <w:vAlign w:val="center"/>
          </w:tcPr>
          <w:p w14:paraId="1601C866"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rPr>
              <w:t>1132 (49,</w:t>
            </w:r>
            <w:r w:rsidRPr="004804AA">
              <w:rPr>
                <w:rFonts w:ascii="Times New Roman" w:hAnsi="Times New Roman" w:cs="Times New Roman"/>
                <w:sz w:val="28"/>
                <w:szCs w:val="28"/>
                <w:lang w:val="en-US"/>
              </w:rPr>
              <w:t>4</w:t>
            </w:r>
            <w:r w:rsidRPr="004804AA">
              <w:rPr>
                <w:rFonts w:ascii="Times New Roman" w:hAnsi="Times New Roman" w:cs="Times New Roman"/>
                <w:sz w:val="28"/>
                <w:szCs w:val="28"/>
              </w:rPr>
              <w:t>)</w:t>
            </w:r>
          </w:p>
        </w:tc>
        <w:tc>
          <w:tcPr>
            <w:tcW w:w="1283" w:type="dxa"/>
            <w:shd w:val="clear" w:color="auto" w:fill="auto"/>
            <w:vAlign w:val="center"/>
          </w:tcPr>
          <w:p w14:paraId="5D71ABDF"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382</w:t>
            </w:r>
          </w:p>
        </w:tc>
        <w:tc>
          <w:tcPr>
            <w:tcW w:w="1153" w:type="dxa"/>
            <w:shd w:val="clear" w:color="auto" w:fill="auto"/>
            <w:vAlign w:val="center"/>
          </w:tcPr>
          <w:p w14:paraId="6CDB7A67"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364</w:t>
            </w:r>
          </w:p>
        </w:tc>
        <w:tc>
          <w:tcPr>
            <w:tcW w:w="1155" w:type="dxa"/>
            <w:shd w:val="clear" w:color="auto" w:fill="auto"/>
            <w:vAlign w:val="center"/>
          </w:tcPr>
          <w:p w14:paraId="3AF3ACF1" w14:textId="77777777" w:rsidR="000A0294" w:rsidRPr="004804AA" w:rsidRDefault="000A0294" w:rsidP="00653A9A">
            <w:pPr>
              <w:spacing w:after="0" w:line="240" w:lineRule="auto"/>
              <w:jc w:val="center"/>
              <w:rPr>
                <w:rFonts w:ascii="Times New Roman" w:hAnsi="Times New Roman" w:cs="Times New Roman"/>
                <w:sz w:val="28"/>
                <w:szCs w:val="28"/>
                <w:lang w:val="en-US"/>
              </w:rPr>
            </w:pPr>
            <w:r w:rsidRPr="004804AA">
              <w:rPr>
                <w:rFonts w:ascii="Times New Roman" w:hAnsi="Times New Roman" w:cs="Times New Roman"/>
                <w:sz w:val="28"/>
                <w:szCs w:val="28"/>
                <w:lang w:val="en-US"/>
              </w:rPr>
              <w:t>386</w:t>
            </w:r>
          </w:p>
        </w:tc>
      </w:tr>
      <w:tr w:rsidR="000A0294" w:rsidRPr="004804AA" w14:paraId="44E49E25" w14:textId="77777777" w:rsidTr="00292B55">
        <w:trPr>
          <w:trHeight w:val="296"/>
        </w:trPr>
        <w:tc>
          <w:tcPr>
            <w:tcW w:w="1791" w:type="dxa"/>
            <w:vMerge/>
            <w:shd w:val="clear" w:color="auto" w:fill="auto"/>
            <w:vAlign w:val="center"/>
          </w:tcPr>
          <w:p w14:paraId="41E3ABC3" w14:textId="77777777" w:rsidR="000A0294" w:rsidRPr="004804AA" w:rsidRDefault="000A0294" w:rsidP="00653A9A">
            <w:pPr>
              <w:spacing w:after="0" w:line="240" w:lineRule="auto"/>
              <w:jc w:val="center"/>
              <w:rPr>
                <w:rFonts w:ascii="Times New Roman" w:hAnsi="Times New Roman" w:cs="Times New Roman"/>
                <w:sz w:val="28"/>
                <w:szCs w:val="28"/>
                <w:lang w:val="en-US"/>
              </w:rPr>
            </w:pPr>
          </w:p>
        </w:tc>
        <w:tc>
          <w:tcPr>
            <w:tcW w:w="2882" w:type="dxa"/>
            <w:shd w:val="clear" w:color="auto" w:fill="auto"/>
            <w:vAlign w:val="center"/>
          </w:tcPr>
          <w:p w14:paraId="56412DA2" w14:textId="0B2BAC2E"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000A0294" w:rsidRPr="004804AA">
              <w:rPr>
                <w:rFonts w:ascii="Times New Roman" w:hAnsi="Times New Roman" w:cs="Times New Roman"/>
                <w:sz w:val="28"/>
                <w:szCs w:val="28"/>
              </w:rPr>
              <w:t>имназии</w:t>
            </w:r>
          </w:p>
        </w:tc>
        <w:tc>
          <w:tcPr>
            <w:tcW w:w="1093" w:type="dxa"/>
            <w:vMerge/>
            <w:shd w:val="clear" w:color="auto" w:fill="auto"/>
            <w:vAlign w:val="center"/>
          </w:tcPr>
          <w:p w14:paraId="1D8078DE"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1283" w:type="dxa"/>
            <w:shd w:val="clear" w:color="auto" w:fill="auto"/>
            <w:vAlign w:val="center"/>
          </w:tcPr>
          <w:p w14:paraId="64A9AE65"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190</w:t>
            </w:r>
          </w:p>
        </w:tc>
        <w:tc>
          <w:tcPr>
            <w:tcW w:w="1153" w:type="dxa"/>
            <w:shd w:val="clear" w:color="auto" w:fill="auto"/>
            <w:vAlign w:val="center"/>
          </w:tcPr>
          <w:p w14:paraId="5C94390C"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172</w:t>
            </w:r>
          </w:p>
        </w:tc>
        <w:tc>
          <w:tcPr>
            <w:tcW w:w="1155" w:type="dxa"/>
            <w:shd w:val="clear" w:color="auto" w:fill="auto"/>
            <w:vAlign w:val="center"/>
          </w:tcPr>
          <w:p w14:paraId="3D5D71D4"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180</w:t>
            </w:r>
          </w:p>
        </w:tc>
      </w:tr>
      <w:tr w:rsidR="000A0294" w:rsidRPr="004804AA" w14:paraId="6D528EA5" w14:textId="77777777" w:rsidTr="00292B55">
        <w:trPr>
          <w:trHeight w:val="296"/>
        </w:trPr>
        <w:tc>
          <w:tcPr>
            <w:tcW w:w="1791" w:type="dxa"/>
            <w:vMerge/>
            <w:shd w:val="clear" w:color="auto" w:fill="auto"/>
            <w:vAlign w:val="center"/>
          </w:tcPr>
          <w:p w14:paraId="1193B9E6"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2882" w:type="dxa"/>
            <w:shd w:val="clear" w:color="auto" w:fill="auto"/>
            <w:vAlign w:val="center"/>
          </w:tcPr>
          <w:p w14:paraId="6B4F78D4" w14:textId="332D4E69" w:rsidR="000A0294" w:rsidRPr="004804AA" w:rsidRDefault="00BC2414" w:rsidP="00653A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A0294" w:rsidRPr="004804AA">
              <w:rPr>
                <w:rFonts w:ascii="Times New Roman" w:hAnsi="Times New Roman" w:cs="Times New Roman"/>
                <w:sz w:val="28"/>
                <w:szCs w:val="28"/>
              </w:rPr>
              <w:t>бщеобразовательные</w:t>
            </w:r>
          </w:p>
        </w:tc>
        <w:tc>
          <w:tcPr>
            <w:tcW w:w="1093" w:type="dxa"/>
            <w:vMerge/>
            <w:shd w:val="clear" w:color="auto" w:fill="auto"/>
            <w:vAlign w:val="center"/>
          </w:tcPr>
          <w:p w14:paraId="62DB59C5" w14:textId="77777777" w:rsidR="000A0294" w:rsidRPr="004804AA" w:rsidRDefault="000A0294" w:rsidP="00653A9A">
            <w:pPr>
              <w:spacing w:after="0" w:line="240" w:lineRule="auto"/>
              <w:jc w:val="center"/>
              <w:rPr>
                <w:rFonts w:ascii="Times New Roman" w:hAnsi="Times New Roman" w:cs="Times New Roman"/>
                <w:sz w:val="28"/>
                <w:szCs w:val="28"/>
              </w:rPr>
            </w:pPr>
          </w:p>
        </w:tc>
        <w:tc>
          <w:tcPr>
            <w:tcW w:w="1283" w:type="dxa"/>
            <w:shd w:val="clear" w:color="auto" w:fill="auto"/>
            <w:vAlign w:val="center"/>
          </w:tcPr>
          <w:p w14:paraId="140FC50B"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192</w:t>
            </w:r>
          </w:p>
        </w:tc>
        <w:tc>
          <w:tcPr>
            <w:tcW w:w="1153" w:type="dxa"/>
            <w:shd w:val="clear" w:color="auto" w:fill="auto"/>
            <w:vAlign w:val="center"/>
          </w:tcPr>
          <w:p w14:paraId="3C06EEBE"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192</w:t>
            </w:r>
          </w:p>
        </w:tc>
        <w:tc>
          <w:tcPr>
            <w:tcW w:w="1155" w:type="dxa"/>
            <w:shd w:val="clear" w:color="auto" w:fill="auto"/>
            <w:vAlign w:val="center"/>
          </w:tcPr>
          <w:p w14:paraId="7101CE41" w14:textId="77777777" w:rsidR="000A0294" w:rsidRPr="004804AA" w:rsidRDefault="000A0294" w:rsidP="00653A9A">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206</w:t>
            </w:r>
          </w:p>
        </w:tc>
      </w:tr>
    </w:tbl>
    <w:p w14:paraId="13160065" w14:textId="77777777" w:rsidR="00BC1435" w:rsidRDefault="00BC1435" w:rsidP="005C37DF">
      <w:pPr>
        <w:spacing w:after="0" w:line="240" w:lineRule="auto"/>
        <w:ind w:firstLine="709"/>
        <w:jc w:val="both"/>
        <w:rPr>
          <w:rFonts w:ascii="Times New Roman" w:hAnsi="Times New Roman" w:cs="Times New Roman"/>
          <w:b/>
          <w:bCs/>
          <w:sz w:val="28"/>
          <w:szCs w:val="28"/>
        </w:rPr>
      </w:pPr>
    </w:p>
    <w:p w14:paraId="6C59A440" w14:textId="77777777" w:rsidR="005165CC" w:rsidRDefault="005165CC" w:rsidP="005C37DF">
      <w:pPr>
        <w:spacing w:after="0" w:line="240" w:lineRule="auto"/>
        <w:ind w:firstLine="709"/>
        <w:jc w:val="both"/>
        <w:rPr>
          <w:rFonts w:ascii="Times New Roman" w:hAnsi="Times New Roman" w:cs="Times New Roman"/>
          <w:b/>
          <w:bCs/>
          <w:sz w:val="28"/>
          <w:szCs w:val="28"/>
        </w:rPr>
      </w:pPr>
    </w:p>
    <w:p w14:paraId="47C61E55" w14:textId="1D764ADC" w:rsidR="000A0294" w:rsidRPr="00F57A51" w:rsidRDefault="000A0294" w:rsidP="005C37DF">
      <w:pPr>
        <w:spacing w:after="0" w:line="240" w:lineRule="auto"/>
        <w:ind w:firstLine="709"/>
        <w:jc w:val="both"/>
        <w:rPr>
          <w:rFonts w:ascii="Times New Roman" w:hAnsi="Times New Roman" w:cs="Times New Roman"/>
          <w:b/>
          <w:bCs/>
          <w:sz w:val="28"/>
          <w:szCs w:val="28"/>
        </w:rPr>
      </w:pPr>
      <w:r w:rsidRPr="00F57A51">
        <w:rPr>
          <w:rFonts w:ascii="Times New Roman" w:hAnsi="Times New Roman" w:cs="Times New Roman"/>
          <w:b/>
          <w:bCs/>
          <w:sz w:val="28"/>
          <w:szCs w:val="28"/>
        </w:rPr>
        <w:lastRenderedPageBreak/>
        <w:t>2.</w:t>
      </w:r>
      <w:r w:rsidR="00F57A51">
        <w:rPr>
          <w:rFonts w:ascii="Times New Roman" w:hAnsi="Times New Roman" w:cs="Times New Roman"/>
          <w:b/>
          <w:bCs/>
          <w:sz w:val="28"/>
          <w:szCs w:val="28"/>
        </w:rPr>
        <w:t>3</w:t>
      </w:r>
      <w:r w:rsidRPr="00F57A51">
        <w:rPr>
          <w:rFonts w:ascii="Times New Roman" w:hAnsi="Times New Roman" w:cs="Times New Roman"/>
          <w:b/>
          <w:bCs/>
          <w:sz w:val="28"/>
          <w:szCs w:val="28"/>
        </w:rPr>
        <w:t xml:space="preserve"> </w:t>
      </w:r>
      <w:r w:rsidR="006B50E8" w:rsidRPr="00F57A51">
        <w:rPr>
          <w:rFonts w:ascii="Times New Roman" w:hAnsi="Times New Roman" w:cs="Times New Roman"/>
          <w:b/>
          <w:bCs/>
          <w:sz w:val="28"/>
          <w:szCs w:val="28"/>
        </w:rPr>
        <w:t xml:space="preserve">Методы офтальмологического обследования </w:t>
      </w:r>
    </w:p>
    <w:p w14:paraId="16867C59"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Всем детям проводилось стандартное выездное офтальмологическое обследование: </w:t>
      </w:r>
      <w:bookmarkStart w:id="17" w:name="_Hlk100573105"/>
      <w:r w:rsidRPr="004804AA">
        <w:rPr>
          <w:rFonts w:ascii="Times New Roman" w:hAnsi="Times New Roman" w:cs="Times New Roman"/>
          <w:sz w:val="28"/>
          <w:szCs w:val="28"/>
        </w:rPr>
        <w:t>определение остроты зрения (визометрия</w:t>
      </w:r>
      <w:bookmarkEnd w:id="17"/>
      <w:r w:rsidRPr="004804AA">
        <w:rPr>
          <w:rFonts w:ascii="Times New Roman" w:hAnsi="Times New Roman" w:cs="Times New Roman"/>
          <w:sz w:val="28"/>
          <w:szCs w:val="28"/>
        </w:rPr>
        <w:t xml:space="preserve">) </w:t>
      </w:r>
      <w:bookmarkStart w:id="18" w:name="_Hlk100573119"/>
      <w:r w:rsidRPr="004804AA">
        <w:rPr>
          <w:rFonts w:ascii="Times New Roman" w:hAnsi="Times New Roman" w:cs="Times New Roman"/>
          <w:sz w:val="28"/>
          <w:szCs w:val="28"/>
        </w:rPr>
        <w:t xml:space="preserve">без коррекции и с полной коррекцией, исследование рефракции в условиях циклоплегии (авторефрактометрия), осмотр переднего и заднего отрезка глаза (биомикроскопия и офтальмоскопия). </w:t>
      </w:r>
      <w:bookmarkEnd w:id="18"/>
      <w:r w:rsidRPr="004804AA">
        <w:rPr>
          <w:rFonts w:ascii="Times New Roman" w:hAnsi="Times New Roman" w:cs="Times New Roman"/>
          <w:sz w:val="28"/>
          <w:szCs w:val="28"/>
        </w:rPr>
        <w:t>Все обследования проводились командой квалифицированного медицинского персонала, включающего 2 (двух) профессиональных офтальмологов и 2 офтальмологических медицинских сестер. Для этого в школах был переоборудована кабинет медицинской сестры или школьного врача, установлено оборудование. Калибровку аппаратов (авторефрактометра) проводили в начале каждого рабочего дня. Было задействовано транспортное средство и диагностическое оборудование.</w:t>
      </w:r>
    </w:p>
    <w:p w14:paraId="405D112A" w14:textId="77777777" w:rsidR="000A0294" w:rsidRPr="004804AA" w:rsidRDefault="000A0294" w:rsidP="005C37DF">
      <w:pPr>
        <w:spacing w:after="0" w:line="240" w:lineRule="auto"/>
        <w:ind w:firstLine="709"/>
        <w:jc w:val="both"/>
        <w:rPr>
          <w:rFonts w:ascii="Times New Roman" w:hAnsi="Times New Roman" w:cs="Times New Roman"/>
          <w:sz w:val="28"/>
          <w:szCs w:val="28"/>
        </w:rPr>
      </w:pPr>
      <w:bookmarkStart w:id="19" w:name="_Hlk100573139"/>
      <w:r w:rsidRPr="004804AA">
        <w:rPr>
          <w:rFonts w:ascii="Times New Roman" w:hAnsi="Times New Roman" w:cs="Times New Roman"/>
          <w:sz w:val="28"/>
          <w:szCs w:val="28"/>
        </w:rPr>
        <w:t xml:space="preserve">Визометрия </w:t>
      </w:r>
      <w:bookmarkEnd w:id="19"/>
      <w:r w:rsidRPr="004804AA">
        <w:rPr>
          <w:rFonts w:ascii="Times New Roman" w:hAnsi="Times New Roman" w:cs="Times New Roman"/>
          <w:sz w:val="28"/>
          <w:szCs w:val="28"/>
        </w:rPr>
        <w:t xml:space="preserve">проводилась </w:t>
      </w:r>
      <w:r w:rsidRPr="004804AA">
        <w:rPr>
          <w:rFonts w:ascii="Times New Roman" w:eastAsia="Times New Roman" w:hAnsi="Times New Roman" w:cs="Times New Roman"/>
          <w:sz w:val="28"/>
          <w:szCs w:val="28"/>
          <w:lang w:eastAsia="ar-SA"/>
        </w:rPr>
        <w:t xml:space="preserve">по </w:t>
      </w:r>
      <w:bookmarkStart w:id="20" w:name="_Hlk100573131"/>
      <w:r w:rsidRPr="004804AA">
        <w:rPr>
          <w:rFonts w:ascii="Times New Roman" w:eastAsia="Times New Roman" w:hAnsi="Times New Roman" w:cs="Times New Roman"/>
          <w:sz w:val="28"/>
          <w:szCs w:val="28"/>
          <w:lang w:eastAsia="ar-SA"/>
        </w:rPr>
        <w:t>таблице Сивцева-Головина</w:t>
      </w:r>
      <w:r w:rsidRPr="004804AA">
        <w:rPr>
          <w:rFonts w:ascii="Times New Roman" w:hAnsi="Times New Roman" w:cs="Times New Roman"/>
          <w:sz w:val="28"/>
          <w:szCs w:val="28"/>
        </w:rPr>
        <w:t xml:space="preserve"> </w:t>
      </w:r>
      <w:bookmarkEnd w:id="20"/>
      <w:r w:rsidRPr="004804AA">
        <w:rPr>
          <w:rFonts w:ascii="Times New Roman" w:hAnsi="Times New Roman" w:cs="Times New Roman"/>
          <w:sz w:val="28"/>
          <w:szCs w:val="28"/>
        </w:rPr>
        <w:t xml:space="preserve">при обычном комнатном освещении. </w:t>
      </w:r>
      <w:bookmarkStart w:id="21" w:name="_Hlk100573156"/>
      <w:r w:rsidRPr="004804AA">
        <w:rPr>
          <w:rFonts w:ascii="Times New Roman" w:hAnsi="Times New Roman" w:cs="Times New Roman"/>
          <w:sz w:val="28"/>
          <w:szCs w:val="28"/>
        </w:rPr>
        <w:t xml:space="preserve">Острота зрения определялась как наименьшая линия оптотипов, прочитанная с одной ошибкой или без ошибок. </w:t>
      </w:r>
      <w:bookmarkEnd w:id="21"/>
      <w:r w:rsidRPr="004804AA">
        <w:rPr>
          <w:rFonts w:ascii="Times New Roman" w:hAnsi="Times New Roman" w:cs="Times New Roman"/>
          <w:sz w:val="28"/>
          <w:szCs w:val="28"/>
        </w:rPr>
        <w:t xml:space="preserve">Острота зрения определялась монокулярно поочередно: сначала на правом глазу, а затем на левом. При остроте зрения менее 0,8 подбиралась коррекция с использованием пробных очковых стекол. Коррекция также проводилась </w:t>
      </w:r>
      <w:bookmarkStart w:id="22" w:name="_Hlk100573165"/>
      <w:r w:rsidRPr="004804AA">
        <w:rPr>
          <w:rFonts w:ascii="Times New Roman" w:hAnsi="Times New Roman" w:cs="Times New Roman"/>
          <w:sz w:val="28"/>
          <w:szCs w:val="28"/>
        </w:rPr>
        <w:t>монокулярно</w:t>
      </w:r>
      <w:bookmarkEnd w:id="22"/>
      <w:r w:rsidRPr="004804AA">
        <w:rPr>
          <w:rFonts w:ascii="Times New Roman" w:hAnsi="Times New Roman" w:cs="Times New Roman"/>
          <w:sz w:val="28"/>
          <w:szCs w:val="28"/>
        </w:rPr>
        <w:t xml:space="preserve">. В случае миопической рефракции коррекция проводилась </w:t>
      </w:r>
      <w:bookmarkStart w:id="23" w:name="_Hlk100573190"/>
      <w:r w:rsidRPr="004804AA">
        <w:rPr>
          <w:rFonts w:ascii="Times New Roman" w:hAnsi="Times New Roman" w:cs="Times New Roman"/>
          <w:sz w:val="28"/>
          <w:szCs w:val="28"/>
        </w:rPr>
        <w:t xml:space="preserve">рассеивающей линзой </w:t>
      </w:r>
      <w:bookmarkEnd w:id="23"/>
      <w:r w:rsidRPr="004804AA">
        <w:rPr>
          <w:rFonts w:ascii="Times New Roman" w:hAnsi="Times New Roman" w:cs="Times New Roman"/>
          <w:sz w:val="28"/>
          <w:szCs w:val="28"/>
        </w:rPr>
        <w:t xml:space="preserve">минимальной силы, дающей максимальную остроту зрения. В случаях гиперметропической рефракции коррекция проводилась собирательной линзой максимальной силы, дающей максимальную остроту зрения. </w:t>
      </w:r>
      <w:bookmarkStart w:id="24" w:name="_Hlk100573205"/>
      <w:r w:rsidRPr="004804AA">
        <w:rPr>
          <w:rFonts w:ascii="Times New Roman" w:hAnsi="Times New Roman" w:cs="Times New Roman"/>
          <w:sz w:val="28"/>
          <w:szCs w:val="28"/>
        </w:rPr>
        <w:t xml:space="preserve">Коррекция астигматизма проводилась с использованием кросс-цилиндров для определения угла и силы цилиндрического компонента. </w:t>
      </w:r>
      <w:bookmarkEnd w:id="24"/>
      <w:r w:rsidRPr="004804AA">
        <w:rPr>
          <w:rFonts w:ascii="Times New Roman" w:hAnsi="Times New Roman" w:cs="Times New Roman"/>
          <w:sz w:val="28"/>
          <w:szCs w:val="28"/>
        </w:rPr>
        <w:t xml:space="preserve">После подбора повторно определялась острота зрения. </w:t>
      </w:r>
    </w:p>
    <w:p w14:paraId="4D683FE4" w14:textId="43DD554E"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Рефрактометрию выполняли с использованием авторефрактометра (RC-5000; Tomey; Япония). </w:t>
      </w:r>
      <w:bookmarkStart w:id="25" w:name="_Hlk105339544"/>
      <w:r w:rsidRPr="004804AA">
        <w:rPr>
          <w:rFonts w:ascii="Times New Roman" w:hAnsi="Times New Roman" w:cs="Times New Roman"/>
          <w:sz w:val="28"/>
          <w:szCs w:val="28"/>
        </w:rPr>
        <w:t xml:space="preserve">Исследование проводили при </w:t>
      </w:r>
      <w:bookmarkStart w:id="26" w:name="_Hlk100573222"/>
      <w:r w:rsidRPr="004804AA">
        <w:rPr>
          <w:rFonts w:ascii="Times New Roman" w:hAnsi="Times New Roman" w:cs="Times New Roman"/>
          <w:sz w:val="28"/>
          <w:szCs w:val="28"/>
        </w:rPr>
        <w:t xml:space="preserve">циклоплегии с использованием глазных </w:t>
      </w:r>
      <w:r w:rsidRPr="00FB6287">
        <w:rPr>
          <w:rFonts w:ascii="Times New Roman" w:hAnsi="Times New Roman" w:cs="Times New Roman"/>
          <w:sz w:val="28"/>
          <w:szCs w:val="28"/>
        </w:rPr>
        <w:t>капель циклопент</w:t>
      </w:r>
      <w:r w:rsidR="004D4295" w:rsidRPr="00FB6287">
        <w:rPr>
          <w:rFonts w:ascii="Times New Roman" w:hAnsi="Times New Roman" w:cs="Times New Roman"/>
          <w:sz w:val="28"/>
          <w:szCs w:val="28"/>
        </w:rPr>
        <w:t>о</w:t>
      </w:r>
      <w:r w:rsidRPr="00FB6287">
        <w:rPr>
          <w:rFonts w:ascii="Times New Roman" w:hAnsi="Times New Roman" w:cs="Times New Roman"/>
          <w:sz w:val="28"/>
          <w:szCs w:val="28"/>
        </w:rPr>
        <w:t xml:space="preserve">лата 1%, </w:t>
      </w:r>
      <w:bookmarkEnd w:id="26"/>
      <w:r w:rsidRPr="00FB6287">
        <w:rPr>
          <w:rFonts w:ascii="Times New Roman" w:hAnsi="Times New Roman" w:cs="Times New Roman"/>
          <w:sz w:val="28"/>
          <w:szCs w:val="28"/>
        </w:rPr>
        <w:t xml:space="preserve">которые закапывали дважды с 5-минутным интервалом в нижний свод конъюнктивальной полости. Если через 20 минут </w:t>
      </w:r>
      <w:r w:rsidR="004D4295" w:rsidRPr="00FB6287">
        <w:rPr>
          <w:rFonts w:ascii="Times New Roman" w:hAnsi="Times New Roman" w:cs="Times New Roman"/>
          <w:sz w:val="28"/>
          <w:szCs w:val="28"/>
        </w:rPr>
        <w:t>реакция</w:t>
      </w:r>
      <w:r w:rsidRPr="00FB6287">
        <w:rPr>
          <w:rFonts w:ascii="Times New Roman" w:hAnsi="Times New Roman" w:cs="Times New Roman"/>
          <w:sz w:val="28"/>
          <w:szCs w:val="28"/>
        </w:rPr>
        <w:t xml:space="preserve"> зрачка</w:t>
      </w:r>
      <w:r w:rsidR="004D4295" w:rsidRPr="00FB6287">
        <w:rPr>
          <w:rFonts w:ascii="Times New Roman" w:hAnsi="Times New Roman" w:cs="Times New Roman"/>
          <w:sz w:val="28"/>
          <w:szCs w:val="28"/>
        </w:rPr>
        <w:t xml:space="preserve"> на свет</w:t>
      </w:r>
      <w:r w:rsidRPr="00FB6287">
        <w:rPr>
          <w:rFonts w:ascii="Times New Roman" w:hAnsi="Times New Roman" w:cs="Times New Roman"/>
          <w:sz w:val="28"/>
          <w:szCs w:val="28"/>
        </w:rPr>
        <w:t xml:space="preserve"> все еще сохранял</w:t>
      </w:r>
      <w:r w:rsidR="004D4295" w:rsidRPr="00FB6287">
        <w:rPr>
          <w:rFonts w:ascii="Times New Roman" w:hAnsi="Times New Roman" w:cs="Times New Roman"/>
          <w:sz w:val="28"/>
          <w:szCs w:val="28"/>
        </w:rPr>
        <w:t>а</w:t>
      </w:r>
      <w:r w:rsidRPr="00FB6287">
        <w:rPr>
          <w:rFonts w:ascii="Times New Roman" w:hAnsi="Times New Roman" w:cs="Times New Roman"/>
          <w:sz w:val="28"/>
          <w:szCs w:val="28"/>
        </w:rPr>
        <w:t>с</w:t>
      </w:r>
      <w:r w:rsidR="004D4295" w:rsidRPr="00FB6287">
        <w:rPr>
          <w:rFonts w:ascii="Times New Roman" w:hAnsi="Times New Roman" w:cs="Times New Roman"/>
          <w:sz w:val="28"/>
          <w:szCs w:val="28"/>
        </w:rPr>
        <w:t>ь</w:t>
      </w:r>
      <w:r w:rsidRPr="00FB6287">
        <w:rPr>
          <w:rFonts w:ascii="Times New Roman" w:hAnsi="Times New Roman" w:cs="Times New Roman"/>
          <w:sz w:val="28"/>
          <w:szCs w:val="28"/>
        </w:rPr>
        <w:t xml:space="preserve">, вводили третью каплю. Циклоплегия считалась полной, если зрачок расширялся до 6 мм и более и </w:t>
      </w:r>
      <w:r w:rsidR="004D4295" w:rsidRPr="00FB6287">
        <w:rPr>
          <w:rFonts w:ascii="Times New Roman" w:hAnsi="Times New Roman" w:cs="Times New Roman"/>
          <w:sz w:val="28"/>
          <w:szCs w:val="28"/>
        </w:rPr>
        <w:t xml:space="preserve">реакция зрачка на свет </w:t>
      </w:r>
      <w:r w:rsidRPr="00FB6287">
        <w:rPr>
          <w:rFonts w:ascii="Times New Roman" w:hAnsi="Times New Roman" w:cs="Times New Roman"/>
          <w:sz w:val="28"/>
          <w:szCs w:val="28"/>
        </w:rPr>
        <w:t>отсутствовал</w:t>
      </w:r>
      <w:r w:rsidR="004D4295" w:rsidRPr="00FB6287">
        <w:rPr>
          <w:rFonts w:ascii="Times New Roman" w:hAnsi="Times New Roman" w:cs="Times New Roman"/>
          <w:sz w:val="28"/>
          <w:szCs w:val="28"/>
        </w:rPr>
        <w:t>а</w:t>
      </w:r>
      <w:r w:rsidRPr="004804AA">
        <w:rPr>
          <w:rFonts w:ascii="Times New Roman" w:hAnsi="Times New Roman" w:cs="Times New Roman"/>
          <w:sz w:val="28"/>
          <w:szCs w:val="28"/>
        </w:rPr>
        <w:t xml:space="preserve">. Осмотр переднего отрезка глаза и оптических сред проводили при помощи щелевой лампы и </w:t>
      </w:r>
      <w:bookmarkStart w:id="27" w:name="_Hlk100573233"/>
      <w:r w:rsidRPr="004804AA">
        <w:rPr>
          <w:rFonts w:ascii="Times New Roman" w:hAnsi="Times New Roman" w:cs="Times New Roman"/>
          <w:sz w:val="28"/>
          <w:szCs w:val="28"/>
        </w:rPr>
        <w:t>электроофтальмоскопа</w:t>
      </w:r>
      <w:bookmarkEnd w:id="27"/>
      <w:r w:rsidRPr="004804AA">
        <w:rPr>
          <w:rFonts w:ascii="Times New Roman" w:hAnsi="Times New Roman" w:cs="Times New Roman"/>
          <w:sz w:val="28"/>
          <w:szCs w:val="28"/>
        </w:rPr>
        <w:t xml:space="preserve"> (Heine В-200; Германия).</w:t>
      </w:r>
    </w:p>
    <w:bookmarkEnd w:id="25"/>
    <w:p w14:paraId="3367DA2E" w14:textId="4A1B45C2" w:rsidR="000A0294"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Основной конечной точкой исследования являлись острота зрения и данные авторефрактометрии. </w:t>
      </w:r>
      <w:bookmarkStart w:id="28" w:name="_Hlk100573249"/>
      <w:r w:rsidRPr="004804AA">
        <w:rPr>
          <w:rFonts w:ascii="Times New Roman" w:hAnsi="Times New Roman" w:cs="Times New Roman"/>
          <w:sz w:val="28"/>
          <w:szCs w:val="28"/>
        </w:rPr>
        <w:t xml:space="preserve">Офтальмологические исследования, такие как биомикроскопия и исследование глазного дна, были выполнены для исключения </w:t>
      </w:r>
      <w:r w:rsidR="004D4295">
        <w:rPr>
          <w:rFonts w:ascii="Times New Roman" w:hAnsi="Times New Roman" w:cs="Times New Roman"/>
          <w:sz w:val="28"/>
          <w:szCs w:val="28"/>
        </w:rPr>
        <w:t>«</w:t>
      </w:r>
      <w:r w:rsidRPr="004804AA">
        <w:rPr>
          <w:rFonts w:ascii="Times New Roman" w:hAnsi="Times New Roman" w:cs="Times New Roman"/>
          <w:sz w:val="28"/>
          <w:szCs w:val="28"/>
        </w:rPr>
        <w:t>нерефракционных</w:t>
      </w:r>
      <w:r w:rsidR="004D4295">
        <w:rPr>
          <w:rFonts w:ascii="Times New Roman" w:hAnsi="Times New Roman" w:cs="Times New Roman"/>
          <w:sz w:val="28"/>
          <w:szCs w:val="28"/>
        </w:rPr>
        <w:t>»</w:t>
      </w:r>
      <w:r w:rsidRPr="004804AA">
        <w:rPr>
          <w:rFonts w:ascii="Times New Roman" w:hAnsi="Times New Roman" w:cs="Times New Roman"/>
          <w:sz w:val="28"/>
          <w:szCs w:val="28"/>
        </w:rPr>
        <w:t xml:space="preserve"> заболеваний глаза</w:t>
      </w:r>
      <w:bookmarkEnd w:id="28"/>
      <w:r w:rsidRPr="004804AA">
        <w:rPr>
          <w:rFonts w:ascii="Times New Roman" w:hAnsi="Times New Roman" w:cs="Times New Roman"/>
          <w:sz w:val="28"/>
          <w:szCs w:val="28"/>
        </w:rPr>
        <w:t xml:space="preserve">. Данные вносились в разработанную карту обследования школьника (Приложение </w:t>
      </w:r>
      <w:r w:rsidR="006F6811">
        <w:rPr>
          <w:rFonts w:ascii="Times New Roman" w:hAnsi="Times New Roman" w:cs="Times New Roman"/>
          <w:sz w:val="28"/>
          <w:szCs w:val="28"/>
        </w:rPr>
        <w:t>Б</w:t>
      </w:r>
      <w:r w:rsidRPr="004804AA">
        <w:rPr>
          <w:rFonts w:ascii="Times New Roman" w:hAnsi="Times New Roman" w:cs="Times New Roman"/>
          <w:sz w:val="28"/>
          <w:szCs w:val="28"/>
        </w:rPr>
        <w:t>).</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Время, затрачиваемое на стандартное обследование 1 ребенка, включая заполнение документации и внесение данных, составляло в среднем 10-12 минут.</w:t>
      </w:r>
    </w:p>
    <w:p w14:paraId="0A8ADA18" w14:textId="77777777" w:rsidR="00FB5592" w:rsidRDefault="00FB5592" w:rsidP="005C37DF">
      <w:pPr>
        <w:spacing w:after="0" w:line="240" w:lineRule="auto"/>
        <w:ind w:firstLine="709"/>
        <w:jc w:val="both"/>
        <w:rPr>
          <w:rFonts w:ascii="Times New Roman" w:hAnsi="Times New Roman" w:cs="Times New Roman"/>
          <w:sz w:val="28"/>
          <w:szCs w:val="28"/>
        </w:rPr>
      </w:pPr>
    </w:p>
    <w:p w14:paraId="642DE666" w14:textId="77777777" w:rsidR="004E6EDA" w:rsidRPr="004804AA" w:rsidRDefault="004E6EDA" w:rsidP="005C37DF">
      <w:pPr>
        <w:spacing w:after="0" w:line="240" w:lineRule="auto"/>
        <w:ind w:firstLine="709"/>
        <w:jc w:val="both"/>
        <w:rPr>
          <w:rFonts w:ascii="Times New Roman" w:hAnsi="Times New Roman" w:cs="Times New Roman"/>
          <w:sz w:val="28"/>
          <w:szCs w:val="28"/>
        </w:rPr>
      </w:pPr>
    </w:p>
    <w:p w14:paraId="0E853CD2" w14:textId="7ACCCD2C" w:rsidR="000A0294" w:rsidRPr="00F57A51" w:rsidRDefault="000A0294" w:rsidP="005C37DF">
      <w:pPr>
        <w:spacing w:after="0" w:line="240" w:lineRule="auto"/>
        <w:ind w:firstLine="709"/>
        <w:jc w:val="both"/>
        <w:rPr>
          <w:rFonts w:ascii="Times New Roman" w:hAnsi="Times New Roman" w:cs="Times New Roman"/>
          <w:b/>
          <w:bCs/>
          <w:sz w:val="28"/>
          <w:szCs w:val="28"/>
        </w:rPr>
      </w:pPr>
      <w:r w:rsidRPr="00F57A51">
        <w:rPr>
          <w:rFonts w:ascii="Times New Roman" w:hAnsi="Times New Roman" w:cs="Times New Roman"/>
          <w:b/>
          <w:bCs/>
          <w:sz w:val="28"/>
          <w:szCs w:val="28"/>
        </w:rPr>
        <w:lastRenderedPageBreak/>
        <w:t>2.</w:t>
      </w:r>
      <w:r w:rsidR="00F57A51" w:rsidRPr="00F57A51">
        <w:rPr>
          <w:rFonts w:ascii="Times New Roman" w:hAnsi="Times New Roman" w:cs="Times New Roman"/>
          <w:b/>
          <w:bCs/>
          <w:sz w:val="28"/>
          <w:szCs w:val="28"/>
        </w:rPr>
        <w:t>4</w:t>
      </w:r>
      <w:r w:rsidRPr="00F57A51">
        <w:rPr>
          <w:rFonts w:ascii="Times New Roman" w:hAnsi="Times New Roman" w:cs="Times New Roman"/>
          <w:b/>
          <w:bCs/>
          <w:sz w:val="28"/>
          <w:szCs w:val="28"/>
        </w:rPr>
        <w:t xml:space="preserve"> </w:t>
      </w:r>
      <w:r w:rsidR="00F57A51" w:rsidRPr="00F57A51">
        <w:rPr>
          <w:rFonts w:ascii="Times New Roman" w:hAnsi="Times New Roman" w:cs="Times New Roman"/>
          <w:b/>
          <w:bCs/>
          <w:sz w:val="28"/>
          <w:szCs w:val="28"/>
        </w:rPr>
        <w:t>Метод проведения анкетирования</w:t>
      </w:r>
    </w:p>
    <w:p w14:paraId="0912C8F4" w14:textId="2D8CE33E" w:rsidR="00292B55" w:rsidRDefault="00437361"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момент начала исследования мы не нашли официального единого специализированного международного опросника для исследования факторов риска развития миопии у детей. В связи с этим, </w:t>
      </w:r>
      <w:r w:rsidR="000A0294" w:rsidRPr="004804AA">
        <w:rPr>
          <w:rFonts w:ascii="Times New Roman" w:hAnsi="Times New Roman" w:cs="Times New Roman"/>
          <w:sz w:val="28"/>
          <w:szCs w:val="28"/>
        </w:rPr>
        <w:t xml:space="preserve">нами </w:t>
      </w:r>
      <w:r>
        <w:rPr>
          <w:rFonts w:ascii="Times New Roman" w:hAnsi="Times New Roman" w:cs="Times New Roman"/>
          <w:sz w:val="28"/>
          <w:szCs w:val="28"/>
        </w:rPr>
        <w:t xml:space="preserve">самостоятельно </w:t>
      </w:r>
      <w:r w:rsidR="000A0294" w:rsidRPr="004804AA">
        <w:rPr>
          <w:rFonts w:ascii="Times New Roman" w:hAnsi="Times New Roman" w:cs="Times New Roman"/>
          <w:sz w:val="28"/>
          <w:szCs w:val="28"/>
        </w:rPr>
        <w:t>был разработан мини-опросник для родителей школьников включающий в себя вопросы об основных потенциальных факторах риска: наследственном (история родительской близорукости) и поведенческих признаках, включая количество времени, проведенное за работой на близком расстоянии, использование гаджетов, дополнительная зрительная нагрузка, смена обучения, тип школы, время вне помещен</w:t>
      </w:r>
      <w:r w:rsidR="00653A9A">
        <w:rPr>
          <w:rFonts w:ascii="Times New Roman" w:hAnsi="Times New Roman" w:cs="Times New Roman"/>
          <w:sz w:val="28"/>
          <w:szCs w:val="28"/>
        </w:rPr>
        <w:t>и</w:t>
      </w:r>
      <w:r w:rsidR="000A0294" w:rsidRPr="004804AA">
        <w:rPr>
          <w:rFonts w:ascii="Times New Roman" w:hAnsi="Times New Roman" w:cs="Times New Roman"/>
          <w:sz w:val="28"/>
          <w:szCs w:val="28"/>
        </w:rPr>
        <w:t xml:space="preserve">я (на открытом воздухе) и уровень физической активности (Приложение </w:t>
      </w:r>
      <w:r w:rsidR="006F6811">
        <w:rPr>
          <w:rFonts w:ascii="Times New Roman" w:hAnsi="Times New Roman" w:cs="Times New Roman"/>
          <w:sz w:val="28"/>
          <w:szCs w:val="28"/>
        </w:rPr>
        <w:t>А</w:t>
      </w:r>
      <w:r w:rsidR="000A0294" w:rsidRPr="004804AA">
        <w:rPr>
          <w:rFonts w:ascii="Times New Roman" w:hAnsi="Times New Roman" w:cs="Times New Roman"/>
          <w:sz w:val="28"/>
          <w:szCs w:val="28"/>
        </w:rPr>
        <w:t>).</w:t>
      </w:r>
    </w:p>
    <w:p w14:paraId="4FECCF77" w14:textId="77777777" w:rsidR="004E6EDA" w:rsidRDefault="008F6589" w:rsidP="00C305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Опросник разработан на основе опросников, широко используемых в зарубежных исследованиях факторов риска развития миопии, в основном на </w:t>
      </w:r>
      <w:r w:rsidRPr="008F6589">
        <w:rPr>
          <w:rFonts w:ascii="Times New Roman" w:hAnsi="Times New Roman" w:cs="Times New Roman"/>
          <w:sz w:val="28"/>
          <w:szCs w:val="28"/>
        </w:rPr>
        <w:t>верси</w:t>
      </w:r>
      <w:r>
        <w:rPr>
          <w:rFonts w:ascii="Times New Roman" w:hAnsi="Times New Roman" w:cs="Times New Roman"/>
          <w:sz w:val="28"/>
          <w:szCs w:val="28"/>
        </w:rPr>
        <w:t>ях</w:t>
      </w:r>
      <w:r w:rsidRPr="008F6589">
        <w:rPr>
          <w:rFonts w:ascii="Times New Roman" w:hAnsi="Times New Roman" w:cs="Times New Roman"/>
          <w:sz w:val="28"/>
          <w:szCs w:val="28"/>
        </w:rPr>
        <w:t xml:space="preserve"> Сиднейск</w:t>
      </w:r>
      <w:r w:rsidR="00DB30C8">
        <w:rPr>
          <w:rFonts w:ascii="Times New Roman" w:hAnsi="Times New Roman" w:cs="Times New Roman"/>
          <w:sz w:val="28"/>
          <w:szCs w:val="28"/>
        </w:rPr>
        <w:t>их</w:t>
      </w:r>
      <w:r w:rsidRPr="008F6589">
        <w:rPr>
          <w:rFonts w:ascii="Times New Roman" w:hAnsi="Times New Roman" w:cs="Times New Roman"/>
          <w:sz w:val="28"/>
          <w:szCs w:val="28"/>
        </w:rPr>
        <w:t xml:space="preserve"> </w:t>
      </w:r>
      <w:r w:rsidR="00DB30C8">
        <w:rPr>
          <w:rFonts w:ascii="Times New Roman" w:hAnsi="Times New Roman" w:cs="Times New Roman"/>
          <w:sz w:val="28"/>
          <w:szCs w:val="28"/>
        </w:rPr>
        <w:t xml:space="preserve">программ </w:t>
      </w:r>
      <w:r w:rsidRPr="008F6589">
        <w:rPr>
          <w:rFonts w:ascii="Times New Roman" w:hAnsi="Times New Roman" w:cs="Times New Roman"/>
          <w:sz w:val="28"/>
          <w:szCs w:val="28"/>
        </w:rPr>
        <w:t>исследовани</w:t>
      </w:r>
      <w:r>
        <w:rPr>
          <w:rFonts w:ascii="Times New Roman" w:hAnsi="Times New Roman" w:cs="Times New Roman"/>
          <w:sz w:val="28"/>
          <w:szCs w:val="28"/>
        </w:rPr>
        <w:t>я</w:t>
      </w:r>
      <w:r w:rsidRPr="008F6589">
        <w:rPr>
          <w:rFonts w:ascii="Times New Roman" w:hAnsi="Times New Roman" w:cs="Times New Roman"/>
          <w:sz w:val="28"/>
          <w:szCs w:val="28"/>
        </w:rPr>
        <w:t xml:space="preserve"> близорукости</w:t>
      </w:r>
      <w:r>
        <w:rPr>
          <w:rFonts w:ascii="Times New Roman" w:hAnsi="Times New Roman" w:cs="Times New Roman"/>
          <w:sz w:val="28"/>
          <w:szCs w:val="28"/>
        </w:rPr>
        <w:t xml:space="preserve"> </w:t>
      </w:r>
      <w:r w:rsidRPr="008F6589">
        <w:rPr>
          <w:rFonts w:ascii="Times New Roman" w:hAnsi="Times New Roman" w:cs="Times New Roman"/>
          <w:sz w:val="28"/>
          <w:szCs w:val="28"/>
        </w:rPr>
        <w:t xml:space="preserve">(Ojaimi et al., 2005; </w:t>
      </w:r>
      <w:r w:rsidR="009269EB" w:rsidRPr="009269EB">
        <w:rPr>
          <w:rFonts w:ascii="Times New Roman" w:hAnsi="Times New Roman" w:cs="Times New Roman"/>
          <w:sz w:val="28"/>
          <w:szCs w:val="28"/>
        </w:rPr>
        <w:t>French</w:t>
      </w:r>
      <w:r w:rsidR="009269EB">
        <w:rPr>
          <w:rFonts w:ascii="Times New Roman" w:hAnsi="Times New Roman" w:cs="Times New Roman"/>
          <w:sz w:val="28"/>
          <w:szCs w:val="28"/>
        </w:rPr>
        <w:t xml:space="preserve"> </w:t>
      </w:r>
      <w:r w:rsidR="009269EB" w:rsidRPr="008F6589">
        <w:rPr>
          <w:rFonts w:ascii="Times New Roman" w:hAnsi="Times New Roman" w:cs="Times New Roman"/>
          <w:sz w:val="28"/>
          <w:szCs w:val="28"/>
        </w:rPr>
        <w:t>et al</w:t>
      </w:r>
      <w:r w:rsidR="009269EB">
        <w:rPr>
          <w:rFonts w:ascii="Times New Roman" w:hAnsi="Times New Roman" w:cs="Times New Roman"/>
          <w:sz w:val="28"/>
          <w:szCs w:val="28"/>
        </w:rPr>
        <w:t>, 2013</w:t>
      </w:r>
      <w:r w:rsidRPr="008F6589">
        <w:rPr>
          <w:rFonts w:ascii="Times New Roman" w:hAnsi="Times New Roman" w:cs="Times New Roman"/>
          <w:sz w:val="28"/>
          <w:szCs w:val="28"/>
        </w:rPr>
        <w:t>)</w:t>
      </w:r>
      <w:r w:rsidR="000A0294" w:rsidRPr="004804AA">
        <w:rPr>
          <w:rFonts w:ascii="Times New Roman" w:hAnsi="Times New Roman" w:cs="Times New Roman"/>
          <w:sz w:val="28"/>
          <w:szCs w:val="28"/>
        </w:rPr>
        <w:t xml:space="preserve">, </w:t>
      </w:r>
      <w:r w:rsidRPr="008F6589">
        <w:rPr>
          <w:rFonts w:ascii="Times New Roman" w:hAnsi="Times New Roman" w:cs="Times New Roman"/>
          <w:sz w:val="28"/>
          <w:szCs w:val="28"/>
        </w:rPr>
        <w:t>Корейско</w:t>
      </w:r>
      <w:r>
        <w:rPr>
          <w:rFonts w:ascii="Times New Roman" w:hAnsi="Times New Roman" w:cs="Times New Roman"/>
          <w:sz w:val="28"/>
          <w:szCs w:val="28"/>
        </w:rPr>
        <w:t>го</w:t>
      </w:r>
      <w:r w:rsidRPr="008F6589">
        <w:rPr>
          <w:rFonts w:ascii="Times New Roman" w:hAnsi="Times New Roman" w:cs="Times New Roman"/>
          <w:sz w:val="28"/>
          <w:szCs w:val="28"/>
        </w:rPr>
        <w:t xml:space="preserve"> национально</w:t>
      </w:r>
      <w:r>
        <w:rPr>
          <w:rFonts w:ascii="Times New Roman" w:hAnsi="Times New Roman" w:cs="Times New Roman"/>
          <w:sz w:val="28"/>
          <w:szCs w:val="28"/>
        </w:rPr>
        <w:t>го</w:t>
      </w:r>
      <w:r w:rsidRPr="008F6589">
        <w:rPr>
          <w:rFonts w:ascii="Times New Roman" w:hAnsi="Times New Roman" w:cs="Times New Roman"/>
          <w:sz w:val="28"/>
          <w:szCs w:val="28"/>
        </w:rPr>
        <w:t xml:space="preserve"> исследовани</w:t>
      </w:r>
      <w:r>
        <w:rPr>
          <w:rFonts w:ascii="Times New Roman" w:hAnsi="Times New Roman" w:cs="Times New Roman"/>
          <w:sz w:val="28"/>
          <w:szCs w:val="28"/>
        </w:rPr>
        <w:t>я</w:t>
      </w:r>
      <w:r w:rsidRPr="008F6589">
        <w:rPr>
          <w:rFonts w:ascii="Times New Roman" w:hAnsi="Times New Roman" w:cs="Times New Roman"/>
          <w:sz w:val="28"/>
          <w:szCs w:val="28"/>
        </w:rPr>
        <w:t xml:space="preserve"> здоровья и питания (KNHANES)</w:t>
      </w:r>
      <w:r>
        <w:rPr>
          <w:rFonts w:ascii="Times New Roman" w:hAnsi="Times New Roman" w:cs="Times New Roman"/>
          <w:sz w:val="28"/>
          <w:szCs w:val="28"/>
        </w:rPr>
        <w:t xml:space="preserve"> (</w:t>
      </w:r>
      <w:r w:rsidRPr="008F6589">
        <w:rPr>
          <w:rFonts w:ascii="Times New Roman" w:hAnsi="Times New Roman" w:cs="Times New Roman"/>
          <w:sz w:val="28"/>
          <w:szCs w:val="28"/>
        </w:rPr>
        <w:t>Dong Hui Lim,</w:t>
      </w:r>
      <w:r>
        <w:rPr>
          <w:rFonts w:ascii="Times New Roman" w:hAnsi="Times New Roman" w:cs="Times New Roman"/>
          <w:sz w:val="28"/>
          <w:szCs w:val="28"/>
        </w:rPr>
        <w:t xml:space="preserve"> 2018) и других.</w:t>
      </w:r>
      <w:r w:rsidR="004417AF" w:rsidRPr="004417AF">
        <w:rPr>
          <w:rFonts w:ascii="Times New Roman" w:hAnsi="Times New Roman" w:cs="Times New Roman"/>
          <w:sz w:val="28"/>
          <w:szCs w:val="28"/>
        </w:rPr>
        <w:t xml:space="preserve"> </w:t>
      </w:r>
    </w:p>
    <w:p w14:paraId="09584512" w14:textId="77777777" w:rsidR="004E6EDA" w:rsidRDefault="001D33F5" w:rsidP="00C305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1D33F5">
        <w:rPr>
          <w:rFonts w:ascii="Times New Roman" w:hAnsi="Times New Roman" w:cs="Times New Roman"/>
          <w:sz w:val="28"/>
          <w:szCs w:val="28"/>
        </w:rPr>
        <w:t xml:space="preserve">обсуждения с представителями </w:t>
      </w:r>
      <w:r>
        <w:rPr>
          <w:rFonts w:ascii="Times New Roman" w:hAnsi="Times New Roman" w:cs="Times New Roman"/>
          <w:sz w:val="28"/>
          <w:szCs w:val="28"/>
        </w:rPr>
        <w:t>школ</w:t>
      </w:r>
      <w:r w:rsidRPr="001D33F5">
        <w:rPr>
          <w:rFonts w:ascii="Times New Roman" w:hAnsi="Times New Roman" w:cs="Times New Roman"/>
          <w:sz w:val="28"/>
          <w:szCs w:val="28"/>
        </w:rPr>
        <w:t>, родител</w:t>
      </w:r>
      <w:r>
        <w:rPr>
          <w:rFonts w:ascii="Times New Roman" w:hAnsi="Times New Roman" w:cs="Times New Roman"/>
          <w:sz w:val="28"/>
          <w:szCs w:val="28"/>
        </w:rPr>
        <w:t>ями</w:t>
      </w:r>
      <w:r w:rsidR="00B472CE">
        <w:rPr>
          <w:rFonts w:ascii="Times New Roman" w:hAnsi="Times New Roman" w:cs="Times New Roman"/>
          <w:sz w:val="28"/>
          <w:szCs w:val="28"/>
        </w:rPr>
        <w:t xml:space="preserve"> и</w:t>
      </w:r>
      <w:r w:rsidRPr="001D33F5">
        <w:rPr>
          <w:rFonts w:ascii="Times New Roman" w:hAnsi="Times New Roman" w:cs="Times New Roman"/>
          <w:sz w:val="28"/>
          <w:szCs w:val="28"/>
        </w:rPr>
        <w:t xml:space="preserve"> офтальмолог</w:t>
      </w:r>
      <w:r>
        <w:rPr>
          <w:rFonts w:ascii="Times New Roman" w:hAnsi="Times New Roman" w:cs="Times New Roman"/>
          <w:sz w:val="28"/>
          <w:szCs w:val="28"/>
        </w:rPr>
        <w:t>ами</w:t>
      </w:r>
      <w:r w:rsidRPr="001D33F5">
        <w:rPr>
          <w:rFonts w:ascii="Times New Roman" w:hAnsi="Times New Roman" w:cs="Times New Roman"/>
          <w:sz w:val="28"/>
          <w:szCs w:val="28"/>
        </w:rPr>
        <w:t xml:space="preserve"> </w:t>
      </w:r>
      <w:r w:rsidR="00B472CE">
        <w:rPr>
          <w:rFonts w:ascii="Times New Roman" w:hAnsi="Times New Roman" w:cs="Times New Roman"/>
          <w:sz w:val="28"/>
          <w:szCs w:val="28"/>
        </w:rPr>
        <w:t xml:space="preserve">вопросы </w:t>
      </w:r>
      <w:r>
        <w:rPr>
          <w:rFonts w:ascii="Times New Roman" w:hAnsi="Times New Roman" w:cs="Times New Roman"/>
          <w:sz w:val="28"/>
          <w:szCs w:val="28"/>
        </w:rPr>
        <w:t>о</w:t>
      </w:r>
      <w:r w:rsidR="00B472CE">
        <w:rPr>
          <w:rFonts w:ascii="Times New Roman" w:hAnsi="Times New Roman" w:cs="Times New Roman"/>
          <w:sz w:val="28"/>
          <w:szCs w:val="28"/>
        </w:rPr>
        <w:t>просника</w:t>
      </w:r>
      <w:r>
        <w:rPr>
          <w:rFonts w:ascii="Times New Roman" w:hAnsi="Times New Roman" w:cs="Times New Roman"/>
          <w:sz w:val="28"/>
          <w:szCs w:val="28"/>
        </w:rPr>
        <w:t xml:space="preserve"> были сокращены, и скорректированы </w:t>
      </w:r>
      <w:r w:rsidRPr="001D33F5">
        <w:rPr>
          <w:rFonts w:ascii="Times New Roman" w:hAnsi="Times New Roman" w:cs="Times New Roman"/>
          <w:sz w:val="28"/>
          <w:szCs w:val="28"/>
        </w:rPr>
        <w:t xml:space="preserve">с учетом </w:t>
      </w:r>
      <w:r>
        <w:rPr>
          <w:rFonts w:ascii="Times New Roman" w:hAnsi="Times New Roman" w:cs="Times New Roman"/>
          <w:sz w:val="28"/>
          <w:szCs w:val="28"/>
        </w:rPr>
        <w:t xml:space="preserve">местных </w:t>
      </w:r>
      <w:r w:rsidRPr="001D33F5">
        <w:rPr>
          <w:rFonts w:ascii="Times New Roman" w:hAnsi="Times New Roman" w:cs="Times New Roman"/>
          <w:sz w:val="28"/>
          <w:szCs w:val="28"/>
        </w:rPr>
        <w:t xml:space="preserve">культурных </w:t>
      </w:r>
      <w:r>
        <w:rPr>
          <w:rFonts w:ascii="Times New Roman" w:hAnsi="Times New Roman" w:cs="Times New Roman"/>
          <w:sz w:val="28"/>
          <w:szCs w:val="28"/>
        </w:rPr>
        <w:t>и лингвистических особенностей.</w:t>
      </w:r>
      <w:r w:rsidR="00B472CE">
        <w:rPr>
          <w:rFonts w:ascii="Times New Roman" w:hAnsi="Times New Roman" w:cs="Times New Roman"/>
          <w:sz w:val="28"/>
          <w:szCs w:val="28"/>
        </w:rPr>
        <w:t xml:space="preserve"> Вопросы опросника были сформулированы </w:t>
      </w:r>
      <w:r w:rsidR="008E407E" w:rsidRPr="004804AA">
        <w:rPr>
          <w:rFonts w:ascii="Times New Roman" w:hAnsi="Times New Roman" w:cs="Times New Roman"/>
          <w:sz w:val="28"/>
          <w:szCs w:val="28"/>
        </w:rPr>
        <w:t>простым бытовым языком, в легко понятной форме</w:t>
      </w:r>
      <w:r w:rsidR="008E407E">
        <w:rPr>
          <w:rFonts w:ascii="Times New Roman" w:hAnsi="Times New Roman" w:cs="Times New Roman"/>
          <w:sz w:val="28"/>
          <w:szCs w:val="28"/>
        </w:rPr>
        <w:t xml:space="preserve"> </w:t>
      </w:r>
      <w:r w:rsidR="00B472CE">
        <w:rPr>
          <w:rFonts w:ascii="Times New Roman" w:hAnsi="Times New Roman" w:cs="Times New Roman"/>
          <w:sz w:val="28"/>
          <w:szCs w:val="28"/>
        </w:rPr>
        <w:t xml:space="preserve">на русском и казахском языке носителями языка, специалистами офтальмологического профиля. Лингвистическое и стилистическое соответствие обоих вариантов проверялось путем двойного (прямого и обратного) перевода обоих опросников, с русского на казахский и с казахского на русский язык. </w:t>
      </w:r>
    </w:p>
    <w:p w14:paraId="33341B35" w14:textId="77777777" w:rsidR="004E6EDA" w:rsidRDefault="00771569" w:rsidP="00C305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C305B5">
        <w:rPr>
          <w:rFonts w:ascii="Times New Roman" w:hAnsi="Times New Roman" w:cs="Times New Roman"/>
          <w:sz w:val="28"/>
          <w:szCs w:val="28"/>
        </w:rPr>
        <w:t>утверждения</w:t>
      </w:r>
      <w:r w:rsidR="00B472CE" w:rsidRPr="00B472CE">
        <w:rPr>
          <w:rFonts w:ascii="Times New Roman" w:hAnsi="Times New Roman" w:cs="Times New Roman"/>
          <w:sz w:val="28"/>
          <w:szCs w:val="28"/>
        </w:rPr>
        <w:t xml:space="preserve"> </w:t>
      </w:r>
      <w:r>
        <w:rPr>
          <w:rFonts w:ascii="Times New Roman" w:hAnsi="Times New Roman" w:cs="Times New Roman"/>
          <w:sz w:val="28"/>
          <w:szCs w:val="28"/>
        </w:rPr>
        <w:t xml:space="preserve">опросников </w:t>
      </w:r>
      <w:r w:rsidR="00C305B5">
        <w:rPr>
          <w:rFonts w:ascii="Times New Roman" w:hAnsi="Times New Roman" w:cs="Times New Roman"/>
          <w:sz w:val="28"/>
          <w:szCs w:val="28"/>
        </w:rPr>
        <w:t>исследовательской группой</w:t>
      </w:r>
      <w:r w:rsidR="00B472CE" w:rsidRPr="00B472CE">
        <w:rPr>
          <w:rFonts w:ascii="Times New Roman" w:hAnsi="Times New Roman" w:cs="Times New Roman"/>
          <w:sz w:val="28"/>
          <w:szCs w:val="28"/>
        </w:rPr>
        <w:t xml:space="preserve"> </w:t>
      </w:r>
      <w:r>
        <w:rPr>
          <w:rFonts w:ascii="Times New Roman" w:hAnsi="Times New Roman" w:cs="Times New Roman"/>
          <w:sz w:val="28"/>
          <w:szCs w:val="28"/>
        </w:rPr>
        <w:t>было проведено</w:t>
      </w:r>
      <w:r w:rsidR="00B472CE" w:rsidRPr="00B472CE">
        <w:rPr>
          <w:rFonts w:ascii="Times New Roman" w:hAnsi="Times New Roman" w:cs="Times New Roman"/>
          <w:sz w:val="28"/>
          <w:szCs w:val="28"/>
        </w:rPr>
        <w:t xml:space="preserve"> предварительное тестирование</w:t>
      </w:r>
      <w:r>
        <w:rPr>
          <w:rFonts w:ascii="Times New Roman" w:hAnsi="Times New Roman" w:cs="Times New Roman"/>
          <w:sz w:val="28"/>
          <w:szCs w:val="28"/>
        </w:rPr>
        <w:t xml:space="preserve"> среди казахско- и русскоязычного </w:t>
      </w:r>
      <w:r w:rsidRPr="004804AA">
        <w:rPr>
          <w:rFonts w:ascii="Times New Roman" w:hAnsi="Times New Roman" w:cs="Times New Roman"/>
          <w:sz w:val="28"/>
          <w:szCs w:val="28"/>
        </w:rPr>
        <w:t>немедицинского персонала Казахского НИИ глазных болезней</w:t>
      </w:r>
      <w:r>
        <w:rPr>
          <w:rFonts w:ascii="Times New Roman" w:hAnsi="Times New Roman" w:cs="Times New Roman"/>
          <w:sz w:val="28"/>
          <w:szCs w:val="28"/>
        </w:rPr>
        <w:t>, школьных учителей</w:t>
      </w:r>
      <w:r w:rsidRPr="004804AA">
        <w:rPr>
          <w:rFonts w:ascii="Times New Roman" w:hAnsi="Times New Roman" w:cs="Times New Roman"/>
          <w:sz w:val="28"/>
          <w:szCs w:val="28"/>
        </w:rPr>
        <w:t xml:space="preserve"> и членов их семей</w:t>
      </w:r>
      <w:r w:rsidR="008E407E">
        <w:rPr>
          <w:rFonts w:ascii="Times New Roman" w:hAnsi="Times New Roman" w:cs="Times New Roman"/>
          <w:sz w:val="28"/>
          <w:szCs w:val="28"/>
        </w:rPr>
        <w:t xml:space="preserve"> для выяснения трудностей </w:t>
      </w:r>
      <w:r w:rsidR="008E407E" w:rsidRPr="00B472CE">
        <w:rPr>
          <w:rFonts w:ascii="Times New Roman" w:hAnsi="Times New Roman" w:cs="Times New Roman"/>
          <w:sz w:val="28"/>
          <w:szCs w:val="28"/>
        </w:rPr>
        <w:t>с пониманием вопросов</w:t>
      </w:r>
      <w:r w:rsidRPr="004804AA">
        <w:rPr>
          <w:rFonts w:ascii="Times New Roman" w:hAnsi="Times New Roman" w:cs="Times New Roman"/>
          <w:sz w:val="28"/>
          <w:szCs w:val="28"/>
        </w:rPr>
        <w:t>.</w:t>
      </w:r>
      <w:r>
        <w:rPr>
          <w:rFonts w:ascii="Times New Roman" w:hAnsi="Times New Roman" w:cs="Times New Roman"/>
          <w:sz w:val="28"/>
          <w:szCs w:val="28"/>
        </w:rPr>
        <w:t xml:space="preserve"> </w:t>
      </w:r>
      <w:r w:rsidR="00C305B5">
        <w:rPr>
          <w:rFonts w:ascii="Times New Roman" w:hAnsi="Times New Roman" w:cs="Times New Roman"/>
          <w:sz w:val="28"/>
          <w:szCs w:val="28"/>
        </w:rPr>
        <w:t xml:space="preserve">После незначительных корректировок, опросники были предложены для заполнения </w:t>
      </w:r>
      <w:r w:rsidR="000A0294" w:rsidRPr="004804AA">
        <w:rPr>
          <w:rFonts w:ascii="Times New Roman" w:hAnsi="Times New Roman" w:cs="Times New Roman"/>
          <w:sz w:val="28"/>
          <w:szCs w:val="28"/>
        </w:rPr>
        <w:t>родител</w:t>
      </w:r>
      <w:r w:rsidR="00C305B5">
        <w:rPr>
          <w:rFonts w:ascii="Times New Roman" w:hAnsi="Times New Roman" w:cs="Times New Roman"/>
          <w:sz w:val="28"/>
          <w:szCs w:val="28"/>
        </w:rPr>
        <w:t>ям</w:t>
      </w:r>
      <w:r w:rsidR="000A0294" w:rsidRPr="004804AA">
        <w:rPr>
          <w:rFonts w:ascii="Times New Roman" w:hAnsi="Times New Roman" w:cs="Times New Roman"/>
          <w:sz w:val="28"/>
          <w:szCs w:val="28"/>
        </w:rPr>
        <w:t xml:space="preserve"> или законны</w:t>
      </w:r>
      <w:r w:rsidR="00C305B5">
        <w:rPr>
          <w:rFonts w:ascii="Times New Roman" w:hAnsi="Times New Roman" w:cs="Times New Roman"/>
          <w:sz w:val="28"/>
          <w:szCs w:val="28"/>
        </w:rPr>
        <w:t>м</w:t>
      </w:r>
      <w:r w:rsidR="000A0294" w:rsidRPr="004804AA">
        <w:rPr>
          <w:rFonts w:ascii="Times New Roman" w:hAnsi="Times New Roman" w:cs="Times New Roman"/>
          <w:sz w:val="28"/>
          <w:szCs w:val="28"/>
        </w:rPr>
        <w:t xml:space="preserve"> опекун</w:t>
      </w:r>
      <w:r w:rsidR="00C305B5">
        <w:rPr>
          <w:rFonts w:ascii="Times New Roman" w:hAnsi="Times New Roman" w:cs="Times New Roman"/>
          <w:sz w:val="28"/>
          <w:szCs w:val="28"/>
        </w:rPr>
        <w:t>ам</w:t>
      </w:r>
      <w:r w:rsidR="000A0294" w:rsidRPr="004804AA">
        <w:rPr>
          <w:rFonts w:ascii="Times New Roman" w:hAnsi="Times New Roman" w:cs="Times New Roman"/>
          <w:sz w:val="28"/>
          <w:szCs w:val="28"/>
        </w:rPr>
        <w:t xml:space="preserve"> </w:t>
      </w:r>
      <w:r w:rsidR="00C305B5">
        <w:rPr>
          <w:rFonts w:ascii="Times New Roman" w:hAnsi="Times New Roman" w:cs="Times New Roman"/>
          <w:sz w:val="28"/>
          <w:szCs w:val="28"/>
        </w:rPr>
        <w:t>исследуемых школьников</w:t>
      </w:r>
      <w:r w:rsidR="000A0294" w:rsidRPr="004804AA">
        <w:rPr>
          <w:rFonts w:ascii="Times New Roman" w:hAnsi="Times New Roman" w:cs="Times New Roman"/>
          <w:sz w:val="28"/>
          <w:szCs w:val="28"/>
        </w:rPr>
        <w:t xml:space="preserve">. </w:t>
      </w:r>
    </w:p>
    <w:p w14:paraId="55B59DA0" w14:textId="77777777" w:rsidR="004E6EDA" w:rsidRDefault="00A013BD" w:rsidP="00C305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Опросник включает в себя 8 вопросов, первый из которых является общим, остальные - п</w:t>
      </w:r>
      <w:r w:rsidR="008E407E">
        <w:rPr>
          <w:rFonts w:ascii="Times New Roman" w:hAnsi="Times New Roman" w:cs="Times New Roman"/>
          <w:sz w:val="28"/>
          <w:szCs w:val="28"/>
        </w:rPr>
        <w:t xml:space="preserve">о одному на каждый из исследуемых факторов риска. </w:t>
      </w:r>
      <w:r w:rsidR="000A0294" w:rsidRPr="004804AA">
        <w:rPr>
          <w:rFonts w:ascii="Times New Roman" w:hAnsi="Times New Roman" w:cs="Times New Roman"/>
          <w:sz w:val="28"/>
          <w:szCs w:val="28"/>
        </w:rPr>
        <w:t xml:space="preserve">Родителям или опекунам ребенка предлагалось ответить на вопрос о наличии близорукости у биологических родителей, самостоятельно оценить время, потраченное на выполнение визуальных задач (включая дополнительную зрительную нагрузку, экранное время), </w:t>
      </w:r>
      <w:r w:rsidR="00A33D59" w:rsidRPr="004804AA">
        <w:rPr>
          <w:rFonts w:ascii="Times New Roman" w:hAnsi="Times New Roman" w:cs="Times New Roman"/>
          <w:sz w:val="28"/>
          <w:szCs w:val="28"/>
        </w:rPr>
        <w:t>время,</w:t>
      </w:r>
      <w:r w:rsidR="000A0294" w:rsidRPr="004804AA">
        <w:rPr>
          <w:rFonts w:ascii="Times New Roman" w:hAnsi="Times New Roman" w:cs="Times New Roman"/>
          <w:sz w:val="28"/>
          <w:szCs w:val="28"/>
        </w:rPr>
        <w:t xml:space="preserve"> проводимое на открытом воздухе, школьная смена, регулярность физической активности. </w:t>
      </w:r>
    </w:p>
    <w:p w14:paraId="287AF572" w14:textId="336CF3E5" w:rsidR="000A0294" w:rsidRPr="004804AA" w:rsidRDefault="000A0294" w:rsidP="00C305B5">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Примерное время заполнения анкеты составляло 2</w:t>
      </w:r>
      <w:r w:rsidR="002E7322">
        <w:rPr>
          <w:rFonts w:ascii="Times New Roman" w:hAnsi="Times New Roman" w:cs="Times New Roman"/>
          <w:sz w:val="28"/>
          <w:szCs w:val="28"/>
        </w:rPr>
        <w:t xml:space="preserve"> </w:t>
      </w:r>
      <w:r w:rsidRPr="004804AA">
        <w:rPr>
          <w:rFonts w:ascii="Times New Roman" w:hAnsi="Times New Roman" w:cs="Times New Roman"/>
          <w:sz w:val="28"/>
          <w:szCs w:val="28"/>
        </w:rPr>
        <w:t>–</w:t>
      </w:r>
      <w:r w:rsidR="002E7322">
        <w:rPr>
          <w:rFonts w:ascii="Times New Roman" w:hAnsi="Times New Roman" w:cs="Times New Roman"/>
          <w:sz w:val="28"/>
          <w:szCs w:val="28"/>
        </w:rPr>
        <w:t xml:space="preserve"> </w:t>
      </w:r>
      <w:r w:rsidRPr="004804AA">
        <w:rPr>
          <w:rFonts w:ascii="Times New Roman" w:hAnsi="Times New Roman" w:cs="Times New Roman"/>
          <w:sz w:val="28"/>
          <w:szCs w:val="28"/>
        </w:rPr>
        <w:t>5 минут. Передача и сбор опросников родителям проводились через классных руководителей после проведения осмотра.</w:t>
      </w:r>
    </w:p>
    <w:p w14:paraId="1026CFE3" w14:textId="77777777" w:rsidR="000A0294" w:rsidRDefault="000A0294" w:rsidP="005C37DF">
      <w:pPr>
        <w:spacing w:after="0" w:line="240" w:lineRule="auto"/>
        <w:ind w:firstLine="709"/>
        <w:jc w:val="both"/>
        <w:rPr>
          <w:rFonts w:ascii="Times New Roman" w:hAnsi="Times New Roman" w:cs="Times New Roman"/>
          <w:sz w:val="28"/>
          <w:szCs w:val="28"/>
        </w:rPr>
      </w:pPr>
    </w:p>
    <w:p w14:paraId="75D559D3" w14:textId="77777777" w:rsidR="004E6EDA" w:rsidRPr="004804AA" w:rsidRDefault="004E6EDA" w:rsidP="005C37DF">
      <w:pPr>
        <w:spacing w:after="0" w:line="240" w:lineRule="auto"/>
        <w:ind w:firstLine="709"/>
        <w:jc w:val="both"/>
        <w:rPr>
          <w:rFonts w:ascii="Times New Roman" w:hAnsi="Times New Roman" w:cs="Times New Roman"/>
          <w:sz w:val="28"/>
          <w:szCs w:val="28"/>
        </w:rPr>
      </w:pPr>
    </w:p>
    <w:p w14:paraId="3C01F728" w14:textId="61BF506F" w:rsidR="000A0294" w:rsidRPr="0006291A" w:rsidRDefault="000A0294" w:rsidP="005C37DF">
      <w:pPr>
        <w:spacing w:after="0" w:line="240" w:lineRule="auto"/>
        <w:ind w:firstLine="709"/>
        <w:jc w:val="both"/>
        <w:rPr>
          <w:rFonts w:ascii="Times New Roman" w:hAnsi="Times New Roman" w:cs="Times New Roman"/>
          <w:b/>
          <w:bCs/>
          <w:sz w:val="28"/>
          <w:szCs w:val="28"/>
        </w:rPr>
      </w:pPr>
      <w:r w:rsidRPr="0006291A">
        <w:rPr>
          <w:rFonts w:ascii="Times New Roman" w:hAnsi="Times New Roman" w:cs="Times New Roman"/>
          <w:b/>
          <w:bCs/>
          <w:sz w:val="28"/>
          <w:szCs w:val="28"/>
        </w:rPr>
        <w:lastRenderedPageBreak/>
        <w:t>2.</w:t>
      </w:r>
      <w:r w:rsidR="0006291A" w:rsidRPr="0006291A">
        <w:rPr>
          <w:rFonts w:ascii="Times New Roman" w:hAnsi="Times New Roman" w:cs="Times New Roman"/>
          <w:b/>
          <w:bCs/>
          <w:sz w:val="28"/>
          <w:szCs w:val="28"/>
        </w:rPr>
        <w:t>5</w:t>
      </w:r>
      <w:r w:rsidRPr="0006291A">
        <w:rPr>
          <w:rFonts w:ascii="Times New Roman" w:hAnsi="Times New Roman" w:cs="Times New Roman"/>
          <w:b/>
          <w:bCs/>
          <w:sz w:val="28"/>
          <w:szCs w:val="28"/>
        </w:rPr>
        <w:t xml:space="preserve"> </w:t>
      </w:r>
      <w:r w:rsidR="00B22039">
        <w:rPr>
          <w:rFonts w:ascii="Times New Roman" w:hAnsi="Times New Roman" w:cs="Times New Roman"/>
          <w:b/>
          <w:bCs/>
          <w:sz w:val="28"/>
          <w:szCs w:val="28"/>
        </w:rPr>
        <w:t>Критерии и и</w:t>
      </w:r>
      <w:r w:rsidRPr="0006291A">
        <w:rPr>
          <w:rFonts w:ascii="Times New Roman" w:hAnsi="Times New Roman" w:cs="Times New Roman"/>
          <w:b/>
          <w:bCs/>
          <w:sz w:val="28"/>
          <w:szCs w:val="28"/>
        </w:rPr>
        <w:t>ндикаторы нарушения рефракции</w:t>
      </w:r>
    </w:p>
    <w:p w14:paraId="32737C25" w14:textId="7ED25B75" w:rsidR="000A0294" w:rsidRPr="00EF59F4"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Нарушение рефракции стандартно </w:t>
      </w:r>
      <w:bookmarkStart w:id="29" w:name="_Hlk100573316"/>
      <w:r w:rsidRPr="004804AA">
        <w:rPr>
          <w:rFonts w:ascii="Times New Roman" w:hAnsi="Times New Roman" w:cs="Times New Roman"/>
          <w:sz w:val="28"/>
          <w:szCs w:val="28"/>
        </w:rPr>
        <w:t>рассчитывали по сферическому эквивалент</w:t>
      </w:r>
      <w:r w:rsidR="002E0F76">
        <w:rPr>
          <w:rFonts w:ascii="Times New Roman" w:hAnsi="Times New Roman" w:cs="Times New Roman"/>
          <w:sz w:val="28"/>
          <w:szCs w:val="28"/>
        </w:rPr>
        <w:t>у рефракции</w:t>
      </w:r>
      <w:r w:rsidRPr="004804AA">
        <w:rPr>
          <w:rFonts w:ascii="Times New Roman" w:hAnsi="Times New Roman" w:cs="Times New Roman"/>
          <w:sz w:val="28"/>
          <w:szCs w:val="28"/>
        </w:rPr>
        <w:t xml:space="preserve"> (SER), рассчитанному как сфера плюс </w:t>
      </w:r>
      <w:r w:rsidRPr="00170771">
        <w:rPr>
          <w:rFonts w:ascii="Times New Roman" w:hAnsi="Times New Roman" w:cs="Times New Roman"/>
          <w:sz w:val="28"/>
          <w:szCs w:val="28"/>
        </w:rPr>
        <w:t xml:space="preserve">половина </w:t>
      </w:r>
      <w:r w:rsidR="004D4295" w:rsidRPr="00170771">
        <w:rPr>
          <w:rFonts w:ascii="Times New Roman" w:hAnsi="Times New Roman" w:cs="Times New Roman"/>
          <w:sz w:val="28"/>
          <w:szCs w:val="28"/>
        </w:rPr>
        <w:t xml:space="preserve">силы </w:t>
      </w:r>
      <w:r w:rsidRPr="00170771">
        <w:rPr>
          <w:rFonts w:ascii="Times New Roman" w:hAnsi="Times New Roman" w:cs="Times New Roman"/>
          <w:sz w:val="28"/>
          <w:szCs w:val="28"/>
        </w:rPr>
        <w:t>цилиндрическо</w:t>
      </w:r>
      <w:r w:rsidR="004D4295" w:rsidRPr="00170771">
        <w:rPr>
          <w:rFonts w:ascii="Times New Roman" w:hAnsi="Times New Roman" w:cs="Times New Roman"/>
          <w:sz w:val="28"/>
          <w:szCs w:val="28"/>
        </w:rPr>
        <w:t>го компонента</w:t>
      </w:r>
      <w:bookmarkEnd w:id="29"/>
      <w:r w:rsidRPr="00170771">
        <w:rPr>
          <w:rFonts w:ascii="Times New Roman" w:hAnsi="Times New Roman" w:cs="Times New Roman"/>
          <w:sz w:val="28"/>
          <w:szCs w:val="28"/>
        </w:rPr>
        <w:t>. Миопия определялась как как SER ≤-0,50 D. При этом градации миопии определялись как слабая (-3,0 D ≤ SER ≤-0,50 D), средняя ( -6,0 D ≤ SER ≤-3,25 D) или высокая (SER&lt;-6,0 D)</w:t>
      </w:r>
      <w:r w:rsidR="004D4295" w:rsidRPr="00170771">
        <w:rPr>
          <w:rFonts w:ascii="Times New Roman" w:hAnsi="Times New Roman" w:cs="Times New Roman"/>
          <w:sz w:val="28"/>
          <w:szCs w:val="28"/>
        </w:rPr>
        <w:t xml:space="preserve"> </w:t>
      </w:r>
      <w:r w:rsidRPr="00170771">
        <w:rPr>
          <w:rFonts w:ascii="Times New Roman" w:hAnsi="Times New Roman" w:cs="Times New Roman"/>
          <w:sz w:val="28"/>
          <w:szCs w:val="28"/>
        </w:rPr>
        <w:t>близорукость. Нарушения рефракции ≥ + 1,00 D были классифицированы</w:t>
      </w:r>
      <w:r w:rsidRPr="004804AA">
        <w:rPr>
          <w:rFonts w:ascii="Times New Roman" w:hAnsi="Times New Roman" w:cs="Times New Roman"/>
          <w:sz w:val="28"/>
          <w:szCs w:val="28"/>
        </w:rPr>
        <w:t xml:space="preserve"> как гиперметропия. Клинически значимый </w:t>
      </w:r>
      <w:r w:rsidRPr="00EF59F4">
        <w:rPr>
          <w:rFonts w:ascii="Times New Roman" w:hAnsi="Times New Roman" w:cs="Times New Roman"/>
          <w:sz w:val="28"/>
          <w:szCs w:val="28"/>
        </w:rPr>
        <w:t xml:space="preserve">астигматизм (CSA) был зарегистрирован нами </w:t>
      </w:r>
      <w:r w:rsidR="00303E2D" w:rsidRPr="00EF59F4">
        <w:rPr>
          <w:rFonts w:ascii="Times New Roman" w:hAnsi="Times New Roman" w:cs="Times New Roman"/>
          <w:sz w:val="28"/>
          <w:szCs w:val="28"/>
        </w:rPr>
        <w:t>при разнице в меридианах астигматизма</w:t>
      </w:r>
      <w:r w:rsidRPr="00EF59F4">
        <w:rPr>
          <w:rFonts w:ascii="Times New Roman" w:hAnsi="Times New Roman" w:cs="Times New Roman"/>
          <w:sz w:val="28"/>
          <w:szCs w:val="28"/>
        </w:rPr>
        <w:t xml:space="preserve"> в 1,0 D или больше, вне зависимости от знака. При этом </w:t>
      </w:r>
      <w:r w:rsidR="00303E2D" w:rsidRPr="00EF59F4">
        <w:rPr>
          <w:rFonts w:ascii="Times New Roman" w:hAnsi="Times New Roman" w:cs="Times New Roman"/>
          <w:sz w:val="28"/>
          <w:szCs w:val="28"/>
        </w:rPr>
        <w:t xml:space="preserve">разница в меридианах астигматизма </w:t>
      </w:r>
      <w:r w:rsidRPr="00EF59F4">
        <w:rPr>
          <w:rFonts w:ascii="Times New Roman" w:hAnsi="Times New Roman" w:cs="Times New Roman"/>
          <w:sz w:val="28"/>
          <w:szCs w:val="28"/>
        </w:rPr>
        <w:t>≥2,50 D оценивалась нами как высокий астигматизм (</w:t>
      </w:r>
      <w:r w:rsidR="00D97E7C" w:rsidRPr="00EF59F4">
        <w:rPr>
          <w:rFonts w:ascii="Times New Roman" w:hAnsi="Times New Roman" w:cs="Times New Roman"/>
          <w:sz w:val="28"/>
          <w:szCs w:val="28"/>
        </w:rPr>
        <w:t>т</w:t>
      </w:r>
      <w:r w:rsidRPr="00EF59F4">
        <w:rPr>
          <w:rFonts w:ascii="Times New Roman" w:hAnsi="Times New Roman" w:cs="Times New Roman"/>
          <w:sz w:val="28"/>
          <w:szCs w:val="28"/>
        </w:rPr>
        <w:t>абл</w:t>
      </w:r>
      <w:r w:rsidR="00D97E7C" w:rsidRPr="00EF59F4">
        <w:rPr>
          <w:rFonts w:ascii="Times New Roman" w:hAnsi="Times New Roman" w:cs="Times New Roman"/>
          <w:sz w:val="28"/>
          <w:szCs w:val="28"/>
        </w:rPr>
        <w:t>ица 6</w:t>
      </w:r>
      <w:r w:rsidRPr="00EF59F4">
        <w:rPr>
          <w:rFonts w:ascii="Times New Roman" w:hAnsi="Times New Roman" w:cs="Times New Roman"/>
          <w:sz w:val="28"/>
          <w:szCs w:val="28"/>
        </w:rPr>
        <w:t>).</w:t>
      </w:r>
    </w:p>
    <w:p w14:paraId="0C2591B2" w14:textId="77777777" w:rsidR="00DE6F47" w:rsidRPr="004804AA" w:rsidRDefault="00DE6F47" w:rsidP="005C37DF">
      <w:pPr>
        <w:spacing w:after="0" w:line="240" w:lineRule="auto"/>
        <w:ind w:firstLine="709"/>
        <w:jc w:val="both"/>
        <w:rPr>
          <w:rFonts w:ascii="Times New Roman" w:hAnsi="Times New Roman" w:cs="Times New Roman"/>
          <w:sz w:val="28"/>
          <w:szCs w:val="28"/>
        </w:rPr>
      </w:pPr>
    </w:p>
    <w:p w14:paraId="0BFD2B5D" w14:textId="79736220" w:rsidR="000A0294" w:rsidRDefault="000A0294" w:rsidP="008E1E65">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8E1E65">
        <w:rPr>
          <w:rFonts w:ascii="Times New Roman" w:hAnsi="Times New Roman" w:cs="Times New Roman"/>
          <w:sz w:val="28"/>
          <w:szCs w:val="28"/>
        </w:rPr>
        <w:t xml:space="preserve">6 </w:t>
      </w:r>
      <w:r w:rsidR="0006291A">
        <w:rPr>
          <w:rFonts w:ascii="Times New Roman" w:hAnsi="Times New Roman" w:cs="Times New Roman"/>
          <w:sz w:val="28"/>
          <w:szCs w:val="28"/>
        </w:rPr>
        <w:t>–</w:t>
      </w:r>
      <w:r w:rsidRPr="004804AA">
        <w:rPr>
          <w:rFonts w:ascii="Times New Roman" w:hAnsi="Times New Roman" w:cs="Times New Roman"/>
          <w:sz w:val="28"/>
          <w:szCs w:val="28"/>
        </w:rPr>
        <w:t xml:space="preserve"> </w:t>
      </w:r>
      <w:r w:rsidR="0006291A">
        <w:rPr>
          <w:rFonts w:ascii="Times New Roman" w:hAnsi="Times New Roman" w:cs="Times New Roman"/>
          <w:sz w:val="28"/>
          <w:szCs w:val="28"/>
        </w:rPr>
        <w:t>Критерии и и</w:t>
      </w:r>
      <w:r w:rsidRPr="004804AA">
        <w:rPr>
          <w:rFonts w:ascii="Times New Roman" w:hAnsi="Times New Roman" w:cs="Times New Roman"/>
          <w:sz w:val="28"/>
          <w:szCs w:val="28"/>
        </w:rPr>
        <w:t>ндикаторы нарушения рефракции</w:t>
      </w:r>
    </w:p>
    <w:p w14:paraId="39D3BFC9" w14:textId="77777777" w:rsidR="008E1E65" w:rsidRPr="004804AA" w:rsidRDefault="008E1E65" w:rsidP="008E1E65">
      <w:pPr>
        <w:spacing w:after="0" w:line="24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3539"/>
        <w:gridCol w:w="5245"/>
      </w:tblGrid>
      <w:tr w:rsidR="000A0294" w:rsidRPr="004804AA" w14:paraId="105222F6" w14:textId="77777777" w:rsidTr="008E1E65">
        <w:tc>
          <w:tcPr>
            <w:tcW w:w="3539" w:type="dxa"/>
          </w:tcPr>
          <w:p w14:paraId="0A75359A" w14:textId="0D0478B8" w:rsidR="000A0294" w:rsidRPr="008E1E65" w:rsidRDefault="008E1E65" w:rsidP="008E1E6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Вид а</w:t>
            </w:r>
            <w:r w:rsidR="000A0294" w:rsidRPr="008E1E65">
              <w:rPr>
                <w:rFonts w:ascii="Times New Roman" w:hAnsi="Times New Roman" w:cs="Times New Roman"/>
                <w:b/>
                <w:bCs/>
                <w:sz w:val="28"/>
                <w:szCs w:val="28"/>
              </w:rPr>
              <w:t>номалии рефракции</w:t>
            </w:r>
          </w:p>
        </w:tc>
        <w:tc>
          <w:tcPr>
            <w:tcW w:w="5245" w:type="dxa"/>
          </w:tcPr>
          <w:p w14:paraId="4D960BDE" w14:textId="17269F22" w:rsidR="000A0294" w:rsidRPr="00DB610F" w:rsidRDefault="000A0294" w:rsidP="00080184">
            <w:pPr>
              <w:spacing w:after="0" w:line="240" w:lineRule="auto"/>
              <w:jc w:val="center"/>
              <w:rPr>
                <w:rFonts w:ascii="Times New Roman" w:hAnsi="Times New Roman" w:cs="Times New Roman"/>
                <w:b/>
                <w:bCs/>
                <w:sz w:val="28"/>
                <w:szCs w:val="28"/>
                <w:vertAlign w:val="superscript"/>
              </w:rPr>
            </w:pPr>
            <w:r w:rsidRPr="008E1E65">
              <w:rPr>
                <w:rFonts w:ascii="Times New Roman" w:hAnsi="Times New Roman" w:cs="Times New Roman"/>
                <w:b/>
                <w:bCs/>
                <w:sz w:val="28"/>
                <w:szCs w:val="28"/>
              </w:rPr>
              <w:t xml:space="preserve">Показатели </w:t>
            </w:r>
            <w:r w:rsidRPr="008E1E65">
              <w:rPr>
                <w:rFonts w:ascii="Times New Roman" w:hAnsi="Times New Roman" w:cs="Times New Roman"/>
                <w:b/>
                <w:bCs/>
                <w:sz w:val="28"/>
                <w:szCs w:val="28"/>
                <w:lang w:val="en-US"/>
              </w:rPr>
              <w:t>SER</w:t>
            </w:r>
            <w:r w:rsidR="00DB610F">
              <w:rPr>
                <w:rFonts w:ascii="Times New Roman" w:hAnsi="Times New Roman" w:cs="Times New Roman"/>
                <w:b/>
                <w:bCs/>
                <w:sz w:val="28"/>
                <w:szCs w:val="28"/>
                <w:vertAlign w:val="superscript"/>
              </w:rPr>
              <w:t>1</w:t>
            </w:r>
          </w:p>
        </w:tc>
      </w:tr>
      <w:tr w:rsidR="000A0294" w:rsidRPr="004804AA" w14:paraId="699B55D7" w14:textId="77777777" w:rsidTr="008E1E65">
        <w:tc>
          <w:tcPr>
            <w:tcW w:w="3539" w:type="dxa"/>
          </w:tcPr>
          <w:p w14:paraId="3A13ECA4"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Гиперметропия</w:t>
            </w:r>
          </w:p>
        </w:tc>
        <w:tc>
          <w:tcPr>
            <w:tcW w:w="5245" w:type="dxa"/>
          </w:tcPr>
          <w:p w14:paraId="296A2F0A" w14:textId="4825BDEB" w:rsidR="000A0294" w:rsidRPr="00E70A2F" w:rsidRDefault="000A0294" w:rsidP="00080184">
            <w:pPr>
              <w:spacing w:after="0" w:line="240" w:lineRule="auto"/>
              <w:jc w:val="center"/>
              <w:rPr>
                <w:rFonts w:ascii="Times New Roman" w:hAnsi="Times New Roman" w:cs="Times New Roman"/>
                <w:sz w:val="28"/>
                <w:szCs w:val="28"/>
              </w:rPr>
            </w:pPr>
            <w:r w:rsidRPr="00E70A2F">
              <w:rPr>
                <w:rFonts w:ascii="Times New Roman" w:hAnsi="Times New Roman" w:cs="Times New Roman"/>
                <w:sz w:val="28"/>
                <w:szCs w:val="28"/>
              </w:rPr>
              <w:t>≥ + 1,00</w:t>
            </w:r>
            <w:r w:rsidRPr="00E70A2F">
              <w:rPr>
                <w:rFonts w:ascii="Times New Roman" w:hAnsi="Times New Roman" w:cs="Times New Roman"/>
                <w:sz w:val="28"/>
                <w:szCs w:val="28"/>
                <w:lang w:val="en-US"/>
              </w:rPr>
              <w:t>D</w:t>
            </w:r>
            <w:r w:rsidR="00A82761" w:rsidRPr="00E70A2F">
              <w:rPr>
                <w:rFonts w:ascii="Times New Roman" w:hAnsi="Times New Roman" w:cs="Times New Roman"/>
                <w:sz w:val="28"/>
                <w:szCs w:val="28"/>
                <w:vertAlign w:val="superscript"/>
              </w:rPr>
              <w:t>2</w:t>
            </w:r>
          </w:p>
        </w:tc>
      </w:tr>
      <w:tr w:rsidR="000A0294" w:rsidRPr="004804AA" w14:paraId="02A944BB" w14:textId="77777777" w:rsidTr="008E1E65">
        <w:tc>
          <w:tcPr>
            <w:tcW w:w="3539" w:type="dxa"/>
          </w:tcPr>
          <w:p w14:paraId="073916B0"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Норма</w:t>
            </w:r>
          </w:p>
        </w:tc>
        <w:tc>
          <w:tcPr>
            <w:tcW w:w="5245" w:type="dxa"/>
          </w:tcPr>
          <w:p w14:paraId="342821E6" w14:textId="77777777" w:rsidR="000A0294" w:rsidRPr="00E70A2F" w:rsidRDefault="000A0294" w:rsidP="00080184">
            <w:pPr>
              <w:spacing w:after="0" w:line="240" w:lineRule="auto"/>
              <w:jc w:val="center"/>
              <w:rPr>
                <w:rFonts w:ascii="Times New Roman" w:hAnsi="Times New Roman" w:cs="Times New Roman"/>
                <w:sz w:val="28"/>
                <w:szCs w:val="28"/>
              </w:rPr>
            </w:pPr>
            <w:r w:rsidRPr="00E70A2F">
              <w:rPr>
                <w:rFonts w:ascii="Times New Roman" w:hAnsi="Times New Roman" w:cs="Times New Roman"/>
                <w:sz w:val="28"/>
                <w:szCs w:val="28"/>
              </w:rPr>
              <w:t>+ 1,00</w:t>
            </w:r>
            <w:r w:rsidRPr="00E70A2F">
              <w:rPr>
                <w:rFonts w:ascii="Times New Roman" w:hAnsi="Times New Roman" w:cs="Times New Roman"/>
                <w:sz w:val="28"/>
                <w:szCs w:val="28"/>
                <w:lang w:val="en-US"/>
              </w:rPr>
              <w:t>D</w:t>
            </w:r>
            <w:r w:rsidRPr="00E70A2F">
              <w:rPr>
                <w:rFonts w:ascii="Times New Roman" w:hAnsi="Times New Roman" w:cs="Times New Roman"/>
                <w:sz w:val="28"/>
                <w:szCs w:val="28"/>
              </w:rPr>
              <w:t xml:space="preserve"> &lt;</w:t>
            </w:r>
            <w:r w:rsidRPr="00E70A2F">
              <w:rPr>
                <w:rFonts w:ascii="Times New Roman" w:hAnsi="Times New Roman" w:cs="Times New Roman"/>
                <w:sz w:val="28"/>
                <w:szCs w:val="28"/>
                <w:lang w:val="en-US"/>
              </w:rPr>
              <w:t xml:space="preserve"> -</w:t>
            </w:r>
            <w:r w:rsidRPr="00E70A2F">
              <w:rPr>
                <w:rFonts w:ascii="Times New Roman" w:hAnsi="Times New Roman" w:cs="Times New Roman"/>
                <w:sz w:val="28"/>
                <w:szCs w:val="28"/>
              </w:rPr>
              <w:t>0,5</w:t>
            </w:r>
            <w:r w:rsidRPr="00E70A2F">
              <w:rPr>
                <w:rFonts w:ascii="Times New Roman" w:hAnsi="Times New Roman" w:cs="Times New Roman"/>
                <w:sz w:val="28"/>
                <w:szCs w:val="28"/>
                <w:lang w:val="en-US"/>
              </w:rPr>
              <w:t>D</w:t>
            </w:r>
          </w:p>
        </w:tc>
      </w:tr>
      <w:tr w:rsidR="000A0294" w:rsidRPr="004804AA" w14:paraId="5885586B" w14:textId="77777777" w:rsidTr="008E1E65">
        <w:tc>
          <w:tcPr>
            <w:tcW w:w="3539" w:type="dxa"/>
          </w:tcPr>
          <w:p w14:paraId="32BE7B0C"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Миопия слабая</w:t>
            </w:r>
          </w:p>
        </w:tc>
        <w:tc>
          <w:tcPr>
            <w:tcW w:w="5245" w:type="dxa"/>
          </w:tcPr>
          <w:p w14:paraId="50834F48" w14:textId="6C246BAC" w:rsidR="000A0294" w:rsidRPr="00E70A2F" w:rsidRDefault="00E70A2F" w:rsidP="00E70A2F">
            <w:pPr>
              <w:pStyle w:val="ab"/>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303E2D" w:rsidRPr="00E70A2F">
              <w:rPr>
                <w:rFonts w:ascii="Times New Roman" w:hAnsi="Times New Roman" w:cs="Times New Roman"/>
                <w:sz w:val="28"/>
                <w:szCs w:val="28"/>
              </w:rPr>
              <w:t>0</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5 – 3</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0</w:t>
            </w:r>
            <w:r w:rsidRPr="00E70A2F">
              <w:rPr>
                <w:rFonts w:ascii="Times New Roman" w:hAnsi="Times New Roman" w:cs="Times New Roman"/>
                <w:sz w:val="28"/>
                <w:szCs w:val="28"/>
                <w:lang w:val="en-US"/>
              </w:rPr>
              <w:t>D</w:t>
            </w:r>
          </w:p>
        </w:tc>
      </w:tr>
      <w:tr w:rsidR="000A0294" w:rsidRPr="004804AA" w14:paraId="23961A6F" w14:textId="77777777" w:rsidTr="008E1E65">
        <w:tc>
          <w:tcPr>
            <w:tcW w:w="3539" w:type="dxa"/>
          </w:tcPr>
          <w:p w14:paraId="0E9DE3DB"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Миопия средняя</w:t>
            </w:r>
          </w:p>
        </w:tc>
        <w:tc>
          <w:tcPr>
            <w:tcW w:w="5245" w:type="dxa"/>
          </w:tcPr>
          <w:p w14:paraId="5A3AFA03" w14:textId="58C6FCFF" w:rsidR="000A0294" w:rsidRPr="00E70A2F" w:rsidRDefault="00E70A2F" w:rsidP="00E70A2F">
            <w:pPr>
              <w:pStyle w:val="ab"/>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00303E2D" w:rsidRPr="00E70A2F">
              <w:rPr>
                <w:rFonts w:ascii="Times New Roman" w:hAnsi="Times New Roman" w:cs="Times New Roman"/>
                <w:sz w:val="28"/>
                <w:szCs w:val="28"/>
              </w:rPr>
              <w:t>3</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25 – 6</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0</w:t>
            </w:r>
            <w:r w:rsidRPr="00E70A2F">
              <w:rPr>
                <w:rFonts w:ascii="Times New Roman" w:hAnsi="Times New Roman" w:cs="Times New Roman"/>
                <w:sz w:val="28"/>
                <w:szCs w:val="28"/>
                <w:lang w:val="en-US"/>
              </w:rPr>
              <w:t>D</w:t>
            </w:r>
          </w:p>
        </w:tc>
      </w:tr>
      <w:tr w:rsidR="000A0294" w:rsidRPr="004804AA" w14:paraId="308CFA15" w14:textId="77777777" w:rsidTr="008E1E65">
        <w:tc>
          <w:tcPr>
            <w:tcW w:w="3539" w:type="dxa"/>
          </w:tcPr>
          <w:p w14:paraId="5080E9E4"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Миопия высокая</w:t>
            </w:r>
          </w:p>
        </w:tc>
        <w:tc>
          <w:tcPr>
            <w:tcW w:w="5245" w:type="dxa"/>
          </w:tcPr>
          <w:p w14:paraId="7C99BA4C" w14:textId="5DE8BDAB" w:rsidR="000A0294" w:rsidRPr="00E70A2F" w:rsidRDefault="00E70A2F" w:rsidP="00E70A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03E2D" w:rsidRPr="00E70A2F">
              <w:rPr>
                <w:rFonts w:ascii="Times New Roman" w:hAnsi="Times New Roman" w:cs="Times New Roman"/>
                <w:sz w:val="28"/>
                <w:szCs w:val="28"/>
              </w:rPr>
              <w:t>6</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25</w:t>
            </w:r>
            <w:r w:rsidRPr="00E70A2F">
              <w:rPr>
                <w:rFonts w:ascii="Times New Roman" w:hAnsi="Times New Roman" w:cs="Times New Roman"/>
                <w:sz w:val="28"/>
                <w:szCs w:val="28"/>
              </w:rPr>
              <w:t xml:space="preserve"> </w:t>
            </w:r>
            <w:r w:rsidR="00303E2D" w:rsidRPr="00E70A2F">
              <w:rPr>
                <w:rFonts w:ascii="Times New Roman" w:hAnsi="Times New Roman" w:cs="Times New Roman"/>
                <w:sz w:val="28"/>
                <w:szCs w:val="28"/>
              </w:rPr>
              <w:t>- 10</w:t>
            </w:r>
            <w:r w:rsidRPr="00E70A2F">
              <w:rPr>
                <w:rFonts w:ascii="Times New Roman" w:hAnsi="Times New Roman" w:cs="Times New Roman"/>
                <w:sz w:val="28"/>
                <w:szCs w:val="28"/>
              </w:rPr>
              <w:t>,</w:t>
            </w:r>
            <w:r w:rsidR="00303E2D" w:rsidRPr="00E70A2F">
              <w:rPr>
                <w:rFonts w:ascii="Times New Roman" w:hAnsi="Times New Roman" w:cs="Times New Roman"/>
                <w:sz w:val="28"/>
                <w:szCs w:val="28"/>
              </w:rPr>
              <w:t>0</w:t>
            </w:r>
            <w:r w:rsidRPr="00E70A2F">
              <w:rPr>
                <w:rFonts w:ascii="Times New Roman" w:hAnsi="Times New Roman" w:cs="Times New Roman"/>
                <w:sz w:val="28"/>
                <w:szCs w:val="28"/>
                <w:lang w:val="en-US"/>
              </w:rPr>
              <w:t>D</w:t>
            </w:r>
          </w:p>
        </w:tc>
      </w:tr>
      <w:tr w:rsidR="000A0294" w:rsidRPr="004804AA" w14:paraId="7F666437" w14:textId="77777777" w:rsidTr="008E1E65">
        <w:tc>
          <w:tcPr>
            <w:tcW w:w="3539" w:type="dxa"/>
          </w:tcPr>
          <w:p w14:paraId="2B62D6DD"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Астигматизм</w:t>
            </w:r>
          </w:p>
        </w:tc>
        <w:tc>
          <w:tcPr>
            <w:tcW w:w="5245" w:type="dxa"/>
          </w:tcPr>
          <w:p w14:paraId="09D9B0F5" w14:textId="6AF3C6B9" w:rsidR="000A0294" w:rsidRPr="00E70A2F" w:rsidRDefault="000A0294" w:rsidP="00E70A2F">
            <w:pPr>
              <w:spacing w:after="0" w:line="240" w:lineRule="auto"/>
              <w:jc w:val="center"/>
              <w:rPr>
                <w:rFonts w:ascii="Times New Roman" w:hAnsi="Times New Roman" w:cs="Times New Roman"/>
                <w:sz w:val="28"/>
                <w:szCs w:val="28"/>
                <w:lang w:val="en-US"/>
              </w:rPr>
            </w:pPr>
            <w:r w:rsidRPr="00E70A2F">
              <w:rPr>
                <w:rFonts w:ascii="Times New Roman" w:hAnsi="Times New Roman" w:cs="Times New Roman"/>
                <w:sz w:val="28"/>
                <w:szCs w:val="28"/>
                <w:lang w:val="en-US"/>
              </w:rPr>
              <w:t>+</w:t>
            </w:r>
            <w:r w:rsidRPr="00E70A2F">
              <w:rPr>
                <w:rFonts w:ascii="Times New Roman" w:hAnsi="Times New Roman" w:cs="Times New Roman"/>
                <w:sz w:val="28"/>
                <w:szCs w:val="28"/>
              </w:rPr>
              <w:t xml:space="preserve"> 1,0</w:t>
            </w:r>
            <w:r w:rsidRPr="00E70A2F">
              <w:rPr>
                <w:rFonts w:ascii="Times New Roman" w:hAnsi="Times New Roman" w:cs="Times New Roman"/>
                <w:sz w:val="28"/>
                <w:szCs w:val="28"/>
                <w:lang w:val="en-US"/>
              </w:rPr>
              <w:t>D</w:t>
            </w:r>
            <w:r w:rsidRPr="00E70A2F">
              <w:rPr>
                <w:rFonts w:ascii="Times New Roman" w:hAnsi="Times New Roman" w:cs="Times New Roman"/>
                <w:sz w:val="28"/>
                <w:szCs w:val="28"/>
              </w:rPr>
              <w:t xml:space="preserve"> ≤ </w:t>
            </w:r>
            <w:r w:rsidRPr="00E70A2F">
              <w:rPr>
                <w:rFonts w:ascii="Times New Roman" w:hAnsi="Times New Roman" w:cs="Times New Roman"/>
                <w:sz w:val="28"/>
                <w:szCs w:val="28"/>
                <w:lang w:val="en-US"/>
              </w:rPr>
              <w:t>cyl</w:t>
            </w:r>
            <w:r w:rsidR="00A82761" w:rsidRPr="00E70A2F">
              <w:rPr>
                <w:rFonts w:ascii="Times New Roman" w:hAnsi="Times New Roman" w:cs="Times New Roman"/>
                <w:sz w:val="28"/>
                <w:szCs w:val="28"/>
                <w:vertAlign w:val="superscript"/>
              </w:rPr>
              <w:t>3</w:t>
            </w:r>
            <w:r w:rsidRPr="00E70A2F">
              <w:rPr>
                <w:rFonts w:ascii="Times New Roman" w:hAnsi="Times New Roman" w:cs="Times New Roman"/>
                <w:sz w:val="28"/>
                <w:szCs w:val="28"/>
                <w:lang w:val="en-US"/>
              </w:rPr>
              <w:t xml:space="preserve"> ≤ -1,0D</w:t>
            </w:r>
          </w:p>
        </w:tc>
      </w:tr>
      <w:tr w:rsidR="000A0294" w:rsidRPr="004804AA" w14:paraId="4DFED25D" w14:textId="77777777" w:rsidTr="008E1E65">
        <w:tc>
          <w:tcPr>
            <w:tcW w:w="3539" w:type="dxa"/>
          </w:tcPr>
          <w:p w14:paraId="161FA18C" w14:textId="77777777" w:rsidR="000A0294" w:rsidRPr="004804AA" w:rsidRDefault="000A0294" w:rsidP="008E1E65">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Высокий астигматизм</w:t>
            </w:r>
          </w:p>
        </w:tc>
        <w:tc>
          <w:tcPr>
            <w:tcW w:w="5245" w:type="dxa"/>
          </w:tcPr>
          <w:p w14:paraId="56852C3C" w14:textId="77777777" w:rsidR="000A0294" w:rsidRPr="00E70A2F" w:rsidRDefault="000A0294" w:rsidP="00E70A2F">
            <w:pPr>
              <w:spacing w:after="0" w:line="240" w:lineRule="auto"/>
              <w:jc w:val="center"/>
              <w:rPr>
                <w:rFonts w:ascii="Times New Roman" w:hAnsi="Times New Roman" w:cs="Times New Roman"/>
                <w:sz w:val="28"/>
                <w:szCs w:val="28"/>
                <w:lang w:val="en-US"/>
              </w:rPr>
            </w:pPr>
            <w:r w:rsidRPr="00E70A2F">
              <w:rPr>
                <w:rFonts w:ascii="Times New Roman" w:hAnsi="Times New Roman" w:cs="Times New Roman"/>
                <w:sz w:val="28"/>
                <w:szCs w:val="28"/>
                <w:lang w:val="en-US"/>
              </w:rPr>
              <w:t>+</w:t>
            </w:r>
            <w:r w:rsidRPr="00E70A2F">
              <w:rPr>
                <w:rFonts w:ascii="Times New Roman" w:hAnsi="Times New Roman" w:cs="Times New Roman"/>
                <w:sz w:val="28"/>
                <w:szCs w:val="28"/>
              </w:rPr>
              <w:t xml:space="preserve"> </w:t>
            </w:r>
            <w:r w:rsidRPr="00E70A2F">
              <w:rPr>
                <w:rFonts w:ascii="Times New Roman" w:hAnsi="Times New Roman" w:cs="Times New Roman"/>
                <w:sz w:val="28"/>
                <w:szCs w:val="28"/>
                <w:lang w:val="en-US"/>
              </w:rPr>
              <w:t>2</w:t>
            </w:r>
            <w:r w:rsidRPr="00E70A2F">
              <w:rPr>
                <w:rFonts w:ascii="Times New Roman" w:hAnsi="Times New Roman" w:cs="Times New Roman"/>
                <w:sz w:val="28"/>
                <w:szCs w:val="28"/>
              </w:rPr>
              <w:t>,5</w:t>
            </w:r>
            <w:r w:rsidRPr="00E70A2F">
              <w:rPr>
                <w:rFonts w:ascii="Times New Roman" w:hAnsi="Times New Roman" w:cs="Times New Roman"/>
                <w:sz w:val="28"/>
                <w:szCs w:val="28"/>
                <w:lang w:val="en-US"/>
              </w:rPr>
              <w:t>D</w:t>
            </w:r>
            <w:r w:rsidRPr="00E70A2F">
              <w:rPr>
                <w:rFonts w:ascii="Times New Roman" w:hAnsi="Times New Roman" w:cs="Times New Roman"/>
                <w:sz w:val="28"/>
                <w:szCs w:val="28"/>
              </w:rPr>
              <w:t xml:space="preserve"> ≤ </w:t>
            </w:r>
            <w:r w:rsidRPr="00E70A2F">
              <w:rPr>
                <w:rFonts w:ascii="Times New Roman" w:hAnsi="Times New Roman" w:cs="Times New Roman"/>
                <w:sz w:val="28"/>
                <w:szCs w:val="28"/>
                <w:lang w:val="en-US"/>
              </w:rPr>
              <w:t>cyl ≤ -</w:t>
            </w:r>
            <w:r w:rsidRPr="00E70A2F">
              <w:rPr>
                <w:rFonts w:ascii="Times New Roman" w:hAnsi="Times New Roman" w:cs="Times New Roman"/>
                <w:sz w:val="28"/>
                <w:szCs w:val="28"/>
              </w:rPr>
              <w:t>2,5</w:t>
            </w:r>
            <w:r w:rsidRPr="00E70A2F">
              <w:rPr>
                <w:rFonts w:ascii="Times New Roman" w:hAnsi="Times New Roman" w:cs="Times New Roman"/>
                <w:sz w:val="28"/>
                <w:szCs w:val="28"/>
                <w:lang w:val="en-US"/>
              </w:rPr>
              <w:t>D</w:t>
            </w:r>
          </w:p>
        </w:tc>
      </w:tr>
      <w:tr w:rsidR="00A33D59" w:rsidRPr="004804AA" w14:paraId="290AA5EB" w14:textId="77777777" w:rsidTr="00292B55">
        <w:tc>
          <w:tcPr>
            <w:tcW w:w="8784" w:type="dxa"/>
            <w:gridSpan w:val="2"/>
          </w:tcPr>
          <w:p w14:paraId="6D17103A" w14:textId="77777777" w:rsidR="00A82761" w:rsidRDefault="00A33D59" w:rsidP="00A33D59">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r w:rsidR="00097928">
              <w:rPr>
                <w:rFonts w:ascii="Times New Roman" w:hAnsi="Times New Roman" w:cs="Times New Roman"/>
                <w:sz w:val="28"/>
                <w:szCs w:val="28"/>
              </w:rPr>
              <w:t>:</w:t>
            </w:r>
            <w:r>
              <w:rPr>
                <w:rFonts w:ascii="Times New Roman" w:hAnsi="Times New Roman" w:cs="Times New Roman"/>
                <w:sz w:val="28"/>
                <w:szCs w:val="28"/>
              </w:rPr>
              <w:t xml:space="preserve"> </w:t>
            </w:r>
          </w:p>
          <w:p w14:paraId="65D2DBE3" w14:textId="0398D7F3" w:rsidR="00A33D59" w:rsidRDefault="00DB610F" w:rsidP="00A33D59">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1</w:t>
            </w:r>
            <w:r w:rsidR="00097928">
              <w:rPr>
                <w:rFonts w:ascii="Times New Roman" w:hAnsi="Times New Roman" w:cs="Times New Roman"/>
                <w:sz w:val="28"/>
                <w:szCs w:val="28"/>
                <w:lang w:val="en-US"/>
              </w:rPr>
              <w:t>SER</w:t>
            </w:r>
            <w:r w:rsidR="00097928" w:rsidRPr="00A82761">
              <w:rPr>
                <w:rFonts w:ascii="Times New Roman" w:hAnsi="Times New Roman" w:cs="Times New Roman"/>
                <w:sz w:val="28"/>
                <w:szCs w:val="28"/>
              </w:rPr>
              <w:t xml:space="preserve"> - </w:t>
            </w:r>
            <w:r w:rsidR="00097928">
              <w:rPr>
                <w:rFonts w:ascii="Times New Roman" w:hAnsi="Times New Roman" w:cs="Times New Roman"/>
                <w:sz w:val="28"/>
                <w:szCs w:val="28"/>
              </w:rPr>
              <w:t>с</w:t>
            </w:r>
            <w:r w:rsidR="00A33D59" w:rsidRPr="00DB610F">
              <w:rPr>
                <w:rFonts w:ascii="Times New Roman" w:hAnsi="Times New Roman" w:cs="Times New Roman"/>
                <w:sz w:val="28"/>
                <w:szCs w:val="28"/>
              </w:rPr>
              <w:t>ферический</w:t>
            </w:r>
            <w:r w:rsidR="00A33D59">
              <w:rPr>
                <w:rFonts w:ascii="Times New Roman" w:hAnsi="Times New Roman" w:cs="Times New Roman"/>
                <w:sz w:val="28"/>
                <w:szCs w:val="28"/>
              </w:rPr>
              <w:t xml:space="preserve"> эквивалент</w:t>
            </w:r>
            <w:r w:rsidR="002E0F76">
              <w:rPr>
                <w:rFonts w:ascii="Times New Roman" w:hAnsi="Times New Roman" w:cs="Times New Roman"/>
                <w:sz w:val="28"/>
                <w:szCs w:val="28"/>
              </w:rPr>
              <w:t xml:space="preserve"> рефракции</w:t>
            </w:r>
            <w:r w:rsidR="00A82761">
              <w:rPr>
                <w:rFonts w:ascii="Times New Roman" w:hAnsi="Times New Roman" w:cs="Times New Roman"/>
                <w:sz w:val="28"/>
                <w:szCs w:val="28"/>
              </w:rPr>
              <w:t>;</w:t>
            </w:r>
          </w:p>
          <w:p w14:paraId="2D9C7F61" w14:textId="77777777" w:rsidR="00A82761" w:rsidRDefault="00A82761" w:rsidP="00A33D59">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2</w:t>
            </w:r>
            <w:r>
              <w:rPr>
                <w:rFonts w:ascii="Times New Roman" w:hAnsi="Times New Roman" w:cs="Times New Roman"/>
                <w:sz w:val="28"/>
                <w:szCs w:val="28"/>
                <w:lang w:val="en-US"/>
              </w:rPr>
              <w:t>D</w:t>
            </w:r>
            <w:r w:rsidRPr="00A82761">
              <w:rPr>
                <w:rFonts w:ascii="Times New Roman" w:hAnsi="Times New Roman" w:cs="Times New Roman"/>
                <w:sz w:val="28"/>
                <w:szCs w:val="28"/>
              </w:rPr>
              <w:t xml:space="preserve"> – </w:t>
            </w:r>
            <w:r>
              <w:rPr>
                <w:rFonts w:ascii="Times New Roman" w:hAnsi="Times New Roman" w:cs="Times New Roman"/>
                <w:sz w:val="28"/>
                <w:szCs w:val="28"/>
              </w:rPr>
              <w:t>диоптрии</w:t>
            </w:r>
          </w:p>
          <w:p w14:paraId="524E8329" w14:textId="44B8ADDE" w:rsidR="00A82761" w:rsidRPr="00A82761" w:rsidRDefault="00A82761" w:rsidP="00A33D59">
            <w:pPr>
              <w:spacing w:after="0" w:line="240" w:lineRule="auto"/>
              <w:rPr>
                <w:rFonts w:ascii="Times New Roman" w:hAnsi="Times New Roman" w:cs="Times New Roman"/>
                <w:sz w:val="28"/>
                <w:szCs w:val="28"/>
              </w:rPr>
            </w:pPr>
            <w:r w:rsidRPr="00A82761">
              <w:rPr>
                <w:rFonts w:ascii="Times New Roman" w:hAnsi="Times New Roman" w:cs="Times New Roman"/>
                <w:sz w:val="28"/>
                <w:szCs w:val="28"/>
                <w:vertAlign w:val="superscript"/>
              </w:rPr>
              <w:t>3</w:t>
            </w:r>
            <w:r>
              <w:rPr>
                <w:rFonts w:ascii="Times New Roman" w:hAnsi="Times New Roman" w:cs="Times New Roman"/>
                <w:sz w:val="28"/>
                <w:szCs w:val="28"/>
                <w:lang w:val="en-US"/>
              </w:rPr>
              <w:t>cyl</w:t>
            </w:r>
            <w:r w:rsidRPr="006F139D">
              <w:rPr>
                <w:rFonts w:ascii="Times New Roman" w:hAnsi="Times New Roman" w:cs="Times New Roman"/>
                <w:sz w:val="28"/>
                <w:szCs w:val="28"/>
              </w:rPr>
              <w:t xml:space="preserve"> – </w:t>
            </w:r>
            <w:r>
              <w:rPr>
                <w:rFonts w:ascii="Times New Roman" w:hAnsi="Times New Roman" w:cs="Times New Roman"/>
                <w:sz w:val="28"/>
                <w:szCs w:val="28"/>
              </w:rPr>
              <w:t>цилиндрический компонент рефракции</w:t>
            </w:r>
          </w:p>
        </w:tc>
      </w:tr>
    </w:tbl>
    <w:p w14:paraId="43D90816"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781806B6" w14:textId="614EAADB" w:rsidR="000A0294" w:rsidRPr="00EC2465" w:rsidRDefault="000A0294" w:rsidP="005C37DF">
      <w:pPr>
        <w:spacing w:after="0" w:line="240" w:lineRule="auto"/>
        <w:ind w:firstLine="709"/>
        <w:jc w:val="both"/>
        <w:rPr>
          <w:rFonts w:ascii="Times New Roman" w:hAnsi="Times New Roman" w:cs="Times New Roman"/>
          <w:b/>
          <w:bCs/>
          <w:sz w:val="28"/>
          <w:szCs w:val="28"/>
        </w:rPr>
      </w:pPr>
      <w:r w:rsidRPr="00EC2465">
        <w:rPr>
          <w:rFonts w:ascii="Times New Roman" w:hAnsi="Times New Roman" w:cs="Times New Roman"/>
          <w:b/>
          <w:bCs/>
          <w:sz w:val="28"/>
          <w:szCs w:val="28"/>
        </w:rPr>
        <w:t>2.</w:t>
      </w:r>
      <w:r w:rsidR="00EC2465">
        <w:rPr>
          <w:rFonts w:ascii="Times New Roman" w:hAnsi="Times New Roman" w:cs="Times New Roman"/>
          <w:b/>
          <w:bCs/>
          <w:sz w:val="28"/>
          <w:szCs w:val="28"/>
        </w:rPr>
        <w:t xml:space="preserve">6 Метод проведения компьютерного </w:t>
      </w:r>
      <w:r w:rsidRPr="00EC2465">
        <w:rPr>
          <w:rFonts w:ascii="Times New Roman" w:hAnsi="Times New Roman" w:cs="Times New Roman"/>
          <w:b/>
          <w:bCs/>
          <w:sz w:val="28"/>
          <w:szCs w:val="28"/>
        </w:rPr>
        <w:t>дистантного скрининга</w:t>
      </w:r>
    </w:p>
    <w:p w14:paraId="4CC66256" w14:textId="6CF5B1E4"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Программа дистантного скринингового обследования зрения была разработана и апробирована в 2009 году рабочей группой Новосибирского филиала «МНТК «Микрохирургия глаза» им. акад. С. Н. Федорова», Россия</w:t>
      </w:r>
      <w:r w:rsidR="00305CA0">
        <w:rPr>
          <w:rFonts w:ascii="Times New Roman" w:hAnsi="Times New Roman" w:cs="Times New Roman"/>
          <w:sz w:val="28"/>
          <w:szCs w:val="28"/>
        </w:rPr>
        <w:t xml:space="preserve"> </w:t>
      </w:r>
      <w:r w:rsidR="0016470E">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{"citationID":"a2K42hiw","properties":{"formattedCitation":"[243]","plainCitation":"[243]","noteIndex":0},"citationItems":[{"id":1868,"uris":["http://zotero.org/users/local/XMo5Fvid/items/LN5VKYD2"],"itemData":{"id":1868,"type":"document","title":"Свидетельство о государственной регистрации программы для ЭВМ № 2009613536. Программа для дистантного скринингового обследования зрения (ДВС) / ; Правообладатель: ФГУ «МНТК «Микрохирургии глаза» им. акад. С.Н. Федорова»; Заявка № 2009612240; Дата поступления: 14 мая 2009 г.; Зарегистрировано в Реестре программ для ЭВМ 1 июля 2009 г.","author":[{"literal":"Черных В.В."},{"literal":"Чернышевский А.Л."},{"literal":"Плисов И.Л."},{"literal":"Усачева Н.С."}]}}],"schema":"https://github.com/citation-style-language/schema/raw/master/csl-citation.json"} </w:instrText>
      </w:r>
      <w:r w:rsidR="0016470E">
        <w:rPr>
          <w:rFonts w:ascii="Times New Roman" w:hAnsi="Times New Roman" w:cs="Times New Roman"/>
          <w:sz w:val="28"/>
          <w:szCs w:val="28"/>
        </w:rPr>
        <w:fldChar w:fldCharType="separate"/>
      </w:r>
      <w:r w:rsidR="00A00EFF" w:rsidRPr="00A00EFF">
        <w:rPr>
          <w:rFonts w:ascii="Times New Roman" w:hAnsi="Times New Roman" w:cs="Times New Roman"/>
          <w:sz w:val="28"/>
        </w:rPr>
        <w:t>[243]</w:t>
      </w:r>
      <w:r w:rsidR="0016470E">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Пилотный проект проводился с октября 2011 г. по апрель 2015 г. на базе 69 средних общеобразовательных школ г. Новосибирска. За этот период было обследовано более 21 тысячи школьников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{"citationID":"KnElaJIC","properties":{"formattedCitation":"[40]","plainCitation":"[40]","noteIndex":0},"citationItems":[{"id":1706,"uris":["http://zotero.org/users/local/XMo5Fvid/items/UFP3IIN3"],"itemData":{"id":1706,"type":"article-journal","abstract":"Цель. Изучить эффективность дистантного скринингового обследования зрения у школьников, планирование путей его эффективного внедрения в практику, разработка перспективных направлений совершенствования.Материал и методы. Мы разработали интерактивную компьютерную программу для дистанционного обследования остроты зрения, определения сдвига рефракции в сторону миопии или гиперметропии, диагностики астигматизма и патологии макулярной области. Результаты обследования были автоматически записаны в компьютерной базе данных. Программа размещена на веб-сайте нашей клиники. Скрининг проводился среди 69 средних общеобразовательных школ г. Новосибирска. В зависимости от количества проводимых тестов продолжительность исследования – от 4 до 8 минут для группы из 5 школьников.Результаты и обсуждение. В течение четырех лет работы этого проекта были дистантно протестированы 21293 ребенка, обучающиеся в 69 школах. Для сравнения, в течение 8 лет было обследовано 26829 учеников с использованием офтальмологических аналогичных тестов, но непосредственно в школах. Таким образом, эффективность дистантного скрининга было более чем в 5 раз выше. Зрительные нарушения были диагностированы у 10220 учеников (48%).Выводы. Метод дистантного скрининга зрения является надежным и высокоэффективным. База данных результатов исследования является полезным для диагностики патологии на ранней стадии, чтобы отслеживать его динамику и своевременно информировать родителей о необходимости полного офтальмологического обследования и лечения своих де тей.","container-title":"Офтальмохирургия","ISSN":"2312-4970","issue":"3","language":"ru","license":"Авторы, публикующие статьи в данном журнале, соглашаются на следующее:   Авторы сохраняют за собой авторские права и предоставляют журналу право первой публикации работы, которая по истечении 6 месяцев после публикации автоматически лицензируется на условиях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3","page":"75-79","source":"www.ophthalmosurgery.ru","title":"Дистантное скрининговое обследование зрения школьников как метод диспансеризации","volume":"0","author":[{"family":"Черных","given":"В. В."},{"family":"Плисов","given":"И. Л."},{"family":"Чернышевский","given":"А. Л."}],"issued":{"date-parts":[["2015",12,22]]}}}],"schema":"https://github.com/citation-style-language/schema/raw/master/csl-citation.json"}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[40]</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w:t>
      </w:r>
    </w:p>
    <w:p w14:paraId="22B4055F"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Скрининг представляет собой интерактивную компьютерную программу дистанционного обследования и позволяет провести четыре вида оптометрического и офтальмологического обследования: </w:t>
      </w:r>
    </w:p>
    <w:p w14:paraId="6F3ECA93" w14:textId="291A33FA" w:rsidR="000A0294" w:rsidRPr="004804AA" w:rsidRDefault="000A0294"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sz w:val="28"/>
          <w:szCs w:val="28"/>
        </w:rPr>
        <w:t xml:space="preserve">1. </w:t>
      </w:r>
      <w:r w:rsidRPr="004804AA">
        <w:rPr>
          <w:rFonts w:ascii="Times New Roman" w:hAnsi="Times New Roman" w:cs="Times New Roman"/>
          <w:color w:val="000000"/>
          <w:sz w:val="28"/>
          <w:szCs w:val="28"/>
        </w:rPr>
        <w:t>Исследование остроты зрения</w:t>
      </w:r>
    </w:p>
    <w:p w14:paraId="56EE6B07" w14:textId="0AEAEA42" w:rsidR="000A0294" w:rsidRPr="004804AA" w:rsidRDefault="000A0294" w:rsidP="005C37DF">
      <w:pPr>
        <w:pStyle w:val="a4"/>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Определение остроты зрения проводится при помощи оптометрических </w:t>
      </w:r>
      <w:bookmarkStart w:id="30" w:name="_Hlk100573393"/>
      <w:r w:rsidRPr="004804AA">
        <w:rPr>
          <w:rFonts w:ascii="Times New Roman" w:hAnsi="Times New Roman" w:cs="Times New Roman"/>
          <w:color w:val="000000"/>
          <w:sz w:val="28"/>
          <w:szCs w:val="28"/>
        </w:rPr>
        <w:t>оптотипов Ландольта</w:t>
      </w:r>
      <w:bookmarkEnd w:id="30"/>
      <w:r w:rsidRPr="004804AA">
        <w:rPr>
          <w:rFonts w:ascii="Times New Roman" w:hAnsi="Times New Roman" w:cs="Times New Roman"/>
          <w:color w:val="000000"/>
          <w:sz w:val="28"/>
          <w:szCs w:val="28"/>
        </w:rPr>
        <w:t>, которые считаются наиболее достоверными при исследовании этой функции центрального зрения (Рис</w:t>
      </w:r>
      <w:r w:rsidR="00396E18">
        <w:rPr>
          <w:rFonts w:ascii="Times New Roman" w:hAnsi="Times New Roman" w:cs="Times New Roman"/>
          <w:color w:val="000000"/>
          <w:sz w:val="28"/>
          <w:szCs w:val="28"/>
        </w:rPr>
        <w:t>унок</w:t>
      </w:r>
      <w:r w:rsidRPr="004804AA">
        <w:rPr>
          <w:rFonts w:ascii="Times New Roman" w:hAnsi="Times New Roman" w:cs="Times New Roman"/>
          <w:color w:val="000000"/>
          <w:sz w:val="28"/>
          <w:szCs w:val="28"/>
        </w:rPr>
        <w:t xml:space="preserve"> 1).</w:t>
      </w:r>
    </w:p>
    <w:p w14:paraId="138CCEAD" w14:textId="77777777" w:rsidR="000A0294" w:rsidRPr="004804AA" w:rsidRDefault="000A0294" w:rsidP="005C37DF">
      <w:pPr>
        <w:pStyle w:val="a4"/>
        <w:ind w:firstLine="709"/>
        <w:jc w:val="both"/>
        <w:rPr>
          <w:rFonts w:ascii="Times New Roman" w:hAnsi="Times New Roman" w:cs="Times New Roman"/>
          <w:sz w:val="28"/>
          <w:szCs w:val="28"/>
        </w:rPr>
      </w:pPr>
    </w:p>
    <w:p w14:paraId="61631E57" w14:textId="77777777" w:rsidR="00AD5D48" w:rsidRDefault="008F68FD" w:rsidP="004C609F">
      <w:pPr>
        <w:pStyle w:val="a4"/>
        <w:ind w:firstLine="709"/>
        <w:jc w:val="center"/>
        <w:rPr>
          <w:rFonts w:ascii="Times New Roman" w:hAnsi="Times New Roman" w:cs="Times New Roman"/>
          <w:sz w:val="28"/>
          <w:szCs w:val="28"/>
        </w:rPr>
      </w:pPr>
      <w:r>
        <w:rPr>
          <w:noProof/>
          <w:lang w:eastAsia="ru-RU"/>
        </w:rPr>
        <w:lastRenderedPageBreak/>
        <w:drawing>
          <wp:inline distT="0" distB="0" distL="0" distR="0" wp14:anchorId="70566958" wp14:editId="646D1AD2">
            <wp:extent cx="5196840" cy="3061169"/>
            <wp:effectExtent l="19050" t="19050" r="22860" b="25400"/>
            <wp:docPr id="1491576836"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6836" name="Рисунок 9"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787" cy="3080576"/>
                    </a:xfrm>
                    <a:prstGeom prst="rect">
                      <a:avLst/>
                    </a:prstGeom>
                    <a:noFill/>
                    <a:ln>
                      <a:solidFill>
                        <a:schemeClr val="tx1"/>
                      </a:solidFill>
                    </a:ln>
                  </pic:spPr>
                </pic:pic>
              </a:graphicData>
            </a:graphic>
          </wp:inline>
        </w:drawing>
      </w:r>
      <w:r w:rsidR="000A0294" w:rsidRPr="004804AA">
        <w:rPr>
          <w:rFonts w:ascii="Times New Roman" w:hAnsi="Times New Roman" w:cs="Times New Roman"/>
          <w:sz w:val="28"/>
          <w:szCs w:val="28"/>
        </w:rPr>
        <w:br/>
      </w:r>
    </w:p>
    <w:p w14:paraId="1BE1823D" w14:textId="328FEAF0" w:rsidR="000A0294" w:rsidRDefault="000A0294" w:rsidP="004C609F">
      <w:pPr>
        <w:pStyle w:val="a4"/>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Рисунок 1 – </w:t>
      </w:r>
      <w:r w:rsidR="00734AC9">
        <w:rPr>
          <w:rFonts w:ascii="Times New Roman" w:hAnsi="Times New Roman" w:cs="Times New Roman"/>
          <w:sz w:val="28"/>
          <w:szCs w:val="28"/>
        </w:rPr>
        <w:t>Пример компьютерного и</w:t>
      </w:r>
      <w:r w:rsidRPr="004804AA">
        <w:rPr>
          <w:rFonts w:ascii="Times New Roman" w:hAnsi="Times New Roman" w:cs="Times New Roman"/>
          <w:sz w:val="28"/>
          <w:szCs w:val="28"/>
        </w:rPr>
        <w:t>сследовани</w:t>
      </w:r>
      <w:r w:rsidR="00734AC9">
        <w:rPr>
          <w:rFonts w:ascii="Times New Roman" w:hAnsi="Times New Roman" w:cs="Times New Roman"/>
          <w:sz w:val="28"/>
          <w:szCs w:val="28"/>
        </w:rPr>
        <w:t>я</w:t>
      </w:r>
      <w:r w:rsidRPr="004804AA">
        <w:rPr>
          <w:rFonts w:ascii="Times New Roman" w:hAnsi="Times New Roman" w:cs="Times New Roman"/>
          <w:sz w:val="28"/>
          <w:szCs w:val="28"/>
        </w:rPr>
        <w:t xml:space="preserve"> остроты зрения по кольцам Ландольта</w:t>
      </w:r>
    </w:p>
    <w:p w14:paraId="176A62B1" w14:textId="77777777" w:rsidR="00140D53" w:rsidRPr="004804AA" w:rsidRDefault="00140D53" w:rsidP="009416B9">
      <w:pPr>
        <w:pStyle w:val="a4"/>
        <w:jc w:val="center"/>
        <w:rPr>
          <w:rFonts w:ascii="Times New Roman" w:hAnsi="Times New Roman" w:cs="Times New Roman"/>
          <w:sz w:val="28"/>
          <w:szCs w:val="28"/>
        </w:rPr>
      </w:pPr>
    </w:p>
    <w:p w14:paraId="354E2B43" w14:textId="77777777" w:rsidR="000A0294" w:rsidRPr="004804AA" w:rsidRDefault="000A0294" w:rsidP="005C37DF">
      <w:pPr>
        <w:pStyle w:val="a4"/>
        <w:ind w:firstLine="709"/>
        <w:jc w:val="both"/>
        <w:rPr>
          <w:rFonts w:ascii="Times New Roman" w:hAnsi="Times New Roman" w:cs="Times New Roman"/>
          <w:sz w:val="28"/>
          <w:szCs w:val="28"/>
        </w:rPr>
      </w:pPr>
      <w:bookmarkStart w:id="31" w:name="_Hlk100573405"/>
      <w:r w:rsidRPr="004804AA">
        <w:rPr>
          <w:rFonts w:ascii="Times New Roman" w:hAnsi="Times New Roman" w:cs="Times New Roman"/>
          <w:sz w:val="28"/>
          <w:szCs w:val="28"/>
        </w:rPr>
        <w:t>Оптотипы</w:t>
      </w:r>
      <w:bookmarkEnd w:id="31"/>
      <w:r w:rsidRPr="004804AA">
        <w:rPr>
          <w:rFonts w:ascii="Times New Roman" w:hAnsi="Times New Roman" w:cs="Times New Roman"/>
          <w:sz w:val="28"/>
          <w:szCs w:val="28"/>
        </w:rPr>
        <w:t xml:space="preserve"> представляют собой простые фигуры, в которых требуется определить направление разрыва в кольце. Кольца Ландольта полностью соответствуют принципу Снеллена: оптотип вписывается в квадрат, а соотношение угловой величины теста и его деталей составляет 5:1. </w:t>
      </w:r>
      <w:bookmarkStart w:id="32" w:name="_Hlk100573423"/>
      <w:r w:rsidRPr="004804AA">
        <w:rPr>
          <w:rFonts w:ascii="Times New Roman" w:hAnsi="Times New Roman" w:cs="Times New Roman"/>
          <w:sz w:val="28"/>
          <w:szCs w:val="28"/>
        </w:rPr>
        <w:t xml:space="preserve">Угловой размер оптотипов </w:t>
      </w:r>
      <w:bookmarkEnd w:id="32"/>
      <w:r w:rsidRPr="004804AA">
        <w:rPr>
          <w:rFonts w:ascii="Times New Roman" w:hAnsi="Times New Roman" w:cs="Times New Roman"/>
          <w:sz w:val="28"/>
          <w:szCs w:val="28"/>
        </w:rPr>
        <w:t xml:space="preserve">задается после количественной верификации тест-полоски перед проведением исследования работником школы, ответственным за проведение скрининга. Для этого до начала тестирования на экране появляется изображение градуированной шкалы. Путем приложения к экрану обычной школьной линейки педагог-исследователь сопоставляет размеры и корректирует масштаб и разрешение экрана компьютера. </w:t>
      </w:r>
    </w:p>
    <w:p w14:paraId="12DE7FA9"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При проведении тестирования ребенок с помощью компьютерной мыши указывает направление расположения разрыва в кольце Ландольта, представленного на экране. Количество оптотипов, предъявляемых исследуемому, и количество допустимых ошибок строго соответствует мировому стандарту при исследовании остроты зрения в офтальмологическом кабинете. Результаты исследования с помощью колец Ландольта больше всего соответствуют остроте зрения по наименьшему разделяемому. С помощью этих оптотипов возможно исследование остроты зрения у лиц любой национальности, у неграмотных и у детей старше 3–5 лет. Кроме того, </w:t>
      </w:r>
      <w:bookmarkStart w:id="33" w:name="_Hlk104898640"/>
      <w:r w:rsidRPr="004804AA">
        <w:rPr>
          <w:rFonts w:ascii="Times New Roman" w:hAnsi="Times New Roman" w:cs="Times New Roman"/>
          <w:sz w:val="28"/>
          <w:szCs w:val="28"/>
        </w:rPr>
        <w:t xml:space="preserve">кольца Ландольта утверждены </w:t>
      </w:r>
      <w:bookmarkStart w:id="34" w:name="_Hlk100573449"/>
      <w:r w:rsidRPr="004804AA">
        <w:rPr>
          <w:rFonts w:ascii="Times New Roman" w:hAnsi="Times New Roman" w:cs="Times New Roman"/>
          <w:sz w:val="28"/>
          <w:szCs w:val="28"/>
        </w:rPr>
        <w:t>международным стандартом ISO 8596</w:t>
      </w:r>
      <w:bookmarkEnd w:id="34"/>
      <w:r w:rsidRPr="004804AA">
        <w:rPr>
          <w:rFonts w:ascii="Times New Roman" w:hAnsi="Times New Roman" w:cs="Times New Roman"/>
          <w:sz w:val="28"/>
          <w:szCs w:val="28"/>
        </w:rPr>
        <w:t xml:space="preserve"> в качестве стандартного теста для исследования остроты зрения.</w:t>
      </w:r>
    </w:p>
    <w:bookmarkEnd w:id="33"/>
    <w:p w14:paraId="7CD43375" w14:textId="00CB53D5"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2. </w:t>
      </w:r>
      <w:bookmarkStart w:id="35" w:name="_Hlk100573478"/>
      <w:r w:rsidRPr="004804AA">
        <w:rPr>
          <w:rFonts w:ascii="Times New Roman" w:hAnsi="Times New Roman" w:cs="Times New Roman"/>
          <w:sz w:val="28"/>
          <w:szCs w:val="28"/>
        </w:rPr>
        <w:t xml:space="preserve">Дуохромный тест </w:t>
      </w:r>
      <w:r w:rsidR="003131B4">
        <w:rPr>
          <w:rFonts w:ascii="Times New Roman" w:hAnsi="Times New Roman" w:cs="Times New Roman"/>
          <w:sz w:val="28"/>
          <w:szCs w:val="28"/>
        </w:rPr>
        <w:t xml:space="preserve">является субъективным оптометрическим методом для определения динамической рефракции. Тест основан на феномене хроматической абберации глаза, при которой лучи разной длины волны фокусируются на различных уровнях относительно сетчатки. Тест </w:t>
      </w:r>
      <w:r w:rsidR="003131B4">
        <w:rPr>
          <w:rFonts w:ascii="Times New Roman" w:hAnsi="Times New Roman" w:cs="Times New Roman"/>
          <w:sz w:val="28"/>
          <w:szCs w:val="28"/>
        </w:rPr>
        <w:lastRenderedPageBreak/>
        <w:t xml:space="preserve">представляет собой таблицу из </w:t>
      </w:r>
      <w:r w:rsidR="005B04AF">
        <w:rPr>
          <w:rFonts w:ascii="Times New Roman" w:hAnsi="Times New Roman" w:cs="Times New Roman"/>
          <w:sz w:val="28"/>
          <w:szCs w:val="28"/>
        </w:rPr>
        <w:t>нескольких</w:t>
      </w:r>
      <w:r w:rsidR="003131B4">
        <w:rPr>
          <w:rFonts w:ascii="Times New Roman" w:hAnsi="Times New Roman" w:cs="Times New Roman"/>
          <w:sz w:val="28"/>
          <w:szCs w:val="28"/>
        </w:rPr>
        <w:t xml:space="preserve"> рядов оптотипов, расположенных на двух контрастных полях: красном и зеленом. Красное поле является длинноволновым спектром, зеленое – коротковолновым.</w:t>
      </w:r>
      <w:r w:rsidR="005B04AF">
        <w:rPr>
          <w:rFonts w:ascii="Times New Roman" w:hAnsi="Times New Roman" w:cs="Times New Roman"/>
          <w:sz w:val="28"/>
          <w:szCs w:val="28"/>
        </w:rPr>
        <w:t xml:space="preserve"> </w:t>
      </w:r>
      <w:r w:rsidRPr="004804AA">
        <w:rPr>
          <w:rFonts w:ascii="Times New Roman" w:hAnsi="Times New Roman" w:cs="Times New Roman"/>
          <w:sz w:val="28"/>
          <w:szCs w:val="28"/>
        </w:rPr>
        <w:t>(Рис</w:t>
      </w:r>
      <w:r w:rsidR="00396E18">
        <w:rPr>
          <w:rFonts w:ascii="Times New Roman" w:hAnsi="Times New Roman" w:cs="Times New Roman"/>
          <w:sz w:val="28"/>
          <w:szCs w:val="28"/>
        </w:rPr>
        <w:t xml:space="preserve">унок </w:t>
      </w:r>
      <w:r w:rsidR="00B022C6">
        <w:rPr>
          <w:rFonts w:ascii="Times New Roman" w:hAnsi="Times New Roman" w:cs="Times New Roman"/>
          <w:sz w:val="28"/>
          <w:szCs w:val="28"/>
        </w:rPr>
        <w:t>2</w:t>
      </w:r>
      <w:r w:rsidRPr="004804AA">
        <w:rPr>
          <w:rFonts w:ascii="Times New Roman" w:hAnsi="Times New Roman" w:cs="Times New Roman"/>
          <w:sz w:val="28"/>
          <w:szCs w:val="28"/>
        </w:rPr>
        <w:t xml:space="preserve">). </w:t>
      </w:r>
      <w:bookmarkEnd w:id="35"/>
      <w:r w:rsidRPr="004804AA">
        <w:rPr>
          <w:rFonts w:ascii="Times New Roman" w:hAnsi="Times New Roman" w:cs="Times New Roman"/>
          <w:sz w:val="28"/>
          <w:szCs w:val="28"/>
        </w:rPr>
        <w:t xml:space="preserve">В ходе теста </w:t>
      </w:r>
      <w:r w:rsidR="005B04AF">
        <w:rPr>
          <w:rFonts w:ascii="Times New Roman" w:hAnsi="Times New Roman" w:cs="Times New Roman"/>
          <w:sz w:val="28"/>
          <w:szCs w:val="28"/>
        </w:rPr>
        <w:t xml:space="preserve">ребенок должен оценить четкость изображений на каждом из двух цветных фонов. </w:t>
      </w:r>
      <w:r w:rsidR="00EE7702">
        <w:rPr>
          <w:rFonts w:ascii="Times New Roman" w:hAnsi="Times New Roman" w:cs="Times New Roman"/>
          <w:sz w:val="28"/>
          <w:szCs w:val="28"/>
        </w:rPr>
        <w:t xml:space="preserve">При наличии миопии, </w:t>
      </w:r>
      <w:r w:rsidR="00D76DA3">
        <w:rPr>
          <w:rFonts w:ascii="Times New Roman" w:hAnsi="Times New Roman" w:cs="Times New Roman"/>
          <w:sz w:val="28"/>
          <w:szCs w:val="28"/>
        </w:rPr>
        <w:t xml:space="preserve">в том числе недокоррегированной, а также </w:t>
      </w:r>
      <w:r w:rsidR="00EE7702">
        <w:rPr>
          <w:rFonts w:ascii="Times New Roman" w:hAnsi="Times New Roman" w:cs="Times New Roman"/>
          <w:sz w:val="28"/>
          <w:szCs w:val="28"/>
        </w:rPr>
        <w:t>гиперкоррекции гиперметропии, ребенок</w:t>
      </w:r>
      <w:r w:rsidR="005B04AF" w:rsidRPr="004804AA">
        <w:rPr>
          <w:rFonts w:ascii="Times New Roman" w:hAnsi="Times New Roman" w:cs="Times New Roman"/>
          <w:sz w:val="28"/>
          <w:szCs w:val="28"/>
        </w:rPr>
        <w:t xml:space="preserve"> лучше видит оптотипы на красном фоне</w:t>
      </w:r>
      <w:r w:rsidR="00D76DA3">
        <w:rPr>
          <w:rFonts w:ascii="Times New Roman" w:hAnsi="Times New Roman" w:cs="Times New Roman"/>
          <w:sz w:val="28"/>
          <w:szCs w:val="28"/>
        </w:rPr>
        <w:t xml:space="preserve">. При наличии </w:t>
      </w:r>
      <w:r w:rsidR="005B04AF">
        <w:rPr>
          <w:rFonts w:ascii="Times New Roman" w:hAnsi="Times New Roman" w:cs="Times New Roman"/>
          <w:sz w:val="28"/>
          <w:szCs w:val="28"/>
        </w:rPr>
        <w:t>гиперметропическ</w:t>
      </w:r>
      <w:r w:rsidR="00D76DA3">
        <w:rPr>
          <w:rFonts w:ascii="Times New Roman" w:hAnsi="Times New Roman" w:cs="Times New Roman"/>
          <w:sz w:val="28"/>
          <w:szCs w:val="28"/>
        </w:rPr>
        <w:t xml:space="preserve">ой рефракции - </w:t>
      </w:r>
      <w:r w:rsidR="005B04AF">
        <w:rPr>
          <w:rFonts w:ascii="Times New Roman" w:hAnsi="Times New Roman" w:cs="Times New Roman"/>
          <w:sz w:val="28"/>
          <w:szCs w:val="28"/>
        </w:rPr>
        <w:t>на зеленом</w:t>
      </w:r>
      <w:r w:rsidRPr="004804AA">
        <w:rPr>
          <w:rFonts w:ascii="Times New Roman" w:hAnsi="Times New Roman" w:cs="Times New Roman"/>
          <w:sz w:val="28"/>
          <w:szCs w:val="28"/>
        </w:rPr>
        <w:t>.</w:t>
      </w:r>
      <w:r w:rsidR="00D76DA3">
        <w:rPr>
          <w:rFonts w:ascii="Times New Roman" w:hAnsi="Times New Roman" w:cs="Times New Roman"/>
          <w:sz w:val="28"/>
          <w:szCs w:val="28"/>
        </w:rPr>
        <w:t xml:space="preserve"> Если ребенок не отмечает различий в четкости и контрастности оптотипов на обоих цветных полях делается вывод о наличии у ребенка эмметропической рефракции.</w:t>
      </w:r>
    </w:p>
    <w:p w14:paraId="231F668F" w14:textId="77777777" w:rsidR="00866528" w:rsidRDefault="00866528" w:rsidP="005C37DF">
      <w:pPr>
        <w:spacing w:after="0" w:line="240" w:lineRule="auto"/>
        <w:ind w:firstLine="709"/>
        <w:jc w:val="center"/>
        <w:rPr>
          <w:rFonts w:ascii="Times New Roman" w:hAnsi="Times New Roman" w:cs="Times New Roman"/>
          <w:color w:val="000000"/>
          <w:sz w:val="28"/>
          <w:szCs w:val="28"/>
        </w:rPr>
      </w:pPr>
    </w:p>
    <w:p w14:paraId="680FC436" w14:textId="7B4E7362" w:rsidR="00866528" w:rsidRDefault="00866528" w:rsidP="005C37DF">
      <w:pPr>
        <w:spacing w:after="0" w:line="240" w:lineRule="auto"/>
        <w:ind w:firstLine="709"/>
        <w:jc w:val="center"/>
        <w:rPr>
          <w:rFonts w:ascii="Times New Roman" w:hAnsi="Times New Roman" w:cs="Times New Roman"/>
          <w:color w:val="000000"/>
          <w:sz w:val="28"/>
          <w:szCs w:val="28"/>
        </w:rPr>
      </w:pPr>
      <w:r>
        <w:rPr>
          <w:noProof/>
        </w:rPr>
        <w:drawing>
          <wp:inline distT="0" distB="0" distL="0" distR="0" wp14:anchorId="6D94D635" wp14:editId="0791D68F">
            <wp:extent cx="5219700" cy="3065776"/>
            <wp:effectExtent l="19050" t="19050" r="19050" b="20955"/>
            <wp:docPr id="8432300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0611" cy="3072184"/>
                    </a:xfrm>
                    <a:prstGeom prst="rect">
                      <a:avLst/>
                    </a:prstGeom>
                    <a:noFill/>
                    <a:ln>
                      <a:solidFill>
                        <a:schemeClr val="tx1"/>
                      </a:solidFill>
                    </a:ln>
                  </pic:spPr>
                </pic:pic>
              </a:graphicData>
            </a:graphic>
          </wp:inline>
        </w:drawing>
      </w:r>
    </w:p>
    <w:p w14:paraId="5634D247" w14:textId="77777777" w:rsidR="00AD5D48" w:rsidRDefault="00AD5D48" w:rsidP="005C37DF">
      <w:pPr>
        <w:spacing w:after="0" w:line="240" w:lineRule="auto"/>
        <w:ind w:firstLine="709"/>
        <w:jc w:val="center"/>
        <w:rPr>
          <w:rFonts w:ascii="Times New Roman" w:hAnsi="Times New Roman" w:cs="Times New Roman"/>
          <w:color w:val="000000"/>
          <w:sz w:val="28"/>
          <w:szCs w:val="28"/>
        </w:rPr>
      </w:pPr>
    </w:p>
    <w:p w14:paraId="24031EBA" w14:textId="585D89ED" w:rsidR="000A0294" w:rsidRDefault="000A0294" w:rsidP="005C37DF">
      <w:pPr>
        <w:spacing w:after="0" w:line="240" w:lineRule="auto"/>
        <w:ind w:firstLine="709"/>
        <w:jc w:val="center"/>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Рисунок </w:t>
      </w:r>
      <w:r w:rsidR="00B022C6">
        <w:rPr>
          <w:rFonts w:ascii="Times New Roman" w:hAnsi="Times New Roman" w:cs="Times New Roman"/>
          <w:color w:val="000000"/>
          <w:sz w:val="28"/>
          <w:szCs w:val="28"/>
        </w:rPr>
        <w:t>2</w:t>
      </w:r>
      <w:r w:rsidRPr="004804AA">
        <w:rPr>
          <w:rFonts w:ascii="Times New Roman" w:hAnsi="Times New Roman" w:cs="Times New Roman"/>
          <w:color w:val="000000"/>
          <w:sz w:val="28"/>
          <w:szCs w:val="28"/>
        </w:rPr>
        <w:t xml:space="preserve"> –</w:t>
      </w:r>
      <w:r w:rsidR="009E306F">
        <w:rPr>
          <w:rFonts w:ascii="Times New Roman" w:hAnsi="Times New Roman" w:cs="Times New Roman"/>
          <w:color w:val="000000"/>
          <w:sz w:val="28"/>
          <w:szCs w:val="28"/>
        </w:rPr>
        <w:t xml:space="preserve"> Д</w:t>
      </w:r>
      <w:r w:rsidR="00396E18">
        <w:rPr>
          <w:rFonts w:ascii="Times New Roman" w:hAnsi="Times New Roman" w:cs="Times New Roman"/>
          <w:color w:val="000000"/>
          <w:sz w:val="28"/>
          <w:szCs w:val="28"/>
        </w:rPr>
        <w:t>уохромн</w:t>
      </w:r>
      <w:r w:rsidR="009E306F">
        <w:rPr>
          <w:rFonts w:ascii="Times New Roman" w:hAnsi="Times New Roman" w:cs="Times New Roman"/>
          <w:color w:val="000000"/>
          <w:sz w:val="28"/>
          <w:szCs w:val="28"/>
        </w:rPr>
        <w:t>ый</w:t>
      </w:r>
      <w:r w:rsidR="00396E18">
        <w:rPr>
          <w:rFonts w:ascii="Times New Roman" w:hAnsi="Times New Roman" w:cs="Times New Roman"/>
          <w:color w:val="000000"/>
          <w:sz w:val="28"/>
          <w:szCs w:val="28"/>
        </w:rPr>
        <w:t xml:space="preserve"> тест</w:t>
      </w:r>
    </w:p>
    <w:p w14:paraId="27549EF6" w14:textId="77777777" w:rsidR="00140D53" w:rsidRPr="004804AA" w:rsidRDefault="00140D53" w:rsidP="005C37DF">
      <w:pPr>
        <w:spacing w:after="0" w:line="240" w:lineRule="auto"/>
        <w:ind w:firstLine="709"/>
        <w:jc w:val="center"/>
        <w:rPr>
          <w:rFonts w:ascii="Times New Roman" w:hAnsi="Times New Roman" w:cs="Times New Roman"/>
          <w:color w:val="000000"/>
          <w:sz w:val="28"/>
          <w:szCs w:val="28"/>
        </w:rPr>
      </w:pPr>
    </w:p>
    <w:p w14:paraId="26BE99A4"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Тест является значимым – контроль рефракции на фоне школьной зрительной нагрузки позволяет судить о функциональной готовности к ней ребенка. </w:t>
      </w:r>
      <w:bookmarkStart w:id="36" w:name="_Hlk100573522"/>
      <w:r w:rsidRPr="004804AA">
        <w:rPr>
          <w:rFonts w:ascii="Times New Roman" w:hAnsi="Times New Roman" w:cs="Times New Roman"/>
          <w:sz w:val="28"/>
          <w:szCs w:val="28"/>
        </w:rPr>
        <w:t>Динамическая рефракция – это совокупность клинической рефракции и напряжения аккомодации. Смещение динамической рефракции школьника в сторону близорукости позволяет сделать вывод о том, что аккомодационный аппарат органа зрения ребенка в процессе школьной зрительной нагрузки находится в состоянии функционального перенапряжения, что может привести к возникновению осевой близорукости</w:t>
      </w:r>
      <w:bookmarkEnd w:id="36"/>
      <w:r w:rsidRPr="004804AA">
        <w:rPr>
          <w:rFonts w:ascii="Times New Roman" w:hAnsi="Times New Roman" w:cs="Times New Roman"/>
          <w:sz w:val="28"/>
          <w:szCs w:val="28"/>
        </w:rPr>
        <w:t>.</w:t>
      </w:r>
    </w:p>
    <w:p w14:paraId="7918FAC5" w14:textId="20F007A2" w:rsidR="000A0294"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3. </w:t>
      </w:r>
      <w:r w:rsidR="00EE7702">
        <w:rPr>
          <w:rFonts w:ascii="Times New Roman" w:hAnsi="Times New Roman" w:cs="Times New Roman"/>
          <w:sz w:val="28"/>
          <w:szCs w:val="28"/>
        </w:rPr>
        <w:t xml:space="preserve">Тест «лучистая фигура» применяется для субъективной качественной и количественной оценки </w:t>
      </w:r>
      <w:r w:rsidRPr="004804AA">
        <w:rPr>
          <w:rFonts w:ascii="Times New Roman" w:hAnsi="Times New Roman" w:cs="Times New Roman"/>
          <w:sz w:val="28"/>
          <w:szCs w:val="28"/>
        </w:rPr>
        <w:t>астигматизма</w:t>
      </w:r>
      <w:r w:rsidR="00EE7702">
        <w:rPr>
          <w:rFonts w:ascii="Times New Roman" w:hAnsi="Times New Roman" w:cs="Times New Roman"/>
          <w:sz w:val="28"/>
          <w:szCs w:val="28"/>
        </w:rPr>
        <w:t xml:space="preserve"> и уточнения его оси. Тест представляет собой изображение в виде расходящихся радиальных лучей, которые расположены по</w:t>
      </w:r>
      <w:r w:rsidRPr="004804AA">
        <w:rPr>
          <w:rFonts w:ascii="Times New Roman" w:hAnsi="Times New Roman" w:cs="Times New Roman"/>
          <w:sz w:val="28"/>
          <w:szCs w:val="28"/>
        </w:rPr>
        <w:t xml:space="preserve"> окружности </w:t>
      </w:r>
      <w:r w:rsidR="00EE7702">
        <w:rPr>
          <w:rFonts w:ascii="Times New Roman" w:hAnsi="Times New Roman" w:cs="Times New Roman"/>
          <w:sz w:val="28"/>
          <w:szCs w:val="28"/>
        </w:rPr>
        <w:t xml:space="preserve">под углом в </w:t>
      </w:r>
      <w:r w:rsidRPr="004804AA">
        <w:rPr>
          <w:rFonts w:ascii="Times New Roman" w:hAnsi="Times New Roman" w:cs="Times New Roman"/>
          <w:sz w:val="28"/>
          <w:szCs w:val="28"/>
        </w:rPr>
        <w:t xml:space="preserve">10–30°. </w:t>
      </w:r>
      <w:r w:rsidR="00EE7702">
        <w:rPr>
          <w:rFonts w:ascii="Times New Roman" w:hAnsi="Times New Roman" w:cs="Times New Roman"/>
          <w:sz w:val="28"/>
          <w:szCs w:val="28"/>
        </w:rPr>
        <w:t>Во время теста ребенку предлагают оценить и сравнить четкость лучей. При наличии астигматизма, отдельные лучи будут восприниматься глазом более четко и контрастно в сравнении с другими.</w:t>
      </w:r>
      <w:r w:rsidRPr="004804AA">
        <w:rPr>
          <w:rFonts w:ascii="Times New Roman" w:hAnsi="Times New Roman" w:cs="Times New Roman"/>
          <w:sz w:val="28"/>
          <w:szCs w:val="28"/>
        </w:rPr>
        <w:t xml:space="preserve"> Направление этих лучей указывает </w:t>
      </w:r>
      <w:r w:rsidRPr="004804AA">
        <w:rPr>
          <w:rFonts w:ascii="Times New Roman" w:hAnsi="Times New Roman" w:cs="Times New Roman"/>
          <w:sz w:val="28"/>
          <w:szCs w:val="28"/>
        </w:rPr>
        <w:lastRenderedPageBreak/>
        <w:t>ориентировочное направление одного из главных мер</w:t>
      </w:r>
      <w:r w:rsidR="00EE7702">
        <w:rPr>
          <w:rFonts w:ascii="Times New Roman" w:hAnsi="Times New Roman" w:cs="Times New Roman"/>
          <w:sz w:val="28"/>
          <w:szCs w:val="28"/>
        </w:rPr>
        <w:t xml:space="preserve">идианов астигматического глаза. При отсутствии клинически значимого астигматизма, </w:t>
      </w:r>
      <w:r w:rsidRPr="004804AA">
        <w:rPr>
          <w:rFonts w:ascii="Times New Roman" w:hAnsi="Times New Roman" w:cs="Times New Roman"/>
          <w:color w:val="000000"/>
          <w:sz w:val="28"/>
          <w:szCs w:val="28"/>
        </w:rPr>
        <w:t xml:space="preserve">обследуемый ребенок </w:t>
      </w:r>
      <w:r w:rsidR="00EE7702">
        <w:rPr>
          <w:rFonts w:ascii="Times New Roman" w:hAnsi="Times New Roman" w:cs="Times New Roman"/>
          <w:color w:val="000000"/>
          <w:sz w:val="28"/>
          <w:szCs w:val="28"/>
        </w:rPr>
        <w:t>отметит, что разницы в контрастности лучей нет.</w:t>
      </w:r>
      <w:r w:rsidRPr="004804AA">
        <w:rPr>
          <w:rFonts w:ascii="Times New Roman" w:hAnsi="Times New Roman" w:cs="Times New Roman"/>
          <w:color w:val="000000"/>
          <w:sz w:val="28"/>
          <w:szCs w:val="28"/>
        </w:rPr>
        <w:t xml:space="preserve"> </w:t>
      </w:r>
      <w:r w:rsidRPr="004804AA">
        <w:rPr>
          <w:rFonts w:ascii="Times New Roman" w:hAnsi="Times New Roman" w:cs="Times New Roman"/>
          <w:sz w:val="28"/>
          <w:szCs w:val="28"/>
        </w:rPr>
        <w:t>(Рис</w:t>
      </w:r>
      <w:r w:rsidR="00247242">
        <w:rPr>
          <w:rFonts w:ascii="Times New Roman" w:hAnsi="Times New Roman" w:cs="Times New Roman"/>
          <w:sz w:val="28"/>
          <w:szCs w:val="28"/>
        </w:rPr>
        <w:t xml:space="preserve">унок </w:t>
      </w:r>
      <w:r w:rsidRPr="004804AA">
        <w:rPr>
          <w:rFonts w:ascii="Times New Roman" w:hAnsi="Times New Roman" w:cs="Times New Roman"/>
          <w:sz w:val="28"/>
          <w:szCs w:val="28"/>
        </w:rPr>
        <w:t xml:space="preserve">3). </w:t>
      </w:r>
    </w:p>
    <w:p w14:paraId="064639B4" w14:textId="77777777" w:rsidR="00140D53" w:rsidRPr="004804AA" w:rsidRDefault="00140D53" w:rsidP="005C37DF">
      <w:pPr>
        <w:spacing w:after="0" w:line="240" w:lineRule="auto"/>
        <w:ind w:firstLine="709"/>
        <w:jc w:val="both"/>
        <w:rPr>
          <w:rFonts w:ascii="Times New Roman" w:hAnsi="Times New Roman" w:cs="Times New Roman"/>
          <w:sz w:val="28"/>
          <w:szCs w:val="28"/>
        </w:rPr>
      </w:pPr>
    </w:p>
    <w:p w14:paraId="4E5961BC" w14:textId="54C939C5" w:rsidR="000A0294" w:rsidRPr="004804AA" w:rsidRDefault="00C459D3" w:rsidP="005C37DF">
      <w:pPr>
        <w:spacing w:after="0" w:line="240" w:lineRule="auto"/>
        <w:ind w:firstLine="709"/>
        <w:jc w:val="center"/>
        <w:rPr>
          <w:rFonts w:ascii="Times New Roman" w:hAnsi="Times New Roman" w:cs="Times New Roman"/>
          <w:color w:val="000000"/>
          <w:sz w:val="28"/>
          <w:szCs w:val="28"/>
        </w:rPr>
      </w:pPr>
      <w:r>
        <w:rPr>
          <w:noProof/>
        </w:rPr>
        <w:drawing>
          <wp:inline distT="0" distB="0" distL="0" distR="0" wp14:anchorId="0AFA2D70" wp14:editId="50EA3B05">
            <wp:extent cx="5242560" cy="3092746"/>
            <wp:effectExtent l="19050" t="19050" r="15240" b="12700"/>
            <wp:docPr id="17496723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983" cy="3096535"/>
                    </a:xfrm>
                    <a:prstGeom prst="rect">
                      <a:avLst/>
                    </a:prstGeom>
                    <a:noFill/>
                    <a:ln>
                      <a:solidFill>
                        <a:schemeClr val="tx1"/>
                      </a:solidFill>
                    </a:ln>
                  </pic:spPr>
                </pic:pic>
              </a:graphicData>
            </a:graphic>
          </wp:inline>
        </w:drawing>
      </w:r>
    </w:p>
    <w:p w14:paraId="4373C682" w14:textId="77777777" w:rsidR="00AD5D48" w:rsidRDefault="00AD5D48" w:rsidP="005C37DF">
      <w:pPr>
        <w:spacing w:after="0" w:line="240" w:lineRule="auto"/>
        <w:ind w:firstLine="709"/>
        <w:jc w:val="center"/>
        <w:rPr>
          <w:rFonts w:ascii="Times New Roman" w:hAnsi="Times New Roman" w:cs="Times New Roman"/>
          <w:color w:val="000000"/>
          <w:sz w:val="28"/>
          <w:szCs w:val="28"/>
        </w:rPr>
      </w:pPr>
    </w:p>
    <w:p w14:paraId="56074109" w14:textId="0F34C601" w:rsidR="000A0294" w:rsidRDefault="000A0294" w:rsidP="005C37DF">
      <w:pPr>
        <w:spacing w:after="0" w:line="240" w:lineRule="auto"/>
        <w:ind w:firstLine="709"/>
        <w:jc w:val="center"/>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Рисунок 3 – </w:t>
      </w:r>
      <w:r w:rsidR="009E306F">
        <w:rPr>
          <w:rFonts w:ascii="Times New Roman" w:hAnsi="Times New Roman" w:cs="Times New Roman"/>
          <w:color w:val="000000"/>
          <w:sz w:val="28"/>
          <w:szCs w:val="28"/>
        </w:rPr>
        <w:t>Тест «лучистая фигура»</w:t>
      </w:r>
    </w:p>
    <w:p w14:paraId="632D2648" w14:textId="77777777" w:rsidR="00140D53" w:rsidRPr="004804AA" w:rsidRDefault="00140D53" w:rsidP="005C37DF">
      <w:pPr>
        <w:spacing w:after="0" w:line="240" w:lineRule="auto"/>
        <w:ind w:firstLine="709"/>
        <w:jc w:val="center"/>
        <w:rPr>
          <w:rFonts w:ascii="Times New Roman" w:hAnsi="Times New Roman" w:cs="Times New Roman"/>
          <w:color w:val="000000"/>
          <w:sz w:val="28"/>
          <w:szCs w:val="28"/>
        </w:rPr>
      </w:pPr>
    </w:p>
    <w:p w14:paraId="6F56EB01" w14:textId="75D3E9FC" w:rsidR="000A0294" w:rsidRDefault="000A0294" w:rsidP="005C37DF">
      <w:pPr>
        <w:spacing w:after="0" w:line="240" w:lineRule="auto"/>
        <w:ind w:firstLine="709"/>
        <w:jc w:val="both"/>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4. </w:t>
      </w:r>
      <w:bookmarkStart w:id="37" w:name="_Hlk100573550"/>
      <w:r w:rsidRPr="004804AA">
        <w:rPr>
          <w:rFonts w:ascii="Times New Roman" w:hAnsi="Times New Roman" w:cs="Times New Roman"/>
          <w:color w:val="000000"/>
          <w:sz w:val="28"/>
          <w:szCs w:val="28"/>
        </w:rPr>
        <w:t>Тест Амслера позволяет косвенно выявить или исключить патологию макулярной зоны – участка сетчатки, ответственного за состояние центрального зрения (Рис</w:t>
      </w:r>
      <w:r w:rsidR="00247242">
        <w:rPr>
          <w:rFonts w:ascii="Times New Roman" w:hAnsi="Times New Roman" w:cs="Times New Roman"/>
          <w:color w:val="000000"/>
          <w:sz w:val="28"/>
          <w:szCs w:val="28"/>
        </w:rPr>
        <w:t>унок</w:t>
      </w:r>
      <w:r w:rsidRPr="004804AA">
        <w:rPr>
          <w:rFonts w:ascii="Times New Roman" w:hAnsi="Times New Roman" w:cs="Times New Roman"/>
          <w:color w:val="000000"/>
          <w:sz w:val="28"/>
          <w:szCs w:val="28"/>
        </w:rPr>
        <w:t xml:space="preserve"> 4). Тест представляет собой классическую квадратную решетку с вертикальными и горизонтальными линиями одинаковой интенсивности, образующими квадратные ячейки. В центре сетки расположена темная точка, на которую должен фиксироваться взгляд в течение всего монокулярного теста. Другой глаз должен быть полностью закрыт ладонью или повязкой. О патологии макулярной зоны будет говорить субъективное искривлений линий, мнимые "дыры" в сетке или "темные пятна". </w:t>
      </w:r>
    </w:p>
    <w:p w14:paraId="33619BC4" w14:textId="77777777" w:rsidR="00EE7702" w:rsidRDefault="00EE7702" w:rsidP="005C37DF">
      <w:pPr>
        <w:spacing w:after="0" w:line="240" w:lineRule="auto"/>
        <w:ind w:firstLine="709"/>
        <w:jc w:val="both"/>
        <w:rPr>
          <w:rFonts w:ascii="Times New Roman" w:hAnsi="Times New Roman" w:cs="Times New Roman"/>
          <w:color w:val="000000"/>
          <w:sz w:val="28"/>
          <w:szCs w:val="28"/>
        </w:rPr>
      </w:pPr>
    </w:p>
    <w:bookmarkEnd w:id="37"/>
    <w:p w14:paraId="7482856A" w14:textId="7A3EC8BE" w:rsidR="000A0294" w:rsidRPr="004804AA" w:rsidRDefault="00866528" w:rsidP="005C37DF">
      <w:pPr>
        <w:spacing w:after="0" w:line="240" w:lineRule="auto"/>
        <w:ind w:firstLine="709"/>
        <w:jc w:val="both"/>
        <w:rPr>
          <w:rFonts w:ascii="Times New Roman" w:hAnsi="Times New Roman" w:cs="Times New Roman"/>
          <w:color w:val="000000"/>
          <w:sz w:val="28"/>
          <w:szCs w:val="28"/>
        </w:rPr>
      </w:pPr>
      <w:r>
        <w:rPr>
          <w:noProof/>
        </w:rPr>
        <w:lastRenderedPageBreak/>
        <w:drawing>
          <wp:inline distT="0" distB="0" distL="0" distR="0" wp14:anchorId="533634D8" wp14:editId="6E2324F7">
            <wp:extent cx="5189220" cy="3047874"/>
            <wp:effectExtent l="19050" t="19050" r="11430" b="19685"/>
            <wp:docPr id="115630388" name="Рисунок 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388" name="Рисунок 7" descr="Изображение выглядит как диаграмма&#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3189" cy="3056078"/>
                    </a:xfrm>
                    <a:prstGeom prst="rect">
                      <a:avLst/>
                    </a:prstGeom>
                    <a:noFill/>
                    <a:ln>
                      <a:solidFill>
                        <a:schemeClr val="tx1"/>
                      </a:solidFill>
                    </a:ln>
                  </pic:spPr>
                </pic:pic>
              </a:graphicData>
            </a:graphic>
          </wp:inline>
        </w:drawing>
      </w:r>
    </w:p>
    <w:p w14:paraId="4B934577" w14:textId="77777777" w:rsidR="00AD5D48" w:rsidRDefault="00AD5D48" w:rsidP="005C37DF">
      <w:pPr>
        <w:spacing w:after="0" w:line="240" w:lineRule="auto"/>
        <w:ind w:firstLine="709"/>
        <w:jc w:val="center"/>
        <w:rPr>
          <w:rFonts w:ascii="Times New Roman" w:hAnsi="Times New Roman" w:cs="Times New Roman"/>
          <w:color w:val="000000"/>
          <w:sz w:val="28"/>
          <w:szCs w:val="28"/>
        </w:rPr>
      </w:pPr>
    </w:p>
    <w:p w14:paraId="4C9084E3" w14:textId="412AB350" w:rsidR="000A0294" w:rsidRDefault="000A0294" w:rsidP="005C37DF">
      <w:pPr>
        <w:spacing w:after="0" w:line="240" w:lineRule="auto"/>
        <w:ind w:firstLine="709"/>
        <w:jc w:val="center"/>
        <w:rPr>
          <w:rFonts w:ascii="Times New Roman" w:hAnsi="Times New Roman" w:cs="Times New Roman"/>
          <w:color w:val="000000"/>
          <w:sz w:val="28"/>
          <w:szCs w:val="28"/>
        </w:rPr>
      </w:pPr>
      <w:r w:rsidRPr="004804AA">
        <w:rPr>
          <w:rFonts w:ascii="Times New Roman" w:hAnsi="Times New Roman" w:cs="Times New Roman"/>
          <w:color w:val="000000"/>
          <w:sz w:val="28"/>
          <w:szCs w:val="28"/>
        </w:rPr>
        <w:t xml:space="preserve">Рисунок 4 – </w:t>
      </w:r>
      <w:r w:rsidR="009E306F">
        <w:rPr>
          <w:rFonts w:ascii="Times New Roman" w:hAnsi="Times New Roman" w:cs="Times New Roman"/>
          <w:color w:val="000000"/>
          <w:sz w:val="28"/>
          <w:szCs w:val="28"/>
        </w:rPr>
        <w:t>Тест Амслера</w:t>
      </w:r>
    </w:p>
    <w:p w14:paraId="697CB943" w14:textId="77777777" w:rsidR="00140D53" w:rsidRPr="004804AA" w:rsidRDefault="00140D53" w:rsidP="005C37DF">
      <w:pPr>
        <w:spacing w:after="0" w:line="240" w:lineRule="auto"/>
        <w:ind w:firstLine="709"/>
        <w:jc w:val="center"/>
        <w:rPr>
          <w:rFonts w:ascii="Times New Roman" w:hAnsi="Times New Roman" w:cs="Times New Roman"/>
          <w:color w:val="000000"/>
          <w:sz w:val="28"/>
          <w:szCs w:val="28"/>
        </w:rPr>
      </w:pPr>
    </w:p>
    <w:p w14:paraId="4A65015A" w14:textId="125099FF" w:rsidR="00140D53" w:rsidRDefault="00D76DA3"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Компьютерное о</w:t>
      </w:r>
      <w:r w:rsidR="000A0294" w:rsidRPr="004804AA">
        <w:rPr>
          <w:rFonts w:ascii="Times New Roman" w:hAnsi="Times New Roman" w:cs="Times New Roman"/>
          <w:sz w:val="28"/>
          <w:szCs w:val="28"/>
        </w:rPr>
        <w:t xml:space="preserve">бследование проводится в </w:t>
      </w:r>
      <w:r>
        <w:rPr>
          <w:rFonts w:ascii="Times New Roman" w:hAnsi="Times New Roman" w:cs="Times New Roman"/>
          <w:sz w:val="28"/>
          <w:szCs w:val="28"/>
        </w:rPr>
        <w:t xml:space="preserve">школьных </w:t>
      </w:r>
      <w:r w:rsidR="000A0294" w:rsidRPr="004804AA">
        <w:rPr>
          <w:rFonts w:ascii="Times New Roman" w:hAnsi="Times New Roman" w:cs="Times New Roman"/>
          <w:sz w:val="28"/>
          <w:szCs w:val="28"/>
        </w:rPr>
        <w:t>класс</w:t>
      </w:r>
      <w:r>
        <w:rPr>
          <w:rFonts w:ascii="Times New Roman" w:hAnsi="Times New Roman" w:cs="Times New Roman"/>
          <w:sz w:val="28"/>
          <w:szCs w:val="28"/>
        </w:rPr>
        <w:t>ах информатикик</w:t>
      </w:r>
      <w:r w:rsidR="000A0294" w:rsidRPr="004804AA">
        <w:rPr>
          <w:rFonts w:ascii="Times New Roman" w:hAnsi="Times New Roman" w:cs="Times New Roman"/>
          <w:sz w:val="28"/>
          <w:szCs w:val="28"/>
        </w:rPr>
        <w:t xml:space="preserve"> одномоментно групп</w:t>
      </w:r>
      <w:r>
        <w:rPr>
          <w:rFonts w:ascii="Times New Roman" w:hAnsi="Times New Roman" w:cs="Times New Roman"/>
          <w:sz w:val="28"/>
          <w:szCs w:val="28"/>
        </w:rPr>
        <w:t>ами</w:t>
      </w:r>
      <w:r w:rsidR="000A0294" w:rsidRPr="004804AA">
        <w:rPr>
          <w:rFonts w:ascii="Times New Roman" w:hAnsi="Times New Roman" w:cs="Times New Roman"/>
          <w:sz w:val="28"/>
          <w:szCs w:val="28"/>
        </w:rPr>
        <w:t xml:space="preserve"> по 5 - 10 </w:t>
      </w:r>
      <w:r>
        <w:rPr>
          <w:rFonts w:ascii="Times New Roman" w:hAnsi="Times New Roman" w:cs="Times New Roman"/>
          <w:sz w:val="28"/>
          <w:szCs w:val="28"/>
        </w:rPr>
        <w:t>человек</w:t>
      </w:r>
      <w:r w:rsidR="000A0294" w:rsidRPr="004804AA">
        <w:rPr>
          <w:rFonts w:ascii="Times New Roman" w:hAnsi="Times New Roman" w:cs="Times New Roman"/>
          <w:sz w:val="28"/>
          <w:szCs w:val="28"/>
        </w:rPr>
        <w:t xml:space="preserve">. Обследование </w:t>
      </w:r>
      <w:r>
        <w:rPr>
          <w:rFonts w:ascii="Times New Roman" w:hAnsi="Times New Roman" w:cs="Times New Roman"/>
          <w:sz w:val="28"/>
          <w:szCs w:val="28"/>
        </w:rPr>
        <w:t xml:space="preserve">каждой группы </w:t>
      </w:r>
      <w:r w:rsidR="000A0294" w:rsidRPr="004804AA">
        <w:rPr>
          <w:rFonts w:ascii="Times New Roman" w:hAnsi="Times New Roman" w:cs="Times New Roman"/>
          <w:sz w:val="28"/>
          <w:szCs w:val="28"/>
        </w:rPr>
        <w:t xml:space="preserve">занимает </w:t>
      </w:r>
      <w:r>
        <w:rPr>
          <w:rFonts w:ascii="Times New Roman" w:hAnsi="Times New Roman" w:cs="Times New Roman"/>
          <w:sz w:val="28"/>
          <w:szCs w:val="28"/>
        </w:rPr>
        <w:t xml:space="preserve">в среднем </w:t>
      </w:r>
      <w:r w:rsidR="000A0294" w:rsidRPr="004804AA">
        <w:rPr>
          <w:rFonts w:ascii="Times New Roman" w:hAnsi="Times New Roman" w:cs="Times New Roman"/>
          <w:sz w:val="28"/>
          <w:szCs w:val="28"/>
        </w:rPr>
        <w:t xml:space="preserve">от 4 до 8 минут, в зависимости от возрастной группы. Таким образом, за один академический </w:t>
      </w:r>
      <w:r>
        <w:rPr>
          <w:rFonts w:ascii="Times New Roman" w:hAnsi="Times New Roman" w:cs="Times New Roman"/>
          <w:sz w:val="28"/>
          <w:szCs w:val="28"/>
        </w:rPr>
        <w:t>час</w:t>
      </w:r>
      <w:r w:rsidR="000A0294" w:rsidRPr="004804AA">
        <w:rPr>
          <w:rFonts w:ascii="Times New Roman" w:hAnsi="Times New Roman" w:cs="Times New Roman"/>
          <w:sz w:val="28"/>
          <w:szCs w:val="28"/>
        </w:rPr>
        <w:t xml:space="preserve"> возможно проведение скринингового обследования зрения всем ученикам класса (при наполняемости класса 30-40 чел.)</w:t>
      </w:r>
      <w:r w:rsidR="00080184">
        <w:rPr>
          <w:rFonts w:ascii="Times New Roman" w:hAnsi="Times New Roman" w:cs="Times New Roman"/>
          <w:sz w:val="28"/>
          <w:szCs w:val="28"/>
        </w:rPr>
        <w:t xml:space="preserve">. </w:t>
      </w:r>
      <w:r w:rsidR="000A0294" w:rsidRPr="004804AA">
        <w:rPr>
          <w:rFonts w:ascii="Times New Roman" w:hAnsi="Times New Roman" w:cs="Times New Roman"/>
          <w:sz w:val="28"/>
          <w:szCs w:val="28"/>
        </w:rPr>
        <w:t>По завершению обследования результаты автоматически заносятся в базу данных сервера КазНИИ глазных болезней (Рис</w:t>
      </w:r>
      <w:r w:rsidR="00247242">
        <w:rPr>
          <w:rFonts w:ascii="Times New Roman" w:hAnsi="Times New Roman" w:cs="Times New Roman"/>
          <w:sz w:val="28"/>
          <w:szCs w:val="28"/>
        </w:rPr>
        <w:t>унок</w:t>
      </w:r>
      <w:r w:rsidR="000A0294" w:rsidRPr="004804AA">
        <w:rPr>
          <w:rFonts w:ascii="Times New Roman" w:hAnsi="Times New Roman" w:cs="Times New Roman"/>
          <w:sz w:val="28"/>
          <w:szCs w:val="28"/>
        </w:rPr>
        <w:t xml:space="preserve"> 5) и хранятся в ней персонализировано. Особенности введения паспортных данных обследуемых позволяют контролировать результаты скрининга вне зависимости от того, продолжает ли ребенок обучаться в этой школе или в другой после смены места жительства.</w:t>
      </w:r>
    </w:p>
    <w:p w14:paraId="5F46C8C9" w14:textId="70DC318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 </w:t>
      </w:r>
    </w:p>
    <w:p w14:paraId="3991BC6F" w14:textId="57FE82BB" w:rsidR="000A0294" w:rsidRPr="004804AA" w:rsidRDefault="002C74BE" w:rsidP="002C74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BE15C3" wp14:editId="6E95D5FF">
            <wp:extent cx="5455285" cy="259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387" cy="2619343"/>
                    </a:xfrm>
                    <a:prstGeom prst="rect">
                      <a:avLst/>
                    </a:prstGeom>
                    <a:noFill/>
                  </pic:spPr>
                </pic:pic>
              </a:graphicData>
            </a:graphic>
          </wp:inline>
        </w:drawing>
      </w:r>
    </w:p>
    <w:p w14:paraId="104B3864" w14:textId="77777777" w:rsidR="008F64BE" w:rsidRDefault="008F64BE" w:rsidP="004C609F">
      <w:pPr>
        <w:spacing w:after="0" w:line="240" w:lineRule="auto"/>
        <w:ind w:firstLine="709"/>
        <w:jc w:val="center"/>
        <w:rPr>
          <w:rFonts w:ascii="Times New Roman" w:hAnsi="Times New Roman" w:cs="Times New Roman"/>
          <w:sz w:val="28"/>
          <w:szCs w:val="28"/>
        </w:rPr>
      </w:pPr>
    </w:p>
    <w:p w14:paraId="256078C8" w14:textId="0106530C" w:rsidR="00BA61A1" w:rsidRDefault="000A0294" w:rsidP="00BA61A1">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Рисунок 5 </w:t>
      </w:r>
      <w:r w:rsidR="00247242">
        <w:rPr>
          <w:rFonts w:ascii="Times New Roman" w:hAnsi="Times New Roman" w:cs="Times New Roman"/>
          <w:sz w:val="28"/>
          <w:szCs w:val="28"/>
        </w:rPr>
        <w:t>–</w:t>
      </w:r>
      <w:r w:rsidRPr="004804AA">
        <w:rPr>
          <w:rFonts w:ascii="Times New Roman" w:hAnsi="Times New Roman" w:cs="Times New Roman"/>
          <w:sz w:val="28"/>
          <w:szCs w:val="28"/>
        </w:rPr>
        <w:t xml:space="preserve"> </w:t>
      </w:r>
      <w:r w:rsidR="00247242">
        <w:rPr>
          <w:rFonts w:ascii="Times New Roman" w:hAnsi="Times New Roman" w:cs="Times New Roman"/>
          <w:sz w:val="28"/>
          <w:szCs w:val="28"/>
        </w:rPr>
        <w:t>Пример в</w:t>
      </w:r>
      <w:r w:rsidRPr="004804AA">
        <w:rPr>
          <w:rFonts w:ascii="Times New Roman" w:hAnsi="Times New Roman" w:cs="Times New Roman"/>
          <w:sz w:val="28"/>
          <w:szCs w:val="28"/>
        </w:rPr>
        <w:t>ыгрузк</w:t>
      </w:r>
      <w:r w:rsidR="00247242">
        <w:rPr>
          <w:rFonts w:ascii="Times New Roman" w:hAnsi="Times New Roman" w:cs="Times New Roman"/>
          <w:sz w:val="28"/>
          <w:szCs w:val="28"/>
        </w:rPr>
        <w:t>и</w:t>
      </w:r>
      <w:r w:rsidRPr="004804AA">
        <w:rPr>
          <w:rFonts w:ascii="Times New Roman" w:hAnsi="Times New Roman" w:cs="Times New Roman"/>
          <w:sz w:val="28"/>
          <w:szCs w:val="28"/>
        </w:rPr>
        <w:t xml:space="preserve"> данных на сервер</w:t>
      </w:r>
    </w:p>
    <w:p w14:paraId="624A7D5F"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До начала программы скрининга проведено обучение 10 преподавателей информатики методике дистантного компьютерного скрининг-обследования зрения. Обучение проводилось в несколько этапов.</w:t>
      </w:r>
    </w:p>
    <w:p w14:paraId="5EB88A83"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1 этап - ознакомление с программой и ее техническими возможностями. При реализации первой части обучения каждый преподаватель должен был четко знать параметры компьютеров своего класса, так как данная программа подразумевает эксплуатацию только при определенных условиях: интернет-браузер Mozilla Firefox 3.6, плагин Adobe (Macromedia) Flash, версии 10.2.</w:t>
      </w:r>
    </w:p>
    <w:p w14:paraId="68A6BE18" w14:textId="0E13214B"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 второй - освоение навыков работы со школьниками по данной программе (проведение скрининга). После ознакомления с алгоритмом проведения дистантного скрини</w:t>
      </w:r>
      <w:r w:rsidR="00080184">
        <w:rPr>
          <w:rFonts w:ascii="Times New Roman" w:hAnsi="Times New Roman" w:cs="Times New Roman"/>
          <w:sz w:val="28"/>
          <w:szCs w:val="28"/>
        </w:rPr>
        <w:t>н</w:t>
      </w:r>
      <w:r w:rsidRPr="004804AA">
        <w:rPr>
          <w:rFonts w:ascii="Times New Roman" w:hAnsi="Times New Roman" w:cs="Times New Roman"/>
          <w:sz w:val="28"/>
          <w:szCs w:val="28"/>
        </w:rPr>
        <w:t xml:space="preserve">га преподаватели переходили ко 2 этапу и несколько раз в тестовом режиме самостоятельно отрабатывали навыки его проведения. </w:t>
      </w:r>
    </w:p>
    <w:p w14:paraId="5FD79E3F" w14:textId="34B553DF"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Обучение каждого преподавателя заняло в среднем 3-4 часа, при этом 1,5-2 часа занимало овладение навыками алгоритма проведения скрининга. Пробное скрининговое обследование проводили в 2 группах учеников: первая группа - ученики первого класса в возрасте 6–7 лет; вторая группа - ученики 9 класса в возрасте 15–16 лет. Обследование проводили одновременно в группах по 10 человек. Каждый тест обследуемые начинали одновременно.</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Переход к следующему тесту осуществлялся после разрешения преподавателя, проводившего обследование, подтвердившего правильность выполнения задания всеми участниками. В процессе скрининга производилась оценка временных затрат на проведение и анализ результатов дистантного скрининга и метода стандартного офтальмологического осмотра по выявлению аномалий рефракции.</w:t>
      </w:r>
    </w:p>
    <w:p w14:paraId="6DDEB691" w14:textId="77777777" w:rsidR="000A0294" w:rsidRPr="004804AA" w:rsidRDefault="000A0294" w:rsidP="005C37DF">
      <w:pPr>
        <w:pStyle w:val="a4"/>
        <w:ind w:firstLine="709"/>
        <w:jc w:val="both"/>
        <w:rPr>
          <w:rFonts w:ascii="Times New Roman" w:hAnsi="Times New Roman" w:cs="Times New Roman"/>
          <w:sz w:val="28"/>
          <w:szCs w:val="28"/>
        </w:rPr>
      </w:pPr>
      <w:r w:rsidRPr="004804AA">
        <w:rPr>
          <w:rFonts w:ascii="Times New Roman" w:hAnsi="Times New Roman" w:cs="Times New Roman"/>
          <w:sz w:val="28"/>
          <w:szCs w:val="28"/>
        </w:rPr>
        <w:t>Обследование школьников для определения эффективности дистантного компьютерного скрининга проводилось в 3 этапа:</w:t>
      </w:r>
    </w:p>
    <w:p w14:paraId="140ED728" w14:textId="77777777" w:rsidR="000A0294" w:rsidRPr="004804AA" w:rsidRDefault="000A0294" w:rsidP="005C37DF">
      <w:pPr>
        <w:pStyle w:val="a4"/>
        <w:ind w:firstLine="709"/>
        <w:jc w:val="both"/>
        <w:rPr>
          <w:rFonts w:ascii="Times New Roman" w:eastAsia="Times New Roman" w:hAnsi="Times New Roman" w:cs="Times New Roman"/>
          <w:sz w:val="28"/>
          <w:szCs w:val="28"/>
          <w:lang w:eastAsia="ar-SA"/>
        </w:rPr>
      </w:pPr>
      <w:r w:rsidRPr="004804AA">
        <w:rPr>
          <w:rFonts w:ascii="Times New Roman" w:hAnsi="Times New Roman" w:cs="Times New Roman"/>
          <w:sz w:val="28"/>
          <w:szCs w:val="28"/>
        </w:rPr>
        <w:t xml:space="preserve">1. На первом этапе методом офтальмологического осмотра, включающим </w:t>
      </w:r>
      <w:r w:rsidRPr="004804AA">
        <w:rPr>
          <w:rFonts w:ascii="Times New Roman" w:eastAsia="Times New Roman" w:hAnsi="Times New Roman" w:cs="Times New Roman"/>
          <w:sz w:val="28"/>
          <w:szCs w:val="28"/>
          <w:lang w:eastAsia="ar-SA"/>
        </w:rPr>
        <w:t>визометрию по таблице Сивцева-Головина и авторефрактометрию, проводилось выявление детей со сниженным зрением;</w:t>
      </w:r>
    </w:p>
    <w:p w14:paraId="1860E463" w14:textId="038EC057" w:rsidR="000A0294" w:rsidRPr="004804AA" w:rsidRDefault="000A0294" w:rsidP="005C37DF">
      <w:pPr>
        <w:pStyle w:val="a4"/>
        <w:ind w:firstLine="709"/>
        <w:jc w:val="both"/>
        <w:rPr>
          <w:rFonts w:ascii="Times New Roman" w:hAnsi="Times New Roman" w:cs="Times New Roman"/>
          <w:sz w:val="28"/>
          <w:szCs w:val="28"/>
          <w:lang w:val="kk-KZ"/>
        </w:rPr>
      </w:pPr>
      <w:r w:rsidRPr="004804AA">
        <w:rPr>
          <w:rFonts w:ascii="Times New Roman" w:eastAsia="Times New Roman" w:hAnsi="Times New Roman" w:cs="Times New Roman"/>
          <w:sz w:val="28"/>
          <w:szCs w:val="28"/>
          <w:lang w:eastAsia="ar-SA"/>
        </w:rPr>
        <w:t xml:space="preserve">2. </w:t>
      </w:r>
      <w:r w:rsidRPr="004804AA">
        <w:rPr>
          <w:rFonts w:ascii="Times New Roman" w:hAnsi="Times New Roman" w:cs="Times New Roman"/>
          <w:sz w:val="28"/>
          <w:szCs w:val="28"/>
        </w:rPr>
        <w:t>На втором этапе проводился дистантный компьютерный скрининг.</w:t>
      </w:r>
      <w:r w:rsidR="00444869">
        <w:rPr>
          <w:rFonts w:ascii="Times New Roman" w:hAnsi="Times New Roman" w:cs="Times New Roman"/>
          <w:sz w:val="28"/>
          <w:szCs w:val="28"/>
        </w:rPr>
        <w:t xml:space="preserve"> </w:t>
      </w:r>
      <w:r w:rsidRPr="004804AA">
        <w:rPr>
          <w:rFonts w:ascii="Times New Roman" w:hAnsi="Times New Roman" w:cs="Times New Roman"/>
          <w:sz w:val="28"/>
          <w:szCs w:val="28"/>
          <w:lang w:val="kk-KZ"/>
        </w:rPr>
        <w:t>Обследование проводилось на базе компьютерных классов школ обученными педагогами (учителем информатики), группами по 5 школьников. Данные обследования каждого ребенка поступали на обработку на сервер Казахского НИИ глазных болезней.</w:t>
      </w:r>
    </w:p>
    <w:p w14:paraId="58266F0C" w14:textId="77777777" w:rsidR="000A0294" w:rsidRPr="004804AA" w:rsidRDefault="000A0294" w:rsidP="005C37DF">
      <w:pPr>
        <w:pStyle w:val="a4"/>
        <w:ind w:firstLine="709"/>
        <w:jc w:val="both"/>
        <w:rPr>
          <w:rFonts w:ascii="Times New Roman" w:hAnsi="Times New Roman" w:cs="Times New Roman"/>
          <w:sz w:val="28"/>
          <w:szCs w:val="28"/>
          <w:lang w:val="kk-KZ"/>
        </w:rPr>
      </w:pPr>
      <w:r w:rsidRPr="004804AA">
        <w:rPr>
          <w:rFonts w:ascii="Times New Roman" w:hAnsi="Times New Roman" w:cs="Times New Roman"/>
          <w:sz w:val="28"/>
          <w:szCs w:val="28"/>
        </w:rPr>
        <w:t>3.</w:t>
      </w:r>
      <w:r w:rsidRPr="004804AA">
        <w:rPr>
          <w:rFonts w:ascii="Times New Roman" w:hAnsi="Times New Roman" w:cs="Times New Roman"/>
          <w:sz w:val="28"/>
          <w:szCs w:val="28"/>
          <w:lang w:val="kk-KZ"/>
        </w:rPr>
        <w:t xml:space="preserve"> На третьем этапе школьники с выявленным снижением зрения осматривались детским офтальмологом в поликлинике с проведением комплексного офтальмологического обследования.</w:t>
      </w:r>
    </w:p>
    <w:p w14:paraId="557F0B54" w14:textId="732719C1" w:rsidR="000A0294" w:rsidRDefault="000A0294" w:rsidP="005C37DF">
      <w:pPr>
        <w:pStyle w:val="a4"/>
        <w:ind w:firstLine="709"/>
        <w:jc w:val="both"/>
        <w:rPr>
          <w:rFonts w:ascii="Times New Roman" w:hAnsi="Times New Roman" w:cs="Times New Roman"/>
          <w:sz w:val="28"/>
          <w:szCs w:val="28"/>
          <w:lang w:val="kk-KZ"/>
        </w:rPr>
      </w:pPr>
      <w:r w:rsidRPr="004804AA">
        <w:rPr>
          <w:rFonts w:ascii="Times New Roman" w:hAnsi="Times New Roman" w:cs="Times New Roman"/>
          <w:sz w:val="28"/>
          <w:szCs w:val="28"/>
        </w:rPr>
        <w:t xml:space="preserve">Данные офтальмологического обследования каждого школьника заносились в </w:t>
      </w:r>
      <w:r w:rsidRPr="004804AA">
        <w:rPr>
          <w:rFonts w:ascii="Times New Roman" w:hAnsi="Times New Roman" w:cs="Times New Roman"/>
          <w:sz w:val="28"/>
          <w:szCs w:val="28"/>
          <w:lang w:val="kk-KZ"/>
        </w:rPr>
        <w:t xml:space="preserve">карту обследования школьника (Приложение </w:t>
      </w:r>
      <w:r w:rsidR="006F6811">
        <w:rPr>
          <w:rFonts w:ascii="Times New Roman" w:hAnsi="Times New Roman" w:cs="Times New Roman"/>
          <w:sz w:val="28"/>
          <w:szCs w:val="28"/>
          <w:lang w:val="kk-KZ"/>
        </w:rPr>
        <w:t>Б</w:t>
      </w:r>
      <w:r w:rsidRPr="004804AA">
        <w:rPr>
          <w:rFonts w:ascii="Times New Roman" w:hAnsi="Times New Roman" w:cs="Times New Roman"/>
          <w:sz w:val="28"/>
          <w:szCs w:val="28"/>
          <w:lang w:val="kk-KZ"/>
        </w:rPr>
        <w:t>).</w:t>
      </w:r>
    </w:p>
    <w:p w14:paraId="5D88B140" w14:textId="77777777" w:rsidR="00F36CAD" w:rsidRDefault="00F36CAD" w:rsidP="005C37DF">
      <w:pPr>
        <w:pStyle w:val="a4"/>
        <w:ind w:firstLine="709"/>
        <w:jc w:val="both"/>
        <w:rPr>
          <w:rFonts w:ascii="Times New Roman" w:hAnsi="Times New Roman" w:cs="Times New Roman"/>
          <w:sz w:val="28"/>
          <w:szCs w:val="28"/>
          <w:lang w:val="kk-KZ"/>
        </w:rPr>
      </w:pPr>
    </w:p>
    <w:p w14:paraId="6AACA449" w14:textId="77777777" w:rsidR="00BA61A1" w:rsidRDefault="00BA61A1" w:rsidP="005C37DF">
      <w:pPr>
        <w:pStyle w:val="a4"/>
        <w:ind w:firstLine="709"/>
        <w:jc w:val="both"/>
        <w:rPr>
          <w:rFonts w:ascii="Times New Roman" w:hAnsi="Times New Roman" w:cs="Times New Roman"/>
          <w:sz w:val="28"/>
          <w:szCs w:val="28"/>
          <w:lang w:val="kk-KZ"/>
        </w:rPr>
      </w:pPr>
    </w:p>
    <w:p w14:paraId="7C2775CF" w14:textId="77777777" w:rsidR="00BA61A1" w:rsidRDefault="00BA61A1" w:rsidP="005C37DF">
      <w:pPr>
        <w:pStyle w:val="a4"/>
        <w:ind w:firstLine="709"/>
        <w:jc w:val="both"/>
        <w:rPr>
          <w:rFonts w:ascii="Times New Roman" w:hAnsi="Times New Roman" w:cs="Times New Roman"/>
          <w:sz w:val="28"/>
          <w:szCs w:val="28"/>
          <w:lang w:val="kk-KZ"/>
        </w:rPr>
      </w:pPr>
    </w:p>
    <w:p w14:paraId="05E28BE8" w14:textId="77777777" w:rsidR="000A0294" w:rsidRPr="004804AA" w:rsidRDefault="000A0294" w:rsidP="005C37DF">
      <w:pPr>
        <w:spacing w:after="0" w:line="240" w:lineRule="auto"/>
        <w:ind w:firstLine="709"/>
        <w:jc w:val="both"/>
        <w:rPr>
          <w:rFonts w:ascii="Times New Roman" w:hAnsi="Times New Roman" w:cs="Times New Roman"/>
          <w:sz w:val="28"/>
          <w:szCs w:val="28"/>
        </w:rPr>
      </w:pPr>
    </w:p>
    <w:p w14:paraId="24CF739B" w14:textId="3A4AF673" w:rsidR="000A0294" w:rsidRPr="00CA6D3E" w:rsidRDefault="000A0294" w:rsidP="005C37DF">
      <w:pPr>
        <w:spacing w:after="0" w:line="240" w:lineRule="auto"/>
        <w:ind w:firstLine="709"/>
        <w:jc w:val="both"/>
        <w:rPr>
          <w:rFonts w:ascii="Times New Roman" w:hAnsi="Times New Roman" w:cs="Times New Roman"/>
          <w:b/>
          <w:bCs/>
          <w:sz w:val="28"/>
          <w:szCs w:val="28"/>
        </w:rPr>
      </w:pPr>
      <w:r w:rsidRPr="00CA6D3E">
        <w:rPr>
          <w:rFonts w:ascii="Times New Roman" w:hAnsi="Times New Roman" w:cs="Times New Roman"/>
          <w:b/>
          <w:bCs/>
          <w:sz w:val="28"/>
          <w:szCs w:val="28"/>
        </w:rPr>
        <w:lastRenderedPageBreak/>
        <w:t>2.</w:t>
      </w:r>
      <w:r w:rsidR="00CA6D3E">
        <w:rPr>
          <w:rFonts w:ascii="Times New Roman" w:hAnsi="Times New Roman" w:cs="Times New Roman"/>
          <w:b/>
          <w:bCs/>
          <w:sz w:val="28"/>
          <w:szCs w:val="28"/>
        </w:rPr>
        <w:t>7</w:t>
      </w:r>
      <w:r w:rsidRPr="00CA6D3E">
        <w:rPr>
          <w:rFonts w:ascii="Times New Roman" w:hAnsi="Times New Roman" w:cs="Times New Roman"/>
          <w:b/>
          <w:bCs/>
          <w:sz w:val="28"/>
          <w:szCs w:val="28"/>
        </w:rPr>
        <w:t xml:space="preserve"> </w:t>
      </w:r>
      <w:r w:rsidR="00CA6D3E">
        <w:rPr>
          <w:rFonts w:ascii="Times New Roman" w:hAnsi="Times New Roman" w:cs="Times New Roman"/>
          <w:b/>
          <w:bCs/>
          <w:sz w:val="28"/>
          <w:szCs w:val="28"/>
        </w:rPr>
        <w:t>Методы с</w:t>
      </w:r>
      <w:r w:rsidRPr="00CA6D3E">
        <w:rPr>
          <w:rFonts w:ascii="Times New Roman" w:hAnsi="Times New Roman" w:cs="Times New Roman"/>
          <w:b/>
          <w:bCs/>
          <w:sz w:val="28"/>
          <w:szCs w:val="28"/>
        </w:rPr>
        <w:t>татистическ</w:t>
      </w:r>
      <w:r w:rsidR="00CA6D3E">
        <w:rPr>
          <w:rFonts w:ascii="Times New Roman" w:hAnsi="Times New Roman" w:cs="Times New Roman"/>
          <w:b/>
          <w:bCs/>
          <w:sz w:val="28"/>
          <w:szCs w:val="28"/>
        </w:rPr>
        <w:t>ого</w:t>
      </w:r>
      <w:r w:rsidRPr="00CA6D3E">
        <w:rPr>
          <w:rFonts w:ascii="Times New Roman" w:hAnsi="Times New Roman" w:cs="Times New Roman"/>
          <w:b/>
          <w:bCs/>
          <w:sz w:val="28"/>
          <w:szCs w:val="28"/>
        </w:rPr>
        <w:t xml:space="preserve"> анализ</w:t>
      </w:r>
      <w:r w:rsidR="00CA6D3E">
        <w:rPr>
          <w:rFonts w:ascii="Times New Roman" w:hAnsi="Times New Roman" w:cs="Times New Roman"/>
          <w:b/>
          <w:bCs/>
          <w:sz w:val="28"/>
          <w:szCs w:val="28"/>
        </w:rPr>
        <w:t>а</w:t>
      </w:r>
    </w:p>
    <w:p w14:paraId="36B58853" w14:textId="77777777" w:rsidR="00892276"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Полученные данные вносились в электронную базу данных в программе M</w:t>
      </w:r>
      <w:r w:rsidRPr="004804AA">
        <w:rPr>
          <w:rFonts w:ascii="Times New Roman" w:hAnsi="Times New Roman" w:cs="Times New Roman"/>
          <w:sz w:val="28"/>
          <w:szCs w:val="28"/>
          <w:lang w:val="en-US"/>
        </w:rPr>
        <w:t>icrosoft</w:t>
      </w:r>
      <w:r w:rsidRPr="004804AA">
        <w:rPr>
          <w:rFonts w:ascii="Times New Roman" w:hAnsi="Times New Roman" w:cs="Times New Roman"/>
          <w:sz w:val="28"/>
          <w:szCs w:val="28"/>
        </w:rPr>
        <w:t xml:space="preserve"> Excel (M</w:t>
      </w:r>
      <w:r w:rsidRPr="004804AA">
        <w:rPr>
          <w:rFonts w:ascii="Times New Roman" w:hAnsi="Times New Roman" w:cs="Times New Roman"/>
          <w:sz w:val="28"/>
          <w:szCs w:val="28"/>
          <w:lang w:val="en-US"/>
        </w:rPr>
        <w:t>icrosoft</w:t>
      </w:r>
      <w:r w:rsidRPr="004804AA">
        <w:rPr>
          <w:rFonts w:ascii="Times New Roman" w:hAnsi="Times New Roman" w:cs="Times New Roman"/>
          <w:sz w:val="28"/>
          <w:szCs w:val="28"/>
        </w:rPr>
        <w:t xml:space="preserve">, США). Далее данные были перенесены для статистического анализа в программу </w:t>
      </w:r>
      <w:r w:rsidRPr="004804AA">
        <w:rPr>
          <w:rFonts w:ascii="Times New Roman" w:hAnsi="Times New Roman" w:cs="Times New Roman"/>
          <w:sz w:val="28"/>
          <w:szCs w:val="28"/>
          <w:lang w:val="en-US"/>
        </w:rPr>
        <w:t>SPSS</w:t>
      </w:r>
      <w:r w:rsidRPr="004804AA">
        <w:rPr>
          <w:rFonts w:ascii="Times New Roman" w:hAnsi="Times New Roman" w:cs="Times New Roman"/>
          <w:sz w:val="28"/>
          <w:szCs w:val="28"/>
        </w:rPr>
        <w:t xml:space="preserve"> S</w:t>
      </w:r>
      <w:r w:rsidRPr="004804AA">
        <w:rPr>
          <w:rFonts w:ascii="Times New Roman" w:hAnsi="Times New Roman" w:cs="Times New Roman"/>
          <w:sz w:val="28"/>
          <w:szCs w:val="28"/>
          <w:lang w:val="en-US"/>
        </w:rPr>
        <w:t>tatistic</w:t>
      </w:r>
      <w:r w:rsidRPr="004804AA">
        <w:rPr>
          <w:rFonts w:ascii="Times New Roman" w:hAnsi="Times New Roman" w:cs="Times New Roman"/>
          <w:sz w:val="28"/>
          <w:szCs w:val="28"/>
        </w:rPr>
        <w:t xml:space="preserve"> 23.0 (</w:t>
      </w:r>
      <w:r w:rsidRPr="004804AA">
        <w:rPr>
          <w:rFonts w:ascii="Times New Roman" w:hAnsi="Times New Roman" w:cs="Times New Roman"/>
          <w:sz w:val="28"/>
          <w:szCs w:val="28"/>
          <w:lang w:val="en-US"/>
        </w:rPr>
        <w:t>IBM</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Corp</w:t>
      </w:r>
      <w:r w:rsidRPr="004804AA">
        <w:rPr>
          <w:rFonts w:ascii="Times New Roman" w:hAnsi="Times New Roman" w:cs="Times New Roman"/>
          <w:sz w:val="28"/>
          <w:szCs w:val="28"/>
        </w:rPr>
        <w:t xml:space="preserve">., 2015). Первичной конечной точкой исследования была распространённость различных нарушений рефракции, выраженная как процент лиц с признаком от общего количества человек в группе. Распространённость нарушений рефракции рассчитывали отдельно в группах 1, 5 и 9 классов, в также в целом по всей выборке. </w:t>
      </w:r>
    </w:p>
    <w:p w14:paraId="4592D2FB" w14:textId="6D3BA6C0"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Вторичной конечной точкой в данном исследовании была вероятность развития тех или иных нарушений рефракции в зависимости от наличия факторов, называемых предикторами. К этим факторам относились как бинарные, так и небинарные величины. Мерой расчета такой вероятности в данном исследовании было отношение шансов (ОШ). </w:t>
      </w:r>
    </w:p>
    <w:p w14:paraId="2CB4C093"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Для анализа количественных признаков проводилась оценка их распределения и его соответствия нормальному типу. Для этого применялись методы графической визуализации распределения вариационных рядов и расчет критериев Колмогорова-Смирнова и Шапиро-Уилка. Если полученное значение р для данных статистических критериев было больше критического уровня статистической значимости (0,05), то распределение исследуемого признака признавалось нормальным. В случае соответствия распределения закону нормального распределения описательная статистика количественных данных проводилась при помощи средней арифметической величины, стандартного отклонения и стандартной ошибки. В работе данные представлены соответственно в формате «М±ð». В случаях отличия распределения от нормального количественные данные описывались при помощи медианы и квартилей и межквартильных интервалов (представлено в работе в формате Me (Q25-Q75)). </w:t>
      </w:r>
    </w:p>
    <w:p w14:paraId="2D4C95A1"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Статистическая значимость различий между независимыми группами оценивалась с помощью параметрических (критерий Стьюдента, дисперсионный анализ) и непараметрических методов (критерий Манна – Уитни, непараметрический дисперсионный анализ Краскела – Уоллиса). За пороговый уровень статистической значимости принят р&lt;0,05. Оценка статистической значимости различий в зависимых группах проводилась при помощи критериев Вилкоксона (две группы). С целью обобщения полученных результатов определялись ошибки репрезентативности показателей и доверительные интервалы при доверительной вероятности, равной 95%. </w:t>
      </w:r>
    </w:p>
    <w:p w14:paraId="6E150D3D" w14:textId="1DDF5570" w:rsidR="000A0294" w:rsidRPr="004804AA" w:rsidRDefault="000A0294" w:rsidP="005C283E">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При анализе предикторов развития миопии были проанализированы следующие переменные: пол, наследственный фактор (родительская близорукость), ступень обучения (класс), тип школы, учебная смена, длительность работы на близком расстоянии, продолжительность экранного времени, время на открытом воздухе и спортивная активность. Для этого сначала был проведен однофакторный анализ, сравнивающий наличие или отсутствие каждого отдельного признака в двух группах (есть нарушение </w:t>
      </w:r>
      <w:r w:rsidRPr="004804AA">
        <w:rPr>
          <w:rFonts w:ascii="Times New Roman" w:hAnsi="Times New Roman" w:cs="Times New Roman"/>
          <w:sz w:val="28"/>
          <w:szCs w:val="28"/>
        </w:rPr>
        <w:lastRenderedPageBreak/>
        <w:t>рефракции и нет нарушения рефракции). При этом статистическая значимость различий была рассчитана с помощью таблиц сопряжения и тест</w:t>
      </w:r>
      <w:r w:rsidR="005C283E">
        <w:rPr>
          <w:rFonts w:ascii="Times New Roman" w:hAnsi="Times New Roman" w:cs="Times New Roman"/>
          <w:sz w:val="28"/>
          <w:szCs w:val="28"/>
        </w:rPr>
        <w:t>ов</w:t>
      </w:r>
      <w:r w:rsidRPr="004804AA">
        <w:rPr>
          <w:rFonts w:ascii="Times New Roman" w:hAnsi="Times New Roman" w:cs="Times New Roman"/>
          <w:sz w:val="28"/>
          <w:szCs w:val="28"/>
        </w:rPr>
        <w:t xml:space="preserve"> </w:t>
      </w:r>
      <w:r w:rsidR="00117616">
        <w:rPr>
          <w:rFonts w:ascii="Times New Roman" w:hAnsi="Times New Roman" w:cs="Times New Roman"/>
          <w:sz w:val="28"/>
          <w:szCs w:val="28"/>
        </w:rPr>
        <w:t>х</w:t>
      </w:r>
      <w:r w:rsidRPr="004804AA">
        <w:rPr>
          <w:rFonts w:ascii="Times New Roman" w:hAnsi="Times New Roman" w:cs="Times New Roman"/>
          <w:sz w:val="28"/>
          <w:szCs w:val="28"/>
        </w:rPr>
        <w:t>и-квадрат</w:t>
      </w:r>
      <w:r w:rsidR="005C283E">
        <w:rPr>
          <w:rFonts w:ascii="Times New Roman" w:hAnsi="Times New Roman" w:cs="Times New Roman"/>
          <w:sz w:val="28"/>
          <w:szCs w:val="28"/>
        </w:rPr>
        <w:t xml:space="preserve">, с расчетом </w:t>
      </w:r>
      <w:r w:rsidR="005C283E">
        <w:rPr>
          <w:rFonts w:ascii="Times New Roman" w:hAnsi="Times New Roman" w:cs="Times New Roman"/>
          <w:sz w:val="28"/>
          <w:szCs w:val="28"/>
          <w:lang w:val="en-US"/>
        </w:rPr>
        <w:t>p</w:t>
      </w:r>
      <w:r w:rsidR="005C283E">
        <w:rPr>
          <w:rFonts w:ascii="Times New Roman" w:hAnsi="Times New Roman" w:cs="Times New Roman"/>
          <w:sz w:val="28"/>
          <w:szCs w:val="28"/>
        </w:rPr>
        <w:t>-</w:t>
      </w:r>
      <w:r w:rsidR="005C283E">
        <w:rPr>
          <w:rFonts w:ascii="Times New Roman" w:hAnsi="Times New Roman" w:cs="Times New Roman"/>
          <w:sz w:val="28"/>
          <w:szCs w:val="28"/>
          <w:lang w:val="en-US"/>
        </w:rPr>
        <w:t>value</w:t>
      </w:r>
      <w:r w:rsidR="005C283E">
        <w:rPr>
          <w:rFonts w:ascii="Times New Roman" w:hAnsi="Times New Roman" w:cs="Times New Roman"/>
          <w:sz w:val="28"/>
          <w:szCs w:val="28"/>
        </w:rPr>
        <w:t xml:space="preserve">. Для </w:t>
      </w:r>
      <w:r w:rsidR="00016854">
        <w:rPr>
          <w:rFonts w:ascii="Times New Roman" w:hAnsi="Times New Roman" w:cs="Times New Roman"/>
          <w:sz w:val="28"/>
          <w:szCs w:val="28"/>
        </w:rPr>
        <w:t xml:space="preserve">качественной </w:t>
      </w:r>
      <w:r w:rsidR="005C283E">
        <w:rPr>
          <w:rFonts w:ascii="Times New Roman" w:hAnsi="Times New Roman" w:cs="Times New Roman"/>
          <w:sz w:val="28"/>
          <w:szCs w:val="28"/>
        </w:rPr>
        <w:t xml:space="preserve">оценки </w:t>
      </w:r>
      <w:r w:rsidR="005C283E" w:rsidRPr="00016854">
        <w:rPr>
          <w:rFonts w:ascii="Times New Roman" w:hAnsi="Times New Roman" w:cs="Times New Roman"/>
          <w:sz w:val="28"/>
          <w:szCs w:val="28"/>
        </w:rPr>
        <w:t>шансов развития исход</w:t>
      </w:r>
      <w:r w:rsidR="00016854">
        <w:rPr>
          <w:rFonts w:ascii="Times New Roman" w:hAnsi="Times New Roman" w:cs="Times New Roman"/>
          <w:sz w:val="28"/>
          <w:szCs w:val="28"/>
        </w:rPr>
        <w:t>а</w:t>
      </w:r>
      <w:r w:rsidR="00016854" w:rsidRPr="00016854">
        <w:rPr>
          <w:rFonts w:ascii="Times New Roman" w:hAnsi="Times New Roman" w:cs="Times New Roman"/>
          <w:sz w:val="28"/>
          <w:szCs w:val="28"/>
        </w:rPr>
        <w:t xml:space="preserve"> в группах сравнения  </w:t>
      </w:r>
      <w:r w:rsidR="005C283E" w:rsidRPr="00016854">
        <w:rPr>
          <w:rFonts w:ascii="Times New Roman" w:hAnsi="Times New Roman" w:cs="Times New Roman"/>
          <w:sz w:val="28"/>
          <w:szCs w:val="28"/>
        </w:rPr>
        <w:t xml:space="preserve"> </w:t>
      </w:r>
      <w:r w:rsidR="00016854" w:rsidRPr="00016854">
        <w:rPr>
          <w:rFonts w:ascii="Times New Roman" w:hAnsi="Times New Roman" w:cs="Times New Roman"/>
          <w:sz w:val="28"/>
          <w:szCs w:val="28"/>
        </w:rPr>
        <w:t>рассчитывался показатель ОШ для таблиц сопряженности 2×2</w:t>
      </w:r>
      <w:r w:rsidR="00016854">
        <w:rPr>
          <w:rFonts w:ascii="Times New Roman" w:hAnsi="Times New Roman" w:cs="Times New Roman"/>
          <w:sz w:val="28"/>
          <w:szCs w:val="28"/>
        </w:rPr>
        <w:t>, с определением 95% доверительного интервала (ДИ)</w:t>
      </w:r>
      <w:r w:rsidRPr="004804AA">
        <w:rPr>
          <w:rFonts w:ascii="Times New Roman" w:hAnsi="Times New Roman" w:cs="Times New Roman"/>
          <w:sz w:val="28"/>
          <w:szCs w:val="28"/>
        </w:rPr>
        <w:t>. Таблицы сопряжения могли быть выражены в виде таблиц 2</w:t>
      </w:r>
      <w:r w:rsidR="00016854">
        <w:rPr>
          <w:rFonts w:ascii="Times New Roman" w:hAnsi="Times New Roman" w:cs="Times New Roman"/>
          <w:sz w:val="28"/>
          <w:szCs w:val="28"/>
        </w:rPr>
        <w:t>×</w:t>
      </w:r>
      <w:r w:rsidRPr="004804AA">
        <w:rPr>
          <w:rFonts w:ascii="Times New Roman" w:hAnsi="Times New Roman" w:cs="Times New Roman"/>
          <w:sz w:val="28"/>
          <w:szCs w:val="28"/>
        </w:rPr>
        <w:t>2, либо 2</w:t>
      </w:r>
      <w:r w:rsidR="00016854">
        <w:rPr>
          <w:rFonts w:ascii="Times New Roman" w:hAnsi="Times New Roman" w:cs="Times New Roman"/>
          <w:sz w:val="28"/>
          <w:szCs w:val="28"/>
        </w:rPr>
        <w:t>×</w:t>
      </w:r>
      <w:r w:rsidRPr="004804AA">
        <w:rPr>
          <w:rFonts w:ascii="Times New Roman" w:hAnsi="Times New Roman" w:cs="Times New Roman"/>
          <w:sz w:val="28"/>
          <w:szCs w:val="28"/>
        </w:rPr>
        <w:t>3</w:t>
      </w:r>
      <w:r w:rsidR="00016854">
        <w:rPr>
          <w:rFonts w:ascii="Times New Roman" w:hAnsi="Times New Roman" w:cs="Times New Roman"/>
          <w:sz w:val="28"/>
          <w:szCs w:val="28"/>
        </w:rPr>
        <w:t xml:space="preserve"> и более,</w:t>
      </w:r>
      <w:r w:rsidRPr="004804AA">
        <w:rPr>
          <w:rFonts w:ascii="Times New Roman" w:hAnsi="Times New Roman" w:cs="Times New Roman"/>
          <w:sz w:val="28"/>
          <w:szCs w:val="28"/>
        </w:rPr>
        <w:t xml:space="preserve"> в зависимости от числа категорий.</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 xml:space="preserve">Те показатели (предикторы), которые в однофакторном анализе были статистически значимо ассоциированы с нарушением рефракции, были отобраны как кандидаты для многофакторного анализа, учитывающего взаимодействие предикторов друг с другом и блокирующего влияние отдельного фактора, если его ассоциация с исходом была не истинной, а опосредованной через другой предиктор. </w:t>
      </w:r>
    </w:p>
    <w:p w14:paraId="38A9CF80" w14:textId="10195AD3"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Так как исход (наличие или отсутствие нарушений рефракции) был бинарной величиной, то в качестве многофакторного анализа нами использована логи</w:t>
      </w:r>
      <w:r w:rsidR="00BE720E">
        <w:rPr>
          <w:rFonts w:ascii="Times New Roman" w:hAnsi="Times New Roman" w:cs="Times New Roman"/>
          <w:sz w:val="28"/>
          <w:szCs w:val="28"/>
        </w:rPr>
        <w:t>сти</w:t>
      </w:r>
      <w:r w:rsidRPr="004804AA">
        <w:rPr>
          <w:rFonts w:ascii="Times New Roman" w:hAnsi="Times New Roman" w:cs="Times New Roman"/>
          <w:sz w:val="28"/>
          <w:szCs w:val="28"/>
        </w:rPr>
        <w:t xml:space="preserve">ческая регрессия, которая позволяла рассчитать ОШ </w:t>
      </w:r>
      <w:r w:rsidR="00BE720E">
        <w:rPr>
          <w:rFonts w:ascii="Times New Roman" w:hAnsi="Times New Roman" w:cs="Times New Roman"/>
          <w:sz w:val="28"/>
          <w:szCs w:val="28"/>
        </w:rPr>
        <w:t xml:space="preserve">для исхода, выраженного в наличии </w:t>
      </w:r>
      <w:r w:rsidRPr="004804AA">
        <w:rPr>
          <w:rFonts w:ascii="Times New Roman" w:hAnsi="Times New Roman" w:cs="Times New Roman"/>
          <w:sz w:val="28"/>
          <w:szCs w:val="28"/>
        </w:rPr>
        <w:t>нарушения рефракции с ег</w:t>
      </w:r>
      <w:r w:rsidR="00016854">
        <w:rPr>
          <w:rFonts w:ascii="Times New Roman" w:hAnsi="Times New Roman" w:cs="Times New Roman"/>
          <w:sz w:val="28"/>
          <w:szCs w:val="28"/>
        </w:rPr>
        <w:t xml:space="preserve">о 95% </w:t>
      </w:r>
      <w:r w:rsidRPr="004804AA">
        <w:rPr>
          <w:rFonts w:ascii="Times New Roman" w:hAnsi="Times New Roman" w:cs="Times New Roman"/>
          <w:sz w:val="28"/>
          <w:szCs w:val="28"/>
        </w:rPr>
        <w:t xml:space="preserve">ДИ. Для каждого вида нарушения рефракции нами проведен отдельный регрессионный анализ. </w:t>
      </w:r>
    </w:p>
    <w:p w14:paraId="658A4288" w14:textId="6B72E6AE"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Эффективность скрининга проверялась посредством расчета операционных характеристик теста: чувствительности, специфичности, прогностической ценности положительного и отрицательного результатов теста, отношения правдоподобия положительного и отрицательного результатов, диагностической эффективности методики. Эти показатели являются основными критериями для оценки качества и эффективности бинарного теста. Учитывая тот факт, что результаты дистантного скрининга являются дихотомическими (нарушения зрения есть – нарушений нет), мы представили р</w:t>
      </w:r>
      <w:r w:rsidR="00D97E7C">
        <w:rPr>
          <w:rFonts w:ascii="Times New Roman" w:hAnsi="Times New Roman" w:cs="Times New Roman"/>
          <w:sz w:val="28"/>
          <w:szCs w:val="28"/>
        </w:rPr>
        <w:t>е</w:t>
      </w:r>
      <w:r w:rsidRPr="004804AA">
        <w:rPr>
          <w:rFonts w:ascii="Times New Roman" w:hAnsi="Times New Roman" w:cs="Times New Roman"/>
          <w:sz w:val="28"/>
          <w:szCs w:val="28"/>
        </w:rPr>
        <w:t>з</w:t>
      </w:r>
      <w:r w:rsidR="00D97E7C">
        <w:rPr>
          <w:rFonts w:ascii="Times New Roman" w:hAnsi="Times New Roman" w:cs="Times New Roman"/>
          <w:sz w:val="28"/>
          <w:szCs w:val="28"/>
        </w:rPr>
        <w:t>у</w:t>
      </w:r>
      <w:r w:rsidRPr="004804AA">
        <w:rPr>
          <w:rFonts w:ascii="Times New Roman" w:hAnsi="Times New Roman" w:cs="Times New Roman"/>
          <w:sz w:val="28"/>
          <w:szCs w:val="28"/>
        </w:rPr>
        <w:t>льтаты в виде четырехпольной таблицы 2×2 (</w:t>
      </w:r>
      <w:r w:rsidR="00D97E7C">
        <w:rPr>
          <w:rFonts w:ascii="Times New Roman" w:hAnsi="Times New Roman" w:cs="Times New Roman"/>
          <w:sz w:val="28"/>
          <w:szCs w:val="28"/>
        </w:rPr>
        <w:t>таблица 7</w:t>
      </w:r>
      <w:r w:rsidRPr="004804AA">
        <w:rPr>
          <w:rFonts w:ascii="Times New Roman" w:hAnsi="Times New Roman" w:cs="Times New Roman"/>
          <w:sz w:val="28"/>
          <w:szCs w:val="28"/>
        </w:rPr>
        <w:t>):</w:t>
      </w:r>
    </w:p>
    <w:p w14:paraId="39358C5C" w14:textId="77777777" w:rsidR="00D97E7C" w:rsidRDefault="00D97E7C" w:rsidP="00D97E7C">
      <w:pPr>
        <w:spacing w:after="0" w:line="240" w:lineRule="auto"/>
        <w:rPr>
          <w:rFonts w:ascii="Times New Roman" w:hAnsi="Times New Roman" w:cs="Times New Roman"/>
          <w:sz w:val="28"/>
          <w:szCs w:val="28"/>
        </w:rPr>
      </w:pPr>
    </w:p>
    <w:p w14:paraId="04273DDE" w14:textId="0EEBDF6E" w:rsidR="000A0294" w:rsidRDefault="000A0294" w:rsidP="00D97E7C">
      <w:pPr>
        <w:spacing w:after="0" w:line="240" w:lineRule="auto"/>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D97E7C">
        <w:rPr>
          <w:rFonts w:ascii="Times New Roman" w:hAnsi="Times New Roman" w:cs="Times New Roman"/>
          <w:sz w:val="28"/>
          <w:szCs w:val="28"/>
        </w:rPr>
        <w:t>7 -</w:t>
      </w:r>
      <w:r w:rsidRPr="004804AA">
        <w:rPr>
          <w:rFonts w:ascii="Times New Roman" w:hAnsi="Times New Roman" w:cs="Times New Roman"/>
          <w:sz w:val="28"/>
          <w:szCs w:val="28"/>
        </w:rPr>
        <w:t xml:space="preserve"> Четырехпольная таблица</w:t>
      </w:r>
      <w:r w:rsidR="00482015">
        <w:rPr>
          <w:rFonts w:ascii="Times New Roman" w:hAnsi="Times New Roman" w:cs="Times New Roman"/>
          <w:sz w:val="28"/>
          <w:szCs w:val="28"/>
        </w:rPr>
        <w:t xml:space="preserve"> для расчета характеристик теста</w:t>
      </w:r>
    </w:p>
    <w:p w14:paraId="238FE827" w14:textId="77777777" w:rsidR="00482015" w:rsidRPr="004804AA" w:rsidRDefault="00482015" w:rsidP="00D97E7C">
      <w:pPr>
        <w:spacing w:after="0" w:line="240" w:lineRule="auto"/>
        <w:rPr>
          <w:rFonts w:ascii="Times New Roman" w:hAnsi="Times New Roman" w:cs="Times New Roman"/>
          <w:sz w:val="28"/>
          <w:szCs w:val="28"/>
        </w:rPr>
      </w:pPr>
    </w:p>
    <w:tbl>
      <w:tblPr>
        <w:tblStyle w:val="af0"/>
        <w:tblW w:w="0" w:type="auto"/>
        <w:tblLook w:val="04A0" w:firstRow="1" w:lastRow="0" w:firstColumn="1" w:lastColumn="0" w:noHBand="0" w:noVBand="1"/>
      </w:tblPr>
      <w:tblGrid>
        <w:gridCol w:w="2972"/>
        <w:gridCol w:w="3260"/>
        <w:gridCol w:w="2552"/>
      </w:tblGrid>
      <w:tr w:rsidR="000A0294" w:rsidRPr="004804AA" w14:paraId="5EBF8526" w14:textId="77777777" w:rsidTr="00292B55">
        <w:tc>
          <w:tcPr>
            <w:tcW w:w="2972" w:type="dxa"/>
            <w:vMerge w:val="restart"/>
          </w:tcPr>
          <w:p w14:paraId="707D14AF"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Нарушения зрения при скрининге:</w:t>
            </w:r>
          </w:p>
        </w:tc>
        <w:tc>
          <w:tcPr>
            <w:tcW w:w="5812" w:type="dxa"/>
            <w:gridSpan w:val="2"/>
          </w:tcPr>
          <w:p w14:paraId="098F6FC5"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Нарушение рефракции</w:t>
            </w:r>
          </w:p>
        </w:tc>
      </w:tr>
      <w:tr w:rsidR="000A0294" w:rsidRPr="004804AA" w14:paraId="39238A9A" w14:textId="77777777" w:rsidTr="00292B55">
        <w:tc>
          <w:tcPr>
            <w:tcW w:w="2972" w:type="dxa"/>
            <w:vMerge/>
          </w:tcPr>
          <w:p w14:paraId="7463DF90" w14:textId="77777777" w:rsidR="000A0294" w:rsidRPr="004804AA" w:rsidRDefault="000A0294" w:rsidP="00126431">
            <w:pPr>
              <w:spacing w:after="0" w:line="240" w:lineRule="auto"/>
              <w:jc w:val="center"/>
              <w:rPr>
                <w:rFonts w:ascii="Times New Roman" w:hAnsi="Times New Roman" w:cs="Times New Roman"/>
                <w:sz w:val="28"/>
                <w:szCs w:val="28"/>
              </w:rPr>
            </w:pPr>
          </w:p>
        </w:tc>
        <w:tc>
          <w:tcPr>
            <w:tcW w:w="3260" w:type="dxa"/>
          </w:tcPr>
          <w:p w14:paraId="36849292"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есть</w:t>
            </w:r>
          </w:p>
        </w:tc>
        <w:tc>
          <w:tcPr>
            <w:tcW w:w="2552" w:type="dxa"/>
          </w:tcPr>
          <w:p w14:paraId="16F7BD3D"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нет</w:t>
            </w:r>
          </w:p>
        </w:tc>
      </w:tr>
      <w:tr w:rsidR="000A0294" w:rsidRPr="004804AA" w14:paraId="2E81CCDA" w14:textId="77777777" w:rsidTr="00292B55">
        <w:tc>
          <w:tcPr>
            <w:tcW w:w="2972" w:type="dxa"/>
          </w:tcPr>
          <w:p w14:paraId="23890DB0"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выявлено</w:t>
            </w:r>
          </w:p>
        </w:tc>
        <w:tc>
          <w:tcPr>
            <w:tcW w:w="3260" w:type="dxa"/>
          </w:tcPr>
          <w:p w14:paraId="5BDEE750" w14:textId="67E6F90B" w:rsidR="000A0294" w:rsidRPr="00A165D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TP</w:t>
            </w:r>
            <w:r w:rsidR="00A165DA" w:rsidRPr="00A165DA">
              <w:rPr>
                <w:rFonts w:ascii="Times New Roman" w:hAnsi="Times New Roman" w:cs="Times New Roman"/>
                <w:sz w:val="28"/>
                <w:szCs w:val="28"/>
                <w:vertAlign w:val="superscript"/>
              </w:rPr>
              <w:t>1</w:t>
            </w:r>
          </w:p>
        </w:tc>
        <w:tc>
          <w:tcPr>
            <w:tcW w:w="2552" w:type="dxa"/>
          </w:tcPr>
          <w:p w14:paraId="115CC1C1" w14:textId="78F4F657" w:rsidR="000A0294" w:rsidRPr="00A165D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FP</w:t>
            </w:r>
            <w:r w:rsidR="00A165DA" w:rsidRPr="00A165DA">
              <w:rPr>
                <w:rFonts w:ascii="Times New Roman" w:hAnsi="Times New Roman" w:cs="Times New Roman"/>
                <w:sz w:val="28"/>
                <w:szCs w:val="28"/>
                <w:vertAlign w:val="superscript"/>
              </w:rPr>
              <w:t>2</w:t>
            </w:r>
          </w:p>
        </w:tc>
      </w:tr>
      <w:tr w:rsidR="000A0294" w:rsidRPr="004804AA" w14:paraId="6FD6960B" w14:textId="77777777" w:rsidTr="00292B55">
        <w:tc>
          <w:tcPr>
            <w:tcW w:w="2972" w:type="dxa"/>
          </w:tcPr>
          <w:p w14:paraId="449C8277" w14:textId="77777777" w:rsidR="000A0294" w:rsidRPr="004804A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не выявлено</w:t>
            </w:r>
          </w:p>
        </w:tc>
        <w:tc>
          <w:tcPr>
            <w:tcW w:w="3260" w:type="dxa"/>
          </w:tcPr>
          <w:p w14:paraId="4345DCB5" w14:textId="689B6076" w:rsidR="000A0294" w:rsidRPr="00A165D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FN</w:t>
            </w:r>
            <w:r w:rsidR="00A165DA" w:rsidRPr="00A165DA">
              <w:rPr>
                <w:rFonts w:ascii="Times New Roman" w:hAnsi="Times New Roman" w:cs="Times New Roman"/>
                <w:sz w:val="28"/>
                <w:szCs w:val="28"/>
                <w:vertAlign w:val="superscript"/>
              </w:rPr>
              <w:t>3</w:t>
            </w:r>
          </w:p>
        </w:tc>
        <w:tc>
          <w:tcPr>
            <w:tcW w:w="2552" w:type="dxa"/>
          </w:tcPr>
          <w:p w14:paraId="6A30DE8C" w14:textId="2BD08E9F" w:rsidR="000A0294" w:rsidRPr="00A165DA" w:rsidRDefault="000A0294" w:rsidP="00126431">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lang w:val="en-US"/>
              </w:rPr>
              <w:t>TN</w:t>
            </w:r>
            <w:r w:rsidR="00A165DA" w:rsidRPr="00A165DA">
              <w:rPr>
                <w:rFonts w:ascii="Times New Roman" w:hAnsi="Times New Roman" w:cs="Times New Roman"/>
                <w:sz w:val="28"/>
                <w:szCs w:val="28"/>
                <w:vertAlign w:val="superscript"/>
              </w:rPr>
              <w:t>4</w:t>
            </w:r>
          </w:p>
        </w:tc>
      </w:tr>
      <w:tr w:rsidR="00A165DA" w:rsidRPr="004804AA" w14:paraId="5DA36AB4" w14:textId="77777777" w:rsidTr="00292B55">
        <w:tc>
          <w:tcPr>
            <w:tcW w:w="8784" w:type="dxa"/>
            <w:gridSpan w:val="3"/>
          </w:tcPr>
          <w:p w14:paraId="693CEB3E" w14:textId="47665BE1" w:rsidR="00A165DA" w:rsidRPr="00A165DA" w:rsidRDefault="00A165DA" w:rsidP="00A165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Примечание:</w:t>
            </w:r>
          </w:p>
          <w:p w14:paraId="6C4B9219" w14:textId="26ED5C4A" w:rsidR="00A165DA" w:rsidRPr="00A165DA" w:rsidRDefault="00A165DA" w:rsidP="00A165DA">
            <w:pPr>
              <w:spacing w:after="0" w:line="240" w:lineRule="auto"/>
              <w:jc w:val="both"/>
              <w:rPr>
                <w:rFonts w:ascii="Times New Roman" w:hAnsi="Times New Roman" w:cs="Times New Roman"/>
                <w:sz w:val="28"/>
                <w:szCs w:val="28"/>
              </w:rPr>
            </w:pPr>
            <w:r w:rsidRPr="00A165DA">
              <w:rPr>
                <w:rFonts w:ascii="Times New Roman" w:hAnsi="Times New Roman" w:cs="Times New Roman"/>
                <w:sz w:val="28"/>
                <w:szCs w:val="28"/>
                <w:vertAlign w:val="superscript"/>
              </w:rPr>
              <w:t>1</w:t>
            </w:r>
            <w:r w:rsidRPr="00A165DA">
              <w:rPr>
                <w:rFonts w:ascii="Times New Roman" w:hAnsi="Times New Roman" w:cs="Times New Roman"/>
                <w:sz w:val="28"/>
                <w:szCs w:val="28"/>
                <w:lang w:val="en-US"/>
              </w:rPr>
              <w:t>TP</w:t>
            </w:r>
            <w:r w:rsidRPr="00A165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true</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positive</w:t>
            </w:r>
            <w:r w:rsidRPr="00A165DA">
              <w:rPr>
                <w:rFonts w:ascii="Times New Roman" w:hAnsi="Times New Roman" w:cs="Times New Roman"/>
                <w:sz w:val="28"/>
                <w:szCs w:val="28"/>
              </w:rPr>
              <w:t>)</w:t>
            </w:r>
            <w:r>
              <w:rPr>
                <w:rFonts w:ascii="Times New Roman" w:hAnsi="Times New Roman" w:cs="Times New Roman"/>
                <w:sz w:val="28"/>
                <w:szCs w:val="28"/>
              </w:rPr>
              <w:t xml:space="preserve"> </w:t>
            </w:r>
            <w:r w:rsidRPr="00A165DA">
              <w:rPr>
                <w:rFonts w:ascii="Times New Roman" w:hAnsi="Times New Roman" w:cs="Times New Roman"/>
                <w:sz w:val="28"/>
                <w:szCs w:val="28"/>
              </w:rPr>
              <w:t>истинно положительны</w:t>
            </w:r>
            <w:r>
              <w:rPr>
                <w:rFonts w:ascii="Times New Roman" w:hAnsi="Times New Roman" w:cs="Times New Roman"/>
                <w:sz w:val="28"/>
                <w:szCs w:val="28"/>
              </w:rPr>
              <w:t>й результат</w:t>
            </w:r>
            <w:r w:rsidRPr="00A165DA">
              <w:rPr>
                <w:rFonts w:ascii="Times New Roman" w:hAnsi="Times New Roman" w:cs="Times New Roman"/>
                <w:sz w:val="28"/>
                <w:szCs w:val="28"/>
              </w:rPr>
              <w:t>;</w:t>
            </w:r>
          </w:p>
          <w:p w14:paraId="2A30BDD2" w14:textId="276A0F4F" w:rsidR="00A165DA" w:rsidRPr="00A165DA" w:rsidRDefault="00A165DA" w:rsidP="00A165DA">
            <w:pPr>
              <w:spacing w:after="0" w:line="240" w:lineRule="auto"/>
              <w:jc w:val="both"/>
              <w:rPr>
                <w:rFonts w:ascii="Times New Roman" w:hAnsi="Times New Roman" w:cs="Times New Roman"/>
                <w:sz w:val="28"/>
                <w:szCs w:val="28"/>
              </w:rPr>
            </w:pPr>
            <w:r w:rsidRPr="00A165DA">
              <w:rPr>
                <w:rFonts w:ascii="Times New Roman" w:hAnsi="Times New Roman" w:cs="Times New Roman"/>
                <w:sz w:val="28"/>
                <w:szCs w:val="28"/>
                <w:vertAlign w:val="superscript"/>
              </w:rPr>
              <w:t>2</w:t>
            </w:r>
            <w:r w:rsidRPr="00A165DA">
              <w:rPr>
                <w:rFonts w:ascii="Times New Roman" w:hAnsi="Times New Roman" w:cs="Times New Roman"/>
                <w:sz w:val="28"/>
                <w:szCs w:val="28"/>
                <w:lang w:val="en-US"/>
              </w:rPr>
              <w:t>FP</w:t>
            </w:r>
            <w:r w:rsidRPr="00A165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false</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positive</w:t>
            </w:r>
            <w:r w:rsidRPr="00A165DA">
              <w:rPr>
                <w:rFonts w:ascii="Times New Roman" w:hAnsi="Times New Roman" w:cs="Times New Roman"/>
                <w:sz w:val="28"/>
                <w:szCs w:val="28"/>
              </w:rPr>
              <w:t>) ложно положительны</w:t>
            </w:r>
            <w:r>
              <w:rPr>
                <w:rFonts w:ascii="Times New Roman" w:hAnsi="Times New Roman" w:cs="Times New Roman"/>
                <w:sz w:val="28"/>
                <w:szCs w:val="28"/>
              </w:rPr>
              <w:t>й результат</w:t>
            </w:r>
            <w:r w:rsidRPr="00A165DA">
              <w:rPr>
                <w:rFonts w:ascii="Times New Roman" w:hAnsi="Times New Roman" w:cs="Times New Roman"/>
                <w:sz w:val="28"/>
                <w:szCs w:val="28"/>
              </w:rPr>
              <w:t>;</w:t>
            </w:r>
          </w:p>
          <w:p w14:paraId="2AEEFB21" w14:textId="088D509E" w:rsidR="00A165DA" w:rsidRPr="00A165DA" w:rsidRDefault="00A165DA" w:rsidP="00A165DA">
            <w:pPr>
              <w:spacing w:after="0" w:line="240" w:lineRule="auto"/>
              <w:jc w:val="both"/>
              <w:rPr>
                <w:rFonts w:ascii="Times New Roman" w:hAnsi="Times New Roman" w:cs="Times New Roman"/>
                <w:sz w:val="28"/>
                <w:szCs w:val="28"/>
              </w:rPr>
            </w:pPr>
            <w:r w:rsidRPr="00A165DA">
              <w:rPr>
                <w:rFonts w:ascii="Times New Roman" w:hAnsi="Times New Roman" w:cs="Times New Roman"/>
                <w:sz w:val="28"/>
                <w:szCs w:val="28"/>
                <w:vertAlign w:val="superscript"/>
              </w:rPr>
              <w:t>3</w:t>
            </w:r>
            <w:r w:rsidRPr="00A165DA">
              <w:rPr>
                <w:rFonts w:ascii="Times New Roman" w:hAnsi="Times New Roman" w:cs="Times New Roman"/>
                <w:sz w:val="28"/>
                <w:szCs w:val="28"/>
                <w:lang w:val="en-US"/>
              </w:rPr>
              <w:t>FN</w:t>
            </w:r>
            <w:r w:rsidRPr="00A165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false</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negative</w:t>
            </w:r>
            <w:r w:rsidRPr="00A165DA">
              <w:rPr>
                <w:rFonts w:ascii="Times New Roman" w:hAnsi="Times New Roman" w:cs="Times New Roman"/>
                <w:sz w:val="28"/>
                <w:szCs w:val="28"/>
              </w:rPr>
              <w:t>)</w:t>
            </w:r>
            <w:r>
              <w:rPr>
                <w:rFonts w:ascii="Times New Roman" w:hAnsi="Times New Roman" w:cs="Times New Roman"/>
                <w:sz w:val="28"/>
                <w:szCs w:val="28"/>
              </w:rPr>
              <w:t xml:space="preserve"> </w:t>
            </w:r>
            <w:r w:rsidRPr="00A165DA">
              <w:rPr>
                <w:rFonts w:ascii="Times New Roman" w:hAnsi="Times New Roman" w:cs="Times New Roman"/>
                <w:sz w:val="28"/>
                <w:szCs w:val="28"/>
              </w:rPr>
              <w:t>ложно отрицательны</w:t>
            </w:r>
            <w:r>
              <w:rPr>
                <w:rFonts w:ascii="Times New Roman" w:hAnsi="Times New Roman" w:cs="Times New Roman"/>
                <w:sz w:val="28"/>
                <w:szCs w:val="28"/>
              </w:rPr>
              <w:t>й результат</w:t>
            </w:r>
            <w:r w:rsidRPr="00A165DA">
              <w:rPr>
                <w:rFonts w:ascii="Times New Roman" w:hAnsi="Times New Roman" w:cs="Times New Roman"/>
                <w:sz w:val="28"/>
                <w:szCs w:val="28"/>
              </w:rPr>
              <w:t>;</w:t>
            </w:r>
          </w:p>
          <w:p w14:paraId="4A3B3D17" w14:textId="7D709CF8" w:rsidR="00A165DA" w:rsidRPr="00A165DA" w:rsidRDefault="00A165DA" w:rsidP="00A165DA">
            <w:pPr>
              <w:spacing w:after="0" w:line="240" w:lineRule="auto"/>
              <w:jc w:val="both"/>
              <w:rPr>
                <w:rFonts w:ascii="Times New Roman" w:hAnsi="Times New Roman" w:cs="Times New Roman"/>
                <w:sz w:val="28"/>
                <w:szCs w:val="28"/>
              </w:rPr>
            </w:pPr>
            <w:r w:rsidRPr="00A165DA">
              <w:rPr>
                <w:rFonts w:ascii="Times New Roman" w:hAnsi="Times New Roman" w:cs="Times New Roman"/>
                <w:sz w:val="28"/>
                <w:szCs w:val="28"/>
                <w:vertAlign w:val="superscript"/>
              </w:rPr>
              <w:t>4</w:t>
            </w:r>
            <w:r w:rsidRPr="00A165DA">
              <w:rPr>
                <w:rFonts w:ascii="Times New Roman" w:hAnsi="Times New Roman" w:cs="Times New Roman"/>
                <w:sz w:val="28"/>
                <w:szCs w:val="28"/>
                <w:lang w:val="en-US"/>
              </w:rPr>
              <w:t>TN</w:t>
            </w:r>
            <w:r w:rsidRPr="00A165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true</w:t>
            </w:r>
            <w:r w:rsidRPr="00A165DA">
              <w:rPr>
                <w:rFonts w:ascii="Times New Roman" w:hAnsi="Times New Roman" w:cs="Times New Roman"/>
                <w:sz w:val="28"/>
                <w:szCs w:val="28"/>
              </w:rPr>
              <w:t>-</w:t>
            </w:r>
            <w:r w:rsidRPr="00A165DA">
              <w:rPr>
                <w:rFonts w:ascii="Times New Roman" w:hAnsi="Times New Roman" w:cs="Times New Roman"/>
                <w:sz w:val="28"/>
                <w:szCs w:val="28"/>
                <w:lang w:val="en-US"/>
              </w:rPr>
              <w:t>negative</w:t>
            </w:r>
            <w:r w:rsidRPr="00A165DA">
              <w:rPr>
                <w:rFonts w:ascii="Times New Roman" w:hAnsi="Times New Roman" w:cs="Times New Roman"/>
                <w:sz w:val="28"/>
                <w:szCs w:val="28"/>
              </w:rPr>
              <w:t xml:space="preserve">) </w:t>
            </w:r>
            <w:r>
              <w:rPr>
                <w:rFonts w:ascii="Times New Roman" w:hAnsi="Times New Roman" w:cs="Times New Roman"/>
                <w:sz w:val="28"/>
                <w:szCs w:val="28"/>
              </w:rPr>
              <w:t>п</w:t>
            </w:r>
            <w:r w:rsidRPr="00A165DA">
              <w:rPr>
                <w:rFonts w:ascii="Times New Roman" w:hAnsi="Times New Roman" w:cs="Times New Roman"/>
                <w:sz w:val="28"/>
                <w:szCs w:val="28"/>
              </w:rPr>
              <w:t>одлинно отрицательны</w:t>
            </w:r>
            <w:r>
              <w:rPr>
                <w:rFonts w:ascii="Times New Roman" w:hAnsi="Times New Roman" w:cs="Times New Roman"/>
                <w:sz w:val="28"/>
                <w:szCs w:val="28"/>
              </w:rPr>
              <w:t>й результат</w:t>
            </w:r>
            <w:r w:rsidRPr="00A165DA">
              <w:rPr>
                <w:rFonts w:ascii="Times New Roman" w:hAnsi="Times New Roman" w:cs="Times New Roman"/>
                <w:sz w:val="28"/>
                <w:szCs w:val="28"/>
              </w:rPr>
              <w:t>.</w:t>
            </w:r>
          </w:p>
        </w:tc>
      </w:tr>
    </w:tbl>
    <w:p w14:paraId="16472780" w14:textId="77777777" w:rsidR="000A0294" w:rsidRPr="00A165DA" w:rsidRDefault="000A0294" w:rsidP="005C37DF">
      <w:pPr>
        <w:spacing w:after="0" w:line="240" w:lineRule="auto"/>
        <w:ind w:firstLine="709"/>
        <w:jc w:val="both"/>
        <w:rPr>
          <w:rFonts w:ascii="Times New Roman" w:hAnsi="Times New Roman" w:cs="Times New Roman"/>
          <w:sz w:val="28"/>
          <w:szCs w:val="28"/>
        </w:rPr>
      </w:pPr>
    </w:p>
    <w:p w14:paraId="42C30495" w14:textId="77777777" w:rsidR="000A0294" w:rsidRPr="004804AA" w:rsidRDefault="000A0294" w:rsidP="005C37DF">
      <w:pPr>
        <w:spacing w:after="0" w:line="240" w:lineRule="auto"/>
        <w:ind w:firstLine="709"/>
        <w:jc w:val="both"/>
        <w:rPr>
          <w:rFonts w:ascii="Times New Roman" w:hAnsi="Times New Roman" w:cs="Times New Roman"/>
          <w:sz w:val="28"/>
          <w:szCs w:val="28"/>
        </w:rPr>
      </w:pPr>
      <w:bookmarkStart w:id="38" w:name="_Hlk100573686"/>
      <w:r w:rsidRPr="004804AA">
        <w:rPr>
          <w:rFonts w:ascii="Times New Roman" w:hAnsi="Times New Roman" w:cs="Times New Roman"/>
          <w:sz w:val="28"/>
          <w:szCs w:val="28"/>
          <w:lang w:val="en-US"/>
        </w:rPr>
        <w:t>TP</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true</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positive</w:t>
      </w:r>
      <w:r w:rsidRPr="004804AA">
        <w:rPr>
          <w:rFonts w:ascii="Times New Roman" w:hAnsi="Times New Roman" w:cs="Times New Roman"/>
          <w:sz w:val="28"/>
          <w:szCs w:val="28"/>
        </w:rPr>
        <w:t xml:space="preserve">) – </w:t>
      </w:r>
      <w:bookmarkStart w:id="39" w:name="_Hlk69570171"/>
      <w:r w:rsidRPr="004804AA">
        <w:rPr>
          <w:rFonts w:ascii="Times New Roman" w:hAnsi="Times New Roman" w:cs="Times New Roman"/>
          <w:sz w:val="28"/>
          <w:szCs w:val="28"/>
        </w:rPr>
        <w:t xml:space="preserve">школьники </w:t>
      </w:r>
      <w:r w:rsidRPr="004804AA">
        <w:rPr>
          <w:rFonts w:ascii="Times New Roman" w:hAnsi="Times New Roman" w:cs="Times New Roman"/>
          <w:sz w:val="28"/>
          <w:szCs w:val="28"/>
          <w:lang w:val="en-US"/>
        </w:rPr>
        <w:t>c</w:t>
      </w:r>
      <w:r w:rsidRPr="004804AA">
        <w:rPr>
          <w:rFonts w:ascii="Times New Roman" w:hAnsi="Times New Roman" w:cs="Times New Roman"/>
          <w:sz w:val="28"/>
          <w:szCs w:val="28"/>
        </w:rPr>
        <w:t xml:space="preserve"> нарушениями рефракции, у которых при дистантном скрининге выявлено снижение зрения</w:t>
      </w:r>
      <w:bookmarkEnd w:id="39"/>
      <w:r w:rsidRPr="004804AA">
        <w:rPr>
          <w:rFonts w:ascii="Times New Roman" w:hAnsi="Times New Roman" w:cs="Times New Roman"/>
          <w:sz w:val="28"/>
          <w:szCs w:val="28"/>
        </w:rPr>
        <w:t xml:space="preserve"> (истинно положительные);</w:t>
      </w:r>
    </w:p>
    <w:p w14:paraId="4E93B2FA"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lang w:val="en-US"/>
        </w:rPr>
        <w:t>FP</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false</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positive</w:t>
      </w:r>
      <w:r w:rsidRPr="004804AA">
        <w:rPr>
          <w:rFonts w:ascii="Times New Roman" w:hAnsi="Times New Roman" w:cs="Times New Roman"/>
          <w:sz w:val="28"/>
          <w:szCs w:val="28"/>
        </w:rPr>
        <w:t>) – здоровые дети, выявленные дистантным скринингом как имеющие нарушения рефракции (ложно положительные);</w:t>
      </w:r>
    </w:p>
    <w:p w14:paraId="1345FB69"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lang w:val="en-US"/>
        </w:rPr>
        <w:lastRenderedPageBreak/>
        <w:t>FN</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false</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negative</w:t>
      </w:r>
      <w:r w:rsidRPr="004804AA">
        <w:rPr>
          <w:rFonts w:ascii="Times New Roman" w:hAnsi="Times New Roman" w:cs="Times New Roman"/>
          <w:sz w:val="28"/>
          <w:szCs w:val="28"/>
        </w:rPr>
        <w:t>) – дети с нарушением рефракции, не выявленные с помощью дистантного скрининга (ложно отрицательные);</w:t>
      </w:r>
    </w:p>
    <w:p w14:paraId="7ECAB5C5" w14:textId="77777777" w:rsidR="000A0294" w:rsidRPr="004804A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lang w:val="en-US"/>
        </w:rPr>
        <w:t>TN</w:t>
      </w:r>
      <w:r w:rsidRPr="004804AA">
        <w:rPr>
          <w:rFonts w:ascii="Times New Roman" w:hAnsi="Times New Roman" w:cs="Times New Roman"/>
          <w:sz w:val="28"/>
          <w:szCs w:val="28"/>
        </w:rPr>
        <w:t xml:space="preserve"> (</w:t>
      </w:r>
      <w:r w:rsidRPr="004804AA">
        <w:rPr>
          <w:rFonts w:ascii="Times New Roman" w:hAnsi="Times New Roman" w:cs="Times New Roman"/>
          <w:sz w:val="28"/>
          <w:szCs w:val="28"/>
          <w:lang w:val="en-US"/>
        </w:rPr>
        <w:t>true</w:t>
      </w:r>
      <w:r w:rsidRPr="004804AA">
        <w:rPr>
          <w:rFonts w:ascii="Times New Roman" w:hAnsi="Times New Roman" w:cs="Times New Roman"/>
          <w:sz w:val="28"/>
          <w:szCs w:val="28"/>
        </w:rPr>
        <w:t>-</w:t>
      </w:r>
      <w:r w:rsidRPr="004804AA">
        <w:rPr>
          <w:rFonts w:ascii="Times New Roman" w:hAnsi="Times New Roman" w:cs="Times New Roman"/>
          <w:sz w:val="28"/>
          <w:szCs w:val="28"/>
          <w:lang w:val="en-US"/>
        </w:rPr>
        <w:t>negative</w:t>
      </w:r>
      <w:r w:rsidRPr="004804AA">
        <w:rPr>
          <w:rFonts w:ascii="Times New Roman" w:hAnsi="Times New Roman" w:cs="Times New Roman"/>
          <w:sz w:val="28"/>
          <w:szCs w:val="28"/>
        </w:rPr>
        <w:t>) – здоровые дети, имеющие отрицательный результат теста (подлинно отрицательные).</w:t>
      </w:r>
    </w:p>
    <w:p w14:paraId="482CC565" w14:textId="15D34403" w:rsidR="009F6EBA"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Чувствительность теста (</w:t>
      </w:r>
      <w:r w:rsidRPr="004804AA">
        <w:rPr>
          <w:rFonts w:ascii="Times New Roman" w:hAnsi="Times New Roman" w:cs="Times New Roman"/>
          <w:sz w:val="28"/>
          <w:szCs w:val="28"/>
          <w:lang w:val="en-US"/>
        </w:rPr>
        <w:t>Se</w:t>
      </w:r>
      <w:r w:rsidRPr="004804AA">
        <w:rPr>
          <w:rFonts w:ascii="Times New Roman" w:hAnsi="Times New Roman" w:cs="Times New Roman"/>
          <w:sz w:val="28"/>
          <w:szCs w:val="28"/>
        </w:rPr>
        <w:t xml:space="preserve">) - </w:t>
      </w:r>
      <w:bookmarkStart w:id="40" w:name="_Hlk100573706"/>
      <w:r w:rsidRPr="004804AA">
        <w:rPr>
          <w:rFonts w:ascii="Times New Roman" w:hAnsi="Times New Roman" w:cs="Times New Roman"/>
          <w:sz w:val="28"/>
          <w:szCs w:val="28"/>
        </w:rPr>
        <w:t>эт</w:t>
      </w:r>
      <w:bookmarkEnd w:id="38"/>
      <w:r w:rsidRPr="004804AA">
        <w:rPr>
          <w:rFonts w:ascii="Times New Roman" w:hAnsi="Times New Roman" w:cs="Times New Roman"/>
          <w:sz w:val="28"/>
          <w:szCs w:val="28"/>
        </w:rPr>
        <w:t>о мера вероятности того, что любой случай болезни будет идентифицирован с помощью теста. Другими словами, это доля действительно болеющих людей, которые по результатам теста выявляются как больные</w:t>
      </w:r>
      <w:bookmarkEnd w:id="40"/>
      <w:r w:rsidRPr="004804AA">
        <w:rPr>
          <w:rFonts w:ascii="Times New Roman" w:hAnsi="Times New Roman" w:cs="Times New Roman"/>
          <w:sz w:val="28"/>
          <w:szCs w:val="28"/>
        </w:rPr>
        <w:t>, рассчитывался по формуле</w:t>
      </w:r>
      <w:r w:rsidR="00BD5080">
        <w:rPr>
          <w:rFonts w:ascii="Times New Roman" w:hAnsi="Times New Roman" w:cs="Times New Roman"/>
          <w:sz w:val="28"/>
          <w:szCs w:val="28"/>
        </w:rPr>
        <w:t xml:space="preserve"> (2)</w:t>
      </w:r>
      <w:r w:rsidRPr="004804AA">
        <w:rPr>
          <w:rFonts w:ascii="Times New Roman" w:hAnsi="Times New Roman" w:cs="Times New Roman"/>
          <w:sz w:val="28"/>
          <w:szCs w:val="28"/>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9F6EBA" w14:paraId="3AA4325C" w14:textId="77777777" w:rsidTr="007A572E">
        <w:trPr>
          <w:trHeight w:val="800"/>
        </w:trPr>
        <w:tc>
          <w:tcPr>
            <w:tcW w:w="8642" w:type="dxa"/>
          </w:tcPr>
          <w:p w14:paraId="08BD28B5" w14:textId="5CBB99FC" w:rsidR="009F6EBA" w:rsidRPr="00A73755" w:rsidRDefault="00A73755" w:rsidP="00A73755">
            <w:pPr>
              <w:spacing w:after="0"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lang w:val="en-US"/>
                  </w:rPr>
                  <m:t>Se=</m:t>
                </m:r>
                <m:f>
                  <m:fPr>
                    <m:ctrlPr>
                      <w:rPr>
                        <w:rFonts w:ascii="Cambria Math" w:hAnsi="Cambria Math" w:cs="Times New Roman"/>
                        <w:i/>
                        <w:sz w:val="28"/>
                        <w:szCs w:val="28"/>
                      </w:rPr>
                    </m:ctrlPr>
                  </m:fPr>
                  <m:num>
                    <m:r>
                      <w:rPr>
                        <w:rFonts w:ascii="Cambria Math" w:hAnsi="Cambria Math" w:cs="Times New Roman"/>
                        <w:sz w:val="28"/>
                        <w:szCs w:val="28"/>
                        <w:lang w:val="en-US"/>
                      </w:rPr>
                      <m:t>TP</m:t>
                    </m:r>
                  </m:num>
                  <m:den>
                    <m:eqArr>
                      <m:eqArrPr>
                        <m:ctrlPr>
                          <w:rPr>
                            <w:rFonts w:ascii="Cambria Math" w:hAnsi="Cambria Math" w:cs="Times New Roman"/>
                            <w:i/>
                            <w:sz w:val="28"/>
                            <w:szCs w:val="28"/>
                          </w:rPr>
                        </m:ctrlPr>
                      </m:eqArrPr>
                      <m:e>
                        <m:r>
                          <w:rPr>
                            <w:rFonts w:ascii="Cambria Math" w:hAnsi="Cambria Math" w:cs="Times New Roman"/>
                            <w:sz w:val="28"/>
                            <w:szCs w:val="28"/>
                          </w:rPr>
                          <m:t>(TP+FN)</m:t>
                        </m:r>
                      </m:e>
                      <m:e>
                        <m:r>
                          <w:rPr>
                            <w:rFonts w:ascii="Cambria Math" w:hAnsi="Cambria Math" w:cs="Times New Roman"/>
                            <w:sz w:val="28"/>
                            <w:szCs w:val="28"/>
                          </w:rPr>
                          <m:t xml:space="preserve"> </m:t>
                        </m:r>
                      </m:e>
                    </m:eqArr>
                  </m:den>
                </m:f>
                <m:r>
                  <w:rPr>
                    <w:rFonts w:ascii="Cambria Math" w:hAnsi="Cambria Math" w:cs="Times New Roman"/>
                    <w:sz w:val="28"/>
                    <w:szCs w:val="28"/>
                  </w:rPr>
                  <m:t>×100</m:t>
                </m:r>
              </m:oMath>
            </m:oMathPara>
          </w:p>
        </w:tc>
        <w:tc>
          <w:tcPr>
            <w:tcW w:w="703" w:type="dxa"/>
            <w:vAlign w:val="center"/>
          </w:tcPr>
          <w:p w14:paraId="5BCF4C05" w14:textId="032D5EA7" w:rsidR="009F6EBA" w:rsidRDefault="009F6EBA" w:rsidP="00A737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A73755">
              <w:rPr>
                <w:rFonts w:ascii="Times New Roman" w:hAnsi="Times New Roman" w:cs="Times New Roman"/>
                <w:sz w:val="28"/>
                <w:szCs w:val="28"/>
              </w:rPr>
              <w:t>2</w:t>
            </w:r>
            <w:r>
              <w:rPr>
                <w:rFonts w:ascii="Times New Roman" w:hAnsi="Times New Roman" w:cs="Times New Roman"/>
                <w:sz w:val="28"/>
                <w:szCs w:val="28"/>
              </w:rPr>
              <w:t>)</w:t>
            </w:r>
          </w:p>
        </w:tc>
      </w:tr>
    </w:tbl>
    <w:p w14:paraId="71D849E4" w14:textId="25FDD4A3" w:rsidR="00225F51" w:rsidRDefault="000A0294" w:rsidP="005C37DF">
      <w:pPr>
        <w:spacing w:after="0" w:line="240" w:lineRule="auto"/>
        <w:ind w:firstLine="709"/>
        <w:jc w:val="both"/>
        <w:rPr>
          <w:rFonts w:ascii="Times New Roman" w:hAnsi="Times New Roman" w:cs="Times New Roman"/>
          <w:sz w:val="28"/>
          <w:szCs w:val="28"/>
        </w:rPr>
      </w:pPr>
      <w:bookmarkStart w:id="41" w:name="_Hlk100573694"/>
      <w:bookmarkStart w:id="42" w:name="_Hlk100573717"/>
      <w:r w:rsidRPr="004804AA">
        <w:rPr>
          <w:rFonts w:ascii="Times New Roman" w:hAnsi="Times New Roman" w:cs="Times New Roman"/>
          <w:sz w:val="28"/>
          <w:szCs w:val="28"/>
        </w:rPr>
        <w:t>Специфичность теста (</w:t>
      </w:r>
      <w:r w:rsidRPr="004804AA">
        <w:rPr>
          <w:rFonts w:ascii="Times New Roman" w:hAnsi="Times New Roman" w:cs="Times New Roman"/>
          <w:sz w:val="28"/>
          <w:szCs w:val="28"/>
          <w:lang w:val="en-US"/>
        </w:rPr>
        <w:t>Sp</w:t>
      </w:r>
      <w:r w:rsidRPr="004804AA">
        <w:rPr>
          <w:rFonts w:ascii="Times New Roman" w:hAnsi="Times New Roman" w:cs="Times New Roman"/>
          <w:sz w:val="28"/>
          <w:szCs w:val="28"/>
        </w:rPr>
        <w:t xml:space="preserve">) — это мера вероятности правильной идентификации людей, не </w:t>
      </w:r>
      <w:bookmarkEnd w:id="41"/>
      <w:r w:rsidRPr="004804AA">
        <w:rPr>
          <w:rFonts w:ascii="Times New Roman" w:hAnsi="Times New Roman" w:cs="Times New Roman"/>
          <w:sz w:val="28"/>
          <w:szCs w:val="28"/>
        </w:rPr>
        <w:t xml:space="preserve">имеющих болезни, с помощью теста. То есть это доля людей, не имеющих болезни, у которых тест отрицателен. </w:t>
      </w:r>
      <w:bookmarkEnd w:id="42"/>
      <w:r w:rsidRPr="004804AA">
        <w:rPr>
          <w:rFonts w:ascii="Times New Roman" w:hAnsi="Times New Roman" w:cs="Times New Roman"/>
          <w:sz w:val="28"/>
          <w:szCs w:val="28"/>
        </w:rPr>
        <w:t>Рассчитывался нами следующим образом: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7A572E" w14:paraId="5D8ED621" w14:textId="77777777" w:rsidTr="00225F51">
        <w:tc>
          <w:tcPr>
            <w:tcW w:w="8642" w:type="dxa"/>
          </w:tcPr>
          <w:p w14:paraId="12D88907" w14:textId="7270D8E8" w:rsidR="007A572E" w:rsidRPr="007A572E" w:rsidRDefault="007A572E" w:rsidP="007A572E">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Sp=</m:t>
                </m:r>
                <m:f>
                  <m:fPr>
                    <m:ctrlPr>
                      <w:rPr>
                        <w:rFonts w:ascii="Cambria Math" w:hAnsi="Cambria Math" w:cs="Times New Roman"/>
                        <w:i/>
                        <w:sz w:val="28"/>
                        <w:szCs w:val="28"/>
                      </w:rPr>
                    </m:ctrlPr>
                  </m:fPr>
                  <m:num>
                    <m:r>
                      <w:rPr>
                        <w:rFonts w:ascii="Cambria Math" w:hAnsi="Cambria Math" w:cs="Times New Roman"/>
                        <w:sz w:val="28"/>
                        <w:szCs w:val="28"/>
                      </w:rPr>
                      <m:t>TN</m:t>
                    </m:r>
                  </m:num>
                  <m:den>
                    <m:r>
                      <w:rPr>
                        <w:rFonts w:ascii="Cambria Math" w:hAnsi="Cambria Math" w:cs="Times New Roman"/>
                        <w:sz w:val="28"/>
                        <w:szCs w:val="28"/>
                      </w:rPr>
                      <m:t>FP+TN</m:t>
                    </m:r>
                  </m:den>
                </m:f>
                <m:r>
                  <w:rPr>
                    <w:rFonts w:ascii="Cambria Math" w:hAnsi="Cambria Math" w:cs="Times New Roman"/>
                    <w:sz w:val="28"/>
                    <w:szCs w:val="28"/>
                  </w:rPr>
                  <m:t>×100</m:t>
                </m:r>
              </m:oMath>
            </m:oMathPara>
          </w:p>
        </w:tc>
        <w:tc>
          <w:tcPr>
            <w:tcW w:w="703" w:type="dxa"/>
            <w:vAlign w:val="center"/>
          </w:tcPr>
          <w:p w14:paraId="180D9EB9" w14:textId="30837A59" w:rsidR="007A572E" w:rsidRDefault="007A572E" w:rsidP="007A57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bl>
    <w:p w14:paraId="554674A7" w14:textId="7EB94E4D" w:rsidR="00225F51" w:rsidRDefault="000A0294" w:rsidP="005C37DF">
      <w:pPr>
        <w:spacing w:after="0" w:line="240" w:lineRule="auto"/>
        <w:ind w:firstLine="709"/>
        <w:jc w:val="both"/>
        <w:rPr>
          <w:rFonts w:ascii="Times New Roman" w:hAnsi="Times New Roman" w:cs="Times New Roman"/>
          <w:sz w:val="28"/>
          <w:szCs w:val="28"/>
        </w:rPr>
      </w:pPr>
      <w:bookmarkStart w:id="43" w:name="_Hlk100573727"/>
      <w:r w:rsidRPr="004804AA">
        <w:rPr>
          <w:rFonts w:ascii="Times New Roman" w:hAnsi="Times New Roman" w:cs="Times New Roman"/>
          <w:sz w:val="28"/>
          <w:szCs w:val="28"/>
        </w:rPr>
        <w:t>Прогностическая ценность (</w:t>
      </w:r>
      <w:r w:rsidRPr="004804AA">
        <w:rPr>
          <w:rFonts w:ascii="Times New Roman" w:hAnsi="Times New Roman" w:cs="Times New Roman"/>
          <w:sz w:val="28"/>
          <w:szCs w:val="28"/>
          <w:lang w:val="en-US"/>
        </w:rPr>
        <w:t>PV</w:t>
      </w:r>
      <w:r w:rsidRPr="004804AA">
        <w:rPr>
          <w:rFonts w:ascii="Times New Roman" w:hAnsi="Times New Roman" w:cs="Times New Roman"/>
          <w:sz w:val="28"/>
          <w:szCs w:val="28"/>
        </w:rPr>
        <w:t>) – вероятность наличия патологии при условии известного результата диагностического исследования. Прогностичность положительного результата (</w:t>
      </w:r>
      <w:r w:rsidRPr="004804AA">
        <w:rPr>
          <w:rFonts w:ascii="Times New Roman" w:hAnsi="Times New Roman" w:cs="Times New Roman"/>
          <w:sz w:val="28"/>
          <w:szCs w:val="28"/>
          <w:lang w:val="en-US"/>
        </w:rPr>
        <w:t>PPV</w:t>
      </w:r>
      <w:r w:rsidRPr="004804AA">
        <w:rPr>
          <w:rFonts w:ascii="Times New Roman" w:hAnsi="Times New Roman" w:cs="Times New Roman"/>
          <w:sz w:val="28"/>
          <w:szCs w:val="28"/>
        </w:rPr>
        <w:t xml:space="preserve">) — это вероятность того, что человек с положительным результатом обследования действительно болен.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7A572E" w14:paraId="719C1AB3" w14:textId="77777777" w:rsidTr="00225F51">
        <w:tc>
          <w:tcPr>
            <w:tcW w:w="8642" w:type="dxa"/>
          </w:tcPr>
          <w:p w14:paraId="7D62B4F4" w14:textId="09E27C03" w:rsidR="007A572E" w:rsidRPr="007A572E" w:rsidRDefault="007A572E" w:rsidP="007A572E">
            <w:pPr>
              <w:spacing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PPV=</m:t>
                </m:r>
                <m:f>
                  <m:fPr>
                    <m:ctrlPr>
                      <w:rPr>
                        <w:rFonts w:ascii="Cambria Math" w:hAnsi="Cambria Math" w:cs="Times New Roman"/>
                        <w:i/>
                        <w:sz w:val="28"/>
                        <w:szCs w:val="28"/>
                      </w:rPr>
                    </m:ctrlPr>
                  </m:fPr>
                  <m:num>
                    <m:r>
                      <w:rPr>
                        <w:rFonts w:ascii="Cambria Math" w:hAnsi="Cambria Math" w:cs="Times New Roman"/>
                        <w:sz w:val="28"/>
                        <w:szCs w:val="28"/>
                        <w:lang w:val="en-US"/>
                      </w:rPr>
                      <m:t>TP</m:t>
                    </m:r>
                  </m:num>
                  <m:den>
                    <m:r>
                      <w:rPr>
                        <w:rFonts w:ascii="Cambria Math" w:hAnsi="Cambria Math" w:cs="Times New Roman"/>
                        <w:sz w:val="28"/>
                        <w:szCs w:val="28"/>
                      </w:rPr>
                      <m:t>TP+FP</m:t>
                    </m:r>
                  </m:den>
                </m:f>
                <m:r>
                  <w:rPr>
                    <w:rFonts w:ascii="Cambria Math" w:hAnsi="Cambria Math" w:cs="Times New Roman"/>
                    <w:sz w:val="28"/>
                    <w:szCs w:val="28"/>
                  </w:rPr>
                  <m:t>×100</m:t>
                </m:r>
              </m:oMath>
            </m:oMathPara>
          </w:p>
        </w:tc>
        <w:tc>
          <w:tcPr>
            <w:tcW w:w="703" w:type="dxa"/>
            <w:vAlign w:val="center"/>
          </w:tcPr>
          <w:p w14:paraId="4EC4DE97" w14:textId="4AA79E99" w:rsidR="007A572E" w:rsidRDefault="007A572E" w:rsidP="007A57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bl>
    <w:p w14:paraId="258E6369" w14:textId="7638DE69" w:rsidR="007A572E"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Прогностичность отрицательного результата обследования (</w:t>
      </w:r>
      <w:r w:rsidRPr="004804AA">
        <w:rPr>
          <w:rFonts w:ascii="Times New Roman" w:hAnsi="Times New Roman" w:cs="Times New Roman"/>
          <w:sz w:val="28"/>
          <w:szCs w:val="28"/>
          <w:lang w:val="en-US"/>
        </w:rPr>
        <w:t>NPV</w:t>
      </w:r>
      <w:r w:rsidRPr="004804AA">
        <w:rPr>
          <w:rFonts w:ascii="Times New Roman" w:hAnsi="Times New Roman" w:cs="Times New Roman"/>
          <w:sz w:val="28"/>
          <w:szCs w:val="28"/>
        </w:rPr>
        <w:t>) — это вероятность того, что человек с отрицательным результатом не имеет данного заболевания. Таким образом, чем чувствительнее тест, тем выше прогностическая ценность его положительного или отрицательного результата – уверенность, что положительный результат с большой вероятностью подтверждает наличие заболевания, а отрицательный результат теста гарантирует отсутствие патологии.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7A572E" w14:paraId="3FBCF203" w14:textId="77777777" w:rsidTr="00225F51">
        <w:tc>
          <w:tcPr>
            <w:tcW w:w="8642" w:type="dxa"/>
          </w:tcPr>
          <w:p w14:paraId="4113A4F3" w14:textId="7274974F" w:rsidR="007A572E" w:rsidRPr="007A572E" w:rsidRDefault="007A572E" w:rsidP="007A572E">
            <w:pPr>
              <w:pStyle w:val="a4"/>
              <w:spacing w:line="360" w:lineRule="auto"/>
              <w:ind w:firstLine="540"/>
              <w:jc w:val="both"/>
              <w:rPr>
                <w:rFonts w:ascii="Times New Roman" w:eastAsiaTheme="minorEastAsia" w:hAnsi="Times New Roman" w:cs="Times New Roman"/>
                <w:sz w:val="28"/>
                <w:szCs w:val="28"/>
              </w:rPr>
            </w:pPr>
            <m:oMathPara>
              <m:oMath>
                <m:r>
                  <w:rPr>
                    <w:rFonts w:ascii="Cambria Math" w:hAnsi="Cambria Math" w:cs="Times New Roman"/>
                    <w:sz w:val="28"/>
                    <w:szCs w:val="28"/>
                  </w:rPr>
                  <m:t>NPV=</m:t>
                </m:r>
                <m:f>
                  <m:fPr>
                    <m:ctrlPr>
                      <w:rPr>
                        <w:rFonts w:ascii="Cambria Math" w:hAnsi="Cambria Math" w:cs="Times New Roman"/>
                        <w:i/>
                        <w:sz w:val="28"/>
                        <w:szCs w:val="28"/>
                      </w:rPr>
                    </m:ctrlPr>
                  </m:fPr>
                  <m:num>
                    <m:r>
                      <w:rPr>
                        <w:rFonts w:ascii="Cambria Math" w:hAnsi="Cambria Math" w:cs="Times New Roman"/>
                        <w:sz w:val="28"/>
                        <w:szCs w:val="28"/>
                        <w:lang w:val="en-US"/>
                      </w:rPr>
                      <m:t>TN</m:t>
                    </m:r>
                  </m:num>
                  <m:den>
                    <m:r>
                      <w:rPr>
                        <w:rFonts w:ascii="Cambria Math" w:hAnsi="Cambria Math" w:cs="Times New Roman"/>
                        <w:sz w:val="28"/>
                        <w:szCs w:val="28"/>
                      </w:rPr>
                      <m:t>FN+TN</m:t>
                    </m:r>
                  </m:den>
                </m:f>
                <m:r>
                  <w:rPr>
                    <w:rFonts w:ascii="Cambria Math" w:hAnsi="Cambria Math" w:cs="Times New Roman"/>
                    <w:sz w:val="28"/>
                    <w:szCs w:val="28"/>
                  </w:rPr>
                  <m:t>×100</m:t>
                </m:r>
              </m:oMath>
            </m:oMathPara>
          </w:p>
        </w:tc>
        <w:tc>
          <w:tcPr>
            <w:tcW w:w="703" w:type="dxa"/>
            <w:vAlign w:val="center"/>
          </w:tcPr>
          <w:p w14:paraId="29ABD2A6" w14:textId="3BEAC915" w:rsidR="007A572E" w:rsidRDefault="007A572E" w:rsidP="007A57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bl>
    <w:p w14:paraId="701A5AC7" w14:textId="0B0CB281" w:rsidR="00505B68" w:rsidRDefault="000A0294" w:rsidP="008F794A">
      <w:pPr>
        <w:pStyle w:val="a4"/>
        <w:ind w:firstLine="709"/>
        <w:jc w:val="both"/>
        <w:rPr>
          <w:rFonts w:ascii="Times New Roman" w:hAnsi="Times New Roman" w:cs="Times New Roman"/>
          <w:sz w:val="28"/>
          <w:szCs w:val="28"/>
        </w:rPr>
      </w:pPr>
      <w:bookmarkStart w:id="44" w:name="_Hlk100573734"/>
      <w:bookmarkEnd w:id="43"/>
      <w:r w:rsidRPr="004804AA">
        <w:rPr>
          <w:rFonts w:ascii="Times New Roman" w:hAnsi="Times New Roman" w:cs="Times New Roman"/>
          <w:sz w:val="28"/>
          <w:szCs w:val="28"/>
        </w:rPr>
        <w:t xml:space="preserve">Отношение правдоподобия положительного результата (Lr+) - отношение между вероятностью положительного результата теста при наличии заболевания и вероятностью положительного результата теста при отсутствии заболевания. Этот критерий показывает, во сколько раз вероятность получения положительного результата выше у больных, чем у здоровых. В отличие от других операционных характеристик предсказательная ценность тестовых методик прямо пропорционально связана с распространенностью патологии в данной когорте. </w:t>
      </w:r>
      <w:bookmarkEnd w:id="44"/>
      <w:r w:rsidRPr="004804AA">
        <w:rPr>
          <w:rFonts w:ascii="Times New Roman" w:hAnsi="Times New Roman" w:cs="Times New Roman"/>
          <w:sz w:val="28"/>
          <w:szCs w:val="28"/>
        </w:rPr>
        <w:t>Рассчитывается по формуле</w:t>
      </w:r>
      <w:r w:rsidR="008F794A">
        <w:rPr>
          <w:rFonts w:ascii="Times New Roman" w:hAnsi="Times New Roman" w:cs="Times New Roman"/>
          <w:sz w:val="28"/>
          <w:szCs w:val="28"/>
        </w:rPr>
        <w:t xml:space="preserve"> (6)</w:t>
      </w:r>
      <w:r w:rsidRPr="004804AA">
        <w:rPr>
          <w:rFonts w:ascii="Times New Roman" w:hAnsi="Times New Roman" w:cs="Times New Roman"/>
          <w:sz w:val="28"/>
          <w:szCs w:val="28"/>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05B68" w14:paraId="5ABF1876" w14:textId="77777777" w:rsidTr="00225F51">
        <w:tc>
          <w:tcPr>
            <w:tcW w:w="8642" w:type="dxa"/>
            <w:shd w:val="clear" w:color="auto" w:fill="auto"/>
          </w:tcPr>
          <w:p w14:paraId="0D9A1A4B" w14:textId="1FD408D9" w:rsidR="00505B68" w:rsidRPr="007A572E" w:rsidRDefault="00505B68" w:rsidP="00505B68">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w:lastRenderedPageBreak/>
                  <m:t>Lr+=</m:t>
                </m:r>
                <m:f>
                  <m:fPr>
                    <m:ctrlPr>
                      <w:rPr>
                        <w:rFonts w:ascii="Cambria Math" w:hAnsi="Cambria Math" w:cs="Times New Roman"/>
                        <w:i/>
                        <w:sz w:val="28"/>
                        <w:szCs w:val="28"/>
                      </w:rPr>
                    </m:ctrlPr>
                  </m:fPr>
                  <m:num>
                    <m:r>
                      <w:rPr>
                        <w:rFonts w:ascii="Cambria Math" w:hAnsi="Cambria Math" w:cs="Times New Roman"/>
                        <w:sz w:val="28"/>
                        <w:szCs w:val="28"/>
                      </w:rPr>
                      <m:t>Se</m:t>
                    </m:r>
                  </m:num>
                  <m:den>
                    <m:r>
                      <w:rPr>
                        <w:rFonts w:ascii="Cambria Math" w:hAnsi="Cambria Math" w:cs="Times New Roman"/>
                        <w:sz w:val="28"/>
                        <w:szCs w:val="28"/>
                      </w:rPr>
                      <m:t>(1-Sp)</m:t>
                    </m:r>
                  </m:den>
                </m:f>
              </m:oMath>
            </m:oMathPara>
          </w:p>
        </w:tc>
        <w:tc>
          <w:tcPr>
            <w:tcW w:w="703" w:type="dxa"/>
            <w:shd w:val="clear" w:color="auto" w:fill="auto"/>
            <w:vAlign w:val="center"/>
          </w:tcPr>
          <w:p w14:paraId="6BEF69EA" w14:textId="73F9EE16" w:rsidR="00505B68" w:rsidRDefault="00505B68" w:rsidP="00505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bl>
    <w:p w14:paraId="5D13111B" w14:textId="0128C560" w:rsidR="00505B68" w:rsidRDefault="000A0294"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Отношение правдоподобия отрицательного результата (Lr-) показывает, во сколько раз вероятность получения отрицательного результата у здоровых пациентов выше по сравнению с больными: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05B68" w14:paraId="1611B9A2" w14:textId="77777777" w:rsidTr="00225F51">
        <w:tc>
          <w:tcPr>
            <w:tcW w:w="8642" w:type="dxa"/>
          </w:tcPr>
          <w:p w14:paraId="5BA95568" w14:textId="6477A573" w:rsidR="00505B68" w:rsidRPr="007A572E" w:rsidRDefault="00505B68" w:rsidP="00505B68">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m:t>Lr-=</m:t>
                </m:r>
                <m:f>
                  <m:fPr>
                    <m:ctrlPr>
                      <w:rPr>
                        <w:rFonts w:ascii="Cambria Math" w:hAnsi="Cambria Math" w:cs="Times New Roman"/>
                        <w:i/>
                        <w:sz w:val="28"/>
                        <w:szCs w:val="28"/>
                      </w:rPr>
                    </m:ctrlPr>
                  </m:fPr>
                  <m:num>
                    <m:r>
                      <w:rPr>
                        <w:rFonts w:ascii="Cambria Math" w:hAnsi="Cambria Math" w:cs="Times New Roman"/>
                        <w:sz w:val="28"/>
                        <w:szCs w:val="28"/>
                      </w:rPr>
                      <m:t>Sp</m:t>
                    </m:r>
                  </m:num>
                  <m:den>
                    <m:r>
                      <w:rPr>
                        <w:rFonts w:ascii="Cambria Math" w:hAnsi="Cambria Math" w:cs="Times New Roman"/>
                        <w:sz w:val="28"/>
                        <w:szCs w:val="28"/>
                      </w:rPr>
                      <m:t>(1-Se)</m:t>
                    </m:r>
                  </m:den>
                </m:f>
              </m:oMath>
            </m:oMathPara>
          </w:p>
        </w:tc>
        <w:tc>
          <w:tcPr>
            <w:tcW w:w="703" w:type="dxa"/>
            <w:vAlign w:val="center"/>
          </w:tcPr>
          <w:p w14:paraId="0A3E60BC" w14:textId="6485624C" w:rsidR="00505B68" w:rsidRDefault="00505B68" w:rsidP="00B472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bl>
    <w:p w14:paraId="16E6C601" w14:textId="22E020AD" w:rsidR="00505B68" w:rsidRDefault="000A0294" w:rsidP="005C37DF">
      <w:pPr>
        <w:spacing w:after="0" w:line="240" w:lineRule="auto"/>
        <w:ind w:firstLine="709"/>
        <w:jc w:val="both"/>
        <w:rPr>
          <w:rFonts w:ascii="Times New Roman" w:hAnsi="Times New Roman" w:cs="Times New Roman"/>
          <w:sz w:val="28"/>
          <w:szCs w:val="28"/>
        </w:rPr>
      </w:pPr>
      <w:bookmarkStart w:id="45" w:name="_Hlk100574391"/>
      <w:r w:rsidRPr="004804AA">
        <w:rPr>
          <w:rFonts w:ascii="Times New Roman" w:hAnsi="Times New Roman" w:cs="Times New Roman"/>
          <w:sz w:val="28"/>
          <w:szCs w:val="28"/>
        </w:rPr>
        <w:t>Точность (</w:t>
      </w:r>
      <w:r w:rsidRPr="004804AA">
        <w:rPr>
          <w:rFonts w:ascii="Times New Roman" w:hAnsi="Times New Roman" w:cs="Times New Roman"/>
          <w:sz w:val="28"/>
          <w:szCs w:val="28"/>
          <w:lang w:val="en-US"/>
        </w:rPr>
        <w:t>Ac</w:t>
      </w:r>
      <w:r w:rsidRPr="004804AA">
        <w:rPr>
          <w:rFonts w:ascii="Times New Roman" w:hAnsi="Times New Roman" w:cs="Times New Roman"/>
          <w:sz w:val="28"/>
          <w:szCs w:val="28"/>
        </w:rPr>
        <w:t>) — это доля правильных результатов, полученных в ходе применения данного метода исследования</w:t>
      </w:r>
      <w:r w:rsidR="00CB1AC8">
        <w:rPr>
          <w:rFonts w:ascii="Times New Roman" w:hAnsi="Times New Roman" w:cs="Times New Roman"/>
          <w:sz w:val="28"/>
          <w:szCs w:val="28"/>
        </w:rPr>
        <w:t>.</w:t>
      </w:r>
      <w:r w:rsidRPr="004804AA">
        <w:rPr>
          <w:rFonts w:ascii="Times New Roman" w:hAnsi="Times New Roman" w:cs="Times New Roman"/>
          <w:sz w:val="28"/>
          <w:szCs w:val="28"/>
        </w:rPr>
        <w:t xml:space="preserve"> Рассчитывается </w:t>
      </w:r>
      <w:r w:rsidR="00B85693">
        <w:rPr>
          <w:rFonts w:ascii="Times New Roman" w:hAnsi="Times New Roman" w:cs="Times New Roman"/>
          <w:sz w:val="28"/>
          <w:szCs w:val="28"/>
        </w:rPr>
        <w:t xml:space="preserve">(8) </w:t>
      </w:r>
      <w:r w:rsidRPr="004804AA">
        <w:rPr>
          <w:rFonts w:ascii="Times New Roman" w:hAnsi="Times New Roman" w:cs="Times New Roman"/>
          <w:sz w:val="28"/>
          <w:szCs w:val="28"/>
        </w:rPr>
        <w:t xml:space="preserve">как отношение суммы истинно положительных и истинно отрицательных результатов теста ко всем обследованным. </w:t>
      </w:r>
      <w:bookmarkEnd w:id="45"/>
      <w:r w:rsidRPr="004804AA">
        <w:rPr>
          <w:rFonts w:ascii="Times New Roman" w:hAnsi="Times New Roman" w:cs="Times New Roman"/>
          <w:sz w:val="28"/>
          <w:szCs w:val="28"/>
        </w:rPr>
        <w:t>Другими словами, точность теста определяет его диагностическую эффективность и вероятность того, что исследуемый будет правильно классифицирован.</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05B68" w14:paraId="75D43261" w14:textId="77777777" w:rsidTr="00225F51">
        <w:tc>
          <w:tcPr>
            <w:tcW w:w="8642" w:type="dxa"/>
          </w:tcPr>
          <w:p w14:paraId="051D0B9B" w14:textId="5455B118" w:rsidR="00505B68" w:rsidRPr="00505B68" w:rsidRDefault="00505B68" w:rsidP="00505B68">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lang w:val="en-US"/>
                  </w:rPr>
                  <m:t>Ac=</m:t>
                </m:r>
                <m:f>
                  <m:fPr>
                    <m:ctrlPr>
                      <w:rPr>
                        <w:rFonts w:ascii="Cambria Math" w:hAnsi="Cambria Math" w:cs="Times New Roman"/>
                        <w:i/>
                        <w:sz w:val="28"/>
                        <w:szCs w:val="28"/>
                      </w:rPr>
                    </m:ctrlPr>
                  </m:fPr>
                  <m:num>
                    <m:r>
                      <w:rPr>
                        <w:rFonts w:ascii="Cambria Math" w:hAnsi="Cambria Math" w:cs="Times New Roman"/>
                        <w:sz w:val="28"/>
                        <w:szCs w:val="28"/>
                      </w:rPr>
                      <m:t>TP+TN</m:t>
                    </m:r>
                  </m:num>
                  <m:den>
                    <m:r>
                      <w:rPr>
                        <w:rFonts w:ascii="Cambria Math" w:hAnsi="Cambria Math" w:cs="Times New Roman"/>
                        <w:sz w:val="28"/>
                        <w:szCs w:val="28"/>
                      </w:rPr>
                      <m:t>TP+FP+TN+FN</m:t>
                    </m:r>
                  </m:den>
                </m:f>
                <m:r>
                  <w:rPr>
                    <w:rFonts w:ascii="Cambria Math" w:hAnsi="Cambria Math" w:cs="Times New Roman"/>
                    <w:sz w:val="28"/>
                    <w:szCs w:val="28"/>
                  </w:rPr>
                  <m:t>×100</m:t>
                </m:r>
              </m:oMath>
            </m:oMathPara>
          </w:p>
        </w:tc>
        <w:tc>
          <w:tcPr>
            <w:tcW w:w="703" w:type="dxa"/>
            <w:vAlign w:val="center"/>
          </w:tcPr>
          <w:p w14:paraId="4652E97D" w14:textId="6B3EBFA5" w:rsidR="00505B68" w:rsidRDefault="00505B68" w:rsidP="00505B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bl>
    <w:p w14:paraId="4A0B4D9F" w14:textId="77777777" w:rsidR="00505B68" w:rsidRDefault="00505B68" w:rsidP="005C37DF">
      <w:pPr>
        <w:spacing w:after="0" w:line="240" w:lineRule="auto"/>
        <w:ind w:firstLine="709"/>
        <w:jc w:val="both"/>
        <w:rPr>
          <w:rFonts w:ascii="Times New Roman" w:hAnsi="Times New Roman" w:cs="Times New Roman"/>
          <w:sz w:val="28"/>
          <w:szCs w:val="28"/>
        </w:rPr>
      </w:pPr>
    </w:p>
    <w:bookmarkEnd w:id="13"/>
    <w:p w14:paraId="2E3CABED" w14:textId="0B13A9F0" w:rsidR="00F60BC3" w:rsidRPr="00F60BC3" w:rsidRDefault="00F60BC3" w:rsidP="00F60BC3">
      <w:pPr>
        <w:spacing w:after="0" w:line="240" w:lineRule="auto"/>
        <w:ind w:firstLine="709"/>
        <w:jc w:val="both"/>
        <w:rPr>
          <w:rFonts w:ascii="Times New Roman" w:hAnsi="Times New Roman" w:cs="Times New Roman"/>
          <w:b/>
          <w:bCs/>
          <w:sz w:val="28"/>
          <w:szCs w:val="28"/>
        </w:rPr>
      </w:pPr>
      <w:r w:rsidRPr="00F60BC3">
        <w:rPr>
          <w:rFonts w:ascii="Times New Roman" w:hAnsi="Times New Roman" w:cs="Times New Roman"/>
          <w:b/>
          <w:bCs/>
          <w:sz w:val="28"/>
          <w:szCs w:val="28"/>
        </w:rPr>
        <w:t>2.</w:t>
      </w:r>
      <w:r>
        <w:rPr>
          <w:rFonts w:ascii="Times New Roman" w:hAnsi="Times New Roman" w:cs="Times New Roman"/>
          <w:b/>
          <w:bCs/>
          <w:sz w:val="28"/>
          <w:szCs w:val="28"/>
        </w:rPr>
        <w:t>8</w:t>
      </w:r>
      <w:r w:rsidRPr="00F60BC3">
        <w:rPr>
          <w:rFonts w:ascii="Times New Roman" w:hAnsi="Times New Roman" w:cs="Times New Roman"/>
          <w:b/>
          <w:bCs/>
          <w:sz w:val="28"/>
          <w:szCs w:val="28"/>
        </w:rPr>
        <w:t xml:space="preserve"> Этические вопросы</w:t>
      </w:r>
    </w:p>
    <w:p w14:paraId="689C6EA0" w14:textId="2AD20490" w:rsidR="00F60BC3" w:rsidRPr="004804AA" w:rsidRDefault="00F60BC3" w:rsidP="00F60BC3">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Протокол исследования был одобрен локальным этическим комитетом Казахского научно-исследовательского института глазных болезней и этическим комитетом Казахского национального университета им. аль-Фараби.</w:t>
      </w:r>
      <w:r w:rsidR="008F64BE">
        <w:rPr>
          <w:rFonts w:ascii="Times New Roman" w:hAnsi="Times New Roman" w:cs="Times New Roman"/>
          <w:b/>
          <w:bCs/>
          <w:color w:val="FF0000"/>
          <w:sz w:val="28"/>
          <w:szCs w:val="28"/>
        </w:rPr>
        <w:t xml:space="preserve"> </w:t>
      </w:r>
      <w:r w:rsidRPr="004804AA">
        <w:rPr>
          <w:rFonts w:ascii="Times New Roman" w:hAnsi="Times New Roman" w:cs="Times New Roman"/>
          <w:sz w:val="28"/>
          <w:szCs w:val="28"/>
        </w:rPr>
        <w:t xml:space="preserve">Также было получено разрешение на проведение исследования отдела образования города Алматы. </w:t>
      </w:r>
    </w:p>
    <w:p w14:paraId="544CCD8F" w14:textId="32BC0007" w:rsidR="00F60BC3" w:rsidRPr="004804AA" w:rsidRDefault="00F60BC3" w:rsidP="00F60BC3">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Ребенок включался в исследование только после получения письменного информированного согласия родителей или опекунов на проведение обследования и последующую обработку информации (проведение дистанционного скрининг-обследования) и согласия на обработку персональных данных (Приложение </w:t>
      </w:r>
      <w:r w:rsidR="006F6811">
        <w:rPr>
          <w:rFonts w:ascii="Times New Roman" w:hAnsi="Times New Roman" w:cs="Times New Roman"/>
          <w:sz w:val="28"/>
          <w:szCs w:val="28"/>
        </w:rPr>
        <w:t>В</w:t>
      </w:r>
      <w:r w:rsidRPr="004804AA">
        <w:rPr>
          <w:rFonts w:ascii="Times New Roman" w:hAnsi="Times New Roman" w:cs="Times New Roman"/>
          <w:sz w:val="28"/>
          <w:szCs w:val="28"/>
        </w:rPr>
        <w:t xml:space="preserve">). Перед началом обследования родителям всех детей были переданы информационные листы, объясняющие цели и задачи исследования, включающие подробное описание процедуры обследования и перечень всех возможных неблагоприятных последствий циклоплегии. Каждый информационный листок содержал контактную информацию об исследователях, номера телефонов и электронные адреса для связи (Приложение </w:t>
      </w:r>
      <w:r w:rsidR="003E1871">
        <w:rPr>
          <w:rFonts w:ascii="Times New Roman" w:hAnsi="Times New Roman" w:cs="Times New Roman"/>
          <w:sz w:val="28"/>
          <w:szCs w:val="28"/>
        </w:rPr>
        <w:t>Е</w:t>
      </w:r>
      <w:r w:rsidRPr="004804AA">
        <w:rPr>
          <w:rFonts w:ascii="Times New Roman" w:hAnsi="Times New Roman" w:cs="Times New Roman"/>
          <w:sz w:val="28"/>
          <w:szCs w:val="28"/>
        </w:rPr>
        <w:t xml:space="preserve">). </w:t>
      </w:r>
    </w:p>
    <w:p w14:paraId="7FB273BB" w14:textId="7C0EC93C" w:rsidR="00B75F69" w:rsidRDefault="00B75F69" w:rsidP="00B75F69">
      <w:pPr>
        <w:spacing w:after="0" w:line="240" w:lineRule="auto"/>
        <w:jc w:val="both"/>
        <w:rPr>
          <w:rFonts w:ascii="Times New Roman" w:eastAsiaTheme="minorHAnsi" w:hAnsi="Times New Roman" w:cs="Times New Roman"/>
          <w:sz w:val="28"/>
          <w:szCs w:val="28"/>
          <w:lang w:eastAsia="en-US"/>
        </w:rPr>
      </w:pPr>
    </w:p>
    <w:p w14:paraId="798A99D3" w14:textId="590CDB27" w:rsidR="00175382" w:rsidRDefault="00175382" w:rsidP="005C37DF">
      <w:pPr>
        <w:spacing w:after="0" w:line="24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14:paraId="752BE8D4" w14:textId="754FD9E2" w:rsidR="00374DC5" w:rsidRPr="001F7531" w:rsidRDefault="00583441" w:rsidP="005C37DF">
      <w:pPr>
        <w:spacing w:after="0" w:line="240" w:lineRule="auto"/>
        <w:ind w:firstLine="709"/>
        <w:jc w:val="both"/>
        <w:rPr>
          <w:rFonts w:ascii="Times New Roman" w:hAnsi="Times New Roman" w:cs="Times New Roman"/>
          <w:b/>
          <w:bCs/>
          <w:sz w:val="28"/>
          <w:szCs w:val="28"/>
        </w:rPr>
      </w:pPr>
      <w:r w:rsidRPr="001F7531">
        <w:rPr>
          <w:rFonts w:ascii="Times New Roman" w:hAnsi="Times New Roman" w:cs="Times New Roman"/>
          <w:b/>
          <w:bCs/>
          <w:sz w:val="28"/>
          <w:szCs w:val="28"/>
        </w:rPr>
        <w:lastRenderedPageBreak/>
        <w:t>3</w:t>
      </w:r>
      <w:r w:rsidR="00374DC5" w:rsidRPr="001F7531">
        <w:rPr>
          <w:rFonts w:ascii="Times New Roman" w:hAnsi="Times New Roman" w:cs="Times New Roman"/>
          <w:b/>
          <w:bCs/>
          <w:sz w:val="28"/>
          <w:szCs w:val="28"/>
        </w:rPr>
        <w:t xml:space="preserve"> Р</w:t>
      </w:r>
      <w:r w:rsidR="001F7531" w:rsidRPr="001F7531">
        <w:rPr>
          <w:rFonts w:ascii="Times New Roman" w:hAnsi="Times New Roman" w:cs="Times New Roman"/>
          <w:b/>
          <w:bCs/>
          <w:sz w:val="28"/>
          <w:szCs w:val="28"/>
        </w:rPr>
        <w:t>ЕЗУЛЬТАТЫ СОБСТВЕННЫХ ИССЛЕДОВАНИЙ</w:t>
      </w:r>
    </w:p>
    <w:p w14:paraId="1366B40E" w14:textId="77777777" w:rsidR="001F7531" w:rsidRPr="004804AA" w:rsidRDefault="001F7531" w:rsidP="005C37DF">
      <w:pPr>
        <w:spacing w:after="0" w:line="240" w:lineRule="auto"/>
        <w:ind w:firstLine="709"/>
        <w:jc w:val="both"/>
        <w:rPr>
          <w:rFonts w:ascii="Times New Roman" w:hAnsi="Times New Roman" w:cs="Times New Roman"/>
          <w:sz w:val="28"/>
          <w:szCs w:val="28"/>
        </w:rPr>
      </w:pPr>
    </w:p>
    <w:p w14:paraId="308FF072" w14:textId="043AE1DD" w:rsidR="00374DC5" w:rsidRPr="001F7531" w:rsidRDefault="00374DC5" w:rsidP="005C37DF">
      <w:pPr>
        <w:spacing w:after="0" w:line="240" w:lineRule="auto"/>
        <w:ind w:firstLine="709"/>
        <w:jc w:val="both"/>
        <w:rPr>
          <w:rFonts w:ascii="Times New Roman" w:hAnsi="Times New Roman" w:cs="Times New Roman"/>
          <w:b/>
          <w:bCs/>
          <w:sz w:val="28"/>
          <w:szCs w:val="28"/>
        </w:rPr>
      </w:pPr>
      <w:r w:rsidRPr="001F7531">
        <w:rPr>
          <w:rFonts w:ascii="Times New Roman" w:hAnsi="Times New Roman" w:cs="Times New Roman"/>
          <w:b/>
          <w:bCs/>
          <w:sz w:val="28"/>
          <w:szCs w:val="28"/>
        </w:rPr>
        <w:t xml:space="preserve">3.1 Распространенность и структура нарушений рефракции </w:t>
      </w:r>
      <w:r w:rsidR="001F7531">
        <w:rPr>
          <w:rFonts w:ascii="Times New Roman" w:hAnsi="Times New Roman" w:cs="Times New Roman"/>
          <w:b/>
          <w:bCs/>
          <w:sz w:val="28"/>
          <w:szCs w:val="28"/>
        </w:rPr>
        <w:t>среди</w:t>
      </w:r>
      <w:r w:rsidRPr="001F7531">
        <w:rPr>
          <w:rFonts w:ascii="Times New Roman" w:hAnsi="Times New Roman" w:cs="Times New Roman"/>
          <w:b/>
          <w:bCs/>
          <w:sz w:val="28"/>
          <w:szCs w:val="28"/>
        </w:rPr>
        <w:t xml:space="preserve"> школьников г.Алматы</w:t>
      </w:r>
    </w:p>
    <w:p w14:paraId="1D0820C1" w14:textId="1484E3F3" w:rsidR="00374DC5" w:rsidRPr="00E81FA1"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В ходе серии выездных офтальмологических обследований 2293 школьников г. Алматы нарушения рефракции были диагностированы у 725 детей (31,6%) (</w:t>
      </w:r>
      <w:r w:rsidR="003505A4">
        <w:rPr>
          <w:rFonts w:ascii="Times New Roman" w:hAnsi="Times New Roman" w:cs="Times New Roman"/>
          <w:sz w:val="28"/>
          <w:szCs w:val="28"/>
        </w:rPr>
        <w:t>т</w:t>
      </w:r>
      <w:r w:rsidRPr="004804AA">
        <w:rPr>
          <w:rFonts w:ascii="Times New Roman" w:hAnsi="Times New Roman" w:cs="Times New Roman"/>
          <w:sz w:val="28"/>
          <w:szCs w:val="28"/>
        </w:rPr>
        <w:t xml:space="preserve">аблица </w:t>
      </w:r>
      <w:r w:rsidR="00337961" w:rsidRPr="00337961">
        <w:rPr>
          <w:rFonts w:ascii="Times New Roman" w:hAnsi="Times New Roman" w:cs="Times New Roman"/>
          <w:sz w:val="28"/>
          <w:szCs w:val="28"/>
        </w:rPr>
        <w:t>8</w:t>
      </w:r>
      <w:r w:rsidRPr="004804AA">
        <w:rPr>
          <w:rFonts w:ascii="Times New Roman" w:hAnsi="Times New Roman" w:cs="Times New Roman"/>
          <w:sz w:val="28"/>
          <w:szCs w:val="28"/>
        </w:rPr>
        <w:t xml:space="preserve">). В подавляющем большинстве случаев нарушения рефракции были ожидаемо </w:t>
      </w:r>
      <w:r w:rsidRPr="006D0FFA">
        <w:rPr>
          <w:rFonts w:ascii="Times New Roman" w:hAnsi="Times New Roman" w:cs="Times New Roman"/>
          <w:sz w:val="28"/>
          <w:szCs w:val="28"/>
        </w:rPr>
        <w:t>обусловлены миопи</w:t>
      </w:r>
      <w:r w:rsidR="00245519" w:rsidRPr="006D0FFA">
        <w:rPr>
          <w:rFonts w:ascii="Times New Roman" w:hAnsi="Times New Roman" w:cs="Times New Roman"/>
          <w:sz w:val="28"/>
          <w:szCs w:val="28"/>
        </w:rPr>
        <w:t>ей</w:t>
      </w:r>
      <w:r w:rsidRPr="006D0FFA">
        <w:rPr>
          <w:rFonts w:ascii="Times New Roman" w:hAnsi="Times New Roman" w:cs="Times New Roman"/>
          <w:sz w:val="28"/>
          <w:szCs w:val="28"/>
        </w:rPr>
        <w:t xml:space="preserve"> (89,4%). На долю гиперметропии приходилось 3,4% случаев </w:t>
      </w:r>
      <w:r w:rsidR="00245519" w:rsidRPr="006D0FFA">
        <w:rPr>
          <w:rFonts w:ascii="Times New Roman" w:hAnsi="Times New Roman" w:cs="Times New Roman"/>
          <w:sz w:val="28"/>
          <w:szCs w:val="28"/>
        </w:rPr>
        <w:t>аметропии</w:t>
      </w:r>
      <w:r w:rsidRPr="004804AA">
        <w:rPr>
          <w:rFonts w:ascii="Times New Roman" w:hAnsi="Times New Roman" w:cs="Times New Roman"/>
          <w:sz w:val="28"/>
          <w:szCs w:val="28"/>
        </w:rPr>
        <w:t>. Астигматизм не был включен нами в общую структуру нарушений рефракции и рассчитывался отдельно в связи с частым его сочетанием с миопической или гиперметропической сферической рефракцией. Частота его составила 2,8%.</w:t>
      </w:r>
      <w:r w:rsidR="007D63B7" w:rsidRPr="00E81FA1">
        <w:rPr>
          <w:rFonts w:ascii="Times New Roman" w:hAnsi="Times New Roman" w:cs="Times New Roman"/>
          <w:sz w:val="28"/>
          <w:szCs w:val="28"/>
        </w:rPr>
        <w:t xml:space="preserve"> </w:t>
      </w:r>
      <w:r w:rsidR="007C23F8" w:rsidRPr="00E81FA1">
        <w:rPr>
          <w:rFonts w:ascii="Times New Roman" w:hAnsi="Times New Roman" w:cs="Times New Roman"/>
          <w:sz w:val="28"/>
          <w:szCs w:val="28"/>
        </w:rPr>
        <w:t>[246]</w:t>
      </w:r>
    </w:p>
    <w:p w14:paraId="4168452B" w14:textId="77777777" w:rsidR="005A4B71" w:rsidRDefault="005A4B71" w:rsidP="005A4B71">
      <w:pPr>
        <w:spacing w:after="0" w:line="240" w:lineRule="auto"/>
        <w:rPr>
          <w:rFonts w:ascii="Times New Roman" w:hAnsi="Times New Roman" w:cs="Times New Roman"/>
          <w:sz w:val="28"/>
          <w:szCs w:val="28"/>
        </w:rPr>
      </w:pPr>
    </w:p>
    <w:p w14:paraId="5BDD4FB2" w14:textId="4DF4E0A9" w:rsidR="00374DC5" w:rsidRDefault="00374DC5" w:rsidP="005A4B71">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337961" w:rsidRPr="00337961">
        <w:rPr>
          <w:rFonts w:ascii="Times New Roman" w:hAnsi="Times New Roman" w:cs="Times New Roman"/>
          <w:sz w:val="28"/>
          <w:szCs w:val="28"/>
        </w:rPr>
        <w:t>8</w:t>
      </w:r>
      <w:r w:rsidR="005A4B71">
        <w:rPr>
          <w:rFonts w:ascii="Times New Roman" w:hAnsi="Times New Roman" w:cs="Times New Roman"/>
          <w:sz w:val="28"/>
          <w:szCs w:val="28"/>
        </w:rPr>
        <w:t xml:space="preserve"> - </w:t>
      </w:r>
      <w:r w:rsidRPr="004804AA">
        <w:rPr>
          <w:rFonts w:ascii="Times New Roman" w:hAnsi="Times New Roman" w:cs="Times New Roman"/>
          <w:sz w:val="28"/>
          <w:szCs w:val="28"/>
        </w:rPr>
        <w:t>Структура и распространенность нарушений рефракции у всех обследованных школьников г. Алматы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 xml:space="preserve"> </w:t>
      </w:r>
      <w:r w:rsidR="00991DCA">
        <w:rPr>
          <w:rFonts w:ascii="Times New Roman" w:hAnsi="Times New Roman" w:cs="Times New Roman"/>
          <w:sz w:val="28"/>
          <w:szCs w:val="28"/>
        </w:rPr>
        <w:t>=</w:t>
      </w:r>
      <w:r w:rsidRPr="004804AA">
        <w:rPr>
          <w:rFonts w:ascii="Times New Roman" w:hAnsi="Times New Roman" w:cs="Times New Roman"/>
          <w:sz w:val="28"/>
          <w:szCs w:val="28"/>
        </w:rPr>
        <w:t xml:space="preserve"> 2293)</w:t>
      </w:r>
    </w:p>
    <w:p w14:paraId="2712BF51" w14:textId="77777777" w:rsidR="005A4B71" w:rsidRPr="004804AA" w:rsidRDefault="005A4B71" w:rsidP="005A4B71">
      <w:pPr>
        <w:spacing w:after="0" w:line="240" w:lineRule="auto"/>
        <w:jc w:val="both"/>
        <w:rPr>
          <w:rFonts w:ascii="Times New Roman" w:hAnsi="Times New Roman" w:cs="Times New Roman"/>
          <w:sz w:val="28"/>
          <w:szCs w:val="28"/>
        </w:rPr>
      </w:pPr>
    </w:p>
    <w:tbl>
      <w:tblPr>
        <w:tblW w:w="9008" w:type="dxa"/>
        <w:jc w:val="center"/>
        <w:tblLook w:val="04A0" w:firstRow="1" w:lastRow="0" w:firstColumn="1" w:lastColumn="0" w:noHBand="0" w:noVBand="1"/>
      </w:tblPr>
      <w:tblGrid>
        <w:gridCol w:w="2724"/>
        <w:gridCol w:w="1760"/>
        <w:gridCol w:w="1547"/>
        <w:gridCol w:w="2977"/>
      </w:tblGrid>
      <w:tr w:rsidR="00374DC5" w:rsidRPr="004804AA" w14:paraId="4166E8AF" w14:textId="77777777" w:rsidTr="00292B55">
        <w:trPr>
          <w:trHeight w:val="300"/>
          <w:jc w:val="center"/>
        </w:trPr>
        <w:tc>
          <w:tcPr>
            <w:tcW w:w="2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759B9" w14:textId="487646B8" w:rsidR="00374DC5" w:rsidRPr="005A4B71" w:rsidRDefault="00374DC5" w:rsidP="000D147B">
            <w:pPr>
              <w:spacing w:after="0" w:line="240" w:lineRule="auto"/>
              <w:rPr>
                <w:rFonts w:ascii="Times New Roman" w:hAnsi="Times New Roman" w:cs="Times New Roman"/>
                <w:b/>
                <w:bCs/>
                <w:sz w:val="28"/>
                <w:szCs w:val="28"/>
              </w:rPr>
            </w:pPr>
            <w:bookmarkStart w:id="46" w:name="_Hlk69848741"/>
            <w:r w:rsidRPr="005A4B71">
              <w:rPr>
                <w:rFonts w:ascii="Times New Roman" w:hAnsi="Times New Roman" w:cs="Times New Roman"/>
                <w:b/>
                <w:bCs/>
                <w:sz w:val="28"/>
                <w:szCs w:val="28"/>
              </w:rPr>
              <w:t xml:space="preserve">Группа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9E3ED" w14:textId="723F4CE4" w:rsidR="00374DC5" w:rsidRPr="005A4B71" w:rsidRDefault="006647EC" w:rsidP="000D147B">
            <w:pPr>
              <w:spacing w:after="0" w:line="240" w:lineRule="auto"/>
              <w:jc w:val="center"/>
              <w:rPr>
                <w:rFonts w:ascii="Times New Roman" w:hAnsi="Times New Roman" w:cs="Times New Roman"/>
                <w:b/>
                <w:bCs/>
                <w:sz w:val="28"/>
                <w:szCs w:val="28"/>
              </w:rPr>
            </w:pPr>
            <w:r w:rsidRPr="006647EC">
              <w:rPr>
                <w:rFonts w:ascii="Times New Roman" w:hAnsi="Times New Roman" w:cs="Times New Roman"/>
                <w:b/>
                <w:bCs/>
                <w:sz w:val="28"/>
                <w:szCs w:val="28"/>
                <w:lang w:val="en-US"/>
              </w:rPr>
              <w:t>n</w:t>
            </w:r>
            <w:r w:rsidRPr="006647EC">
              <w:rPr>
                <w:rFonts w:ascii="Times New Roman" w:hAnsi="Times New Roman" w:cs="Times New Roman"/>
                <w:b/>
                <w:bCs/>
                <w:sz w:val="28"/>
                <w:szCs w:val="28"/>
                <w:vertAlign w:val="superscript"/>
              </w:rPr>
              <w:t>1</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9CD25" w14:textId="77777777" w:rsidR="00374DC5" w:rsidRPr="005A4B71" w:rsidRDefault="00374DC5" w:rsidP="000D147B">
            <w:pPr>
              <w:spacing w:after="0" w:line="240" w:lineRule="auto"/>
              <w:jc w:val="center"/>
              <w:rPr>
                <w:rFonts w:ascii="Times New Roman" w:hAnsi="Times New Roman" w:cs="Times New Roman"/>
                <w:b/>
                <w:bCs/>
                <w:sz w:val="28"/>
                <w:szCs w:val="28"/>
              </w:rPr>
            </w:pPr>
            <w:r w:rsidRPr="005A4B71">
              <w:rPr>
                <w:rFonts w:ascii="Times New Roman" w:hAnsi="Times New Roman" w:cs="Times New Roman"/>
                <w:b/>
                <w:bCs/>
                <w:sz w:val="28"/>
                <w:szCs w:val="28"/>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FDA50" w14:textId="46441D34" w:rsidR="00374DC5" w:rsidRPr="005F45FD" w:rsidRDefault="00374DC5" w:rsidP="000D147B">
            <w:pPr>
              <w:spacing w:after="0" w:line="240" w:lineRule="auto"/>
              <w:jc w:val="center"/>
              <w:rPr>
                <w:rFonts w:ascii="Times New Roman" w:hAnsi="Times New Roman" w:cs="Times New Roman"/>
                <w:b/>
                <w:bCs/>
                <w:sz w:val="28"/>
                <w:szCs w:val="28"/>
                <w:vertAlign w:val="superscript"/>
              </w:rPr>
            </w:pPr>
            <w:r w:rsidRPr="005A4B71">
              <w:rPr>
                <w:rFonts w:ascii="Times New Roman" w:hAnsi="Times New Roman" w:cs="Times New Roman"/>
                <w:b/>
                <w:bCs/>
                <w:sz w:val="28"/>
                <w:szCs w:val="28"/>
              </w:rPr>
              <w:t>95% ДИ</w:t>
            </w:r>
            <w:r w:rsidR="006647EC" w:rsidRPr="006647EC">
              <w:rPr>
                <w:rFonts w:ascii="Times New Roman" w:hAnsi="Times New Roman" w:cs="Times New Roman"/>
                <w:b/>
                <w:bCs/>
                <w:sz w:val="28"/>
                <w:szCs w:val="28"/>
                <w:vertAlign w:val="superscript"/>
              </w:rPr>
              <w:t>2</w:t>
            </w:r>
          </w:p>
        </w:tc>
      </w:tr>
      <w:tr w:rsidR="00374DC5" w:rsidRPr="004804AA" w14:paraId="2C867518" w14:textId="77777777" w:rsidTr="00292B55">
        <w:trPr>
          <w:trHeight w:val="288"/>
          <w:jc w:val="center"/>
        </w:trPr>
        <w:tc>
          <w:tcPr>
            <w:tcW w:w="2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4F34" w14:textId="77B6124C" w:rsidR="00374DC5" w:rsidRPr="004804AA" w:rsidRDefault="0005482E" w:rsidP="000D147B">
            <w:pPr>
              <w:spacing w:after="0" w:line="240" w:lineRule="auto"/>
              <w:rPr>
                <w:rFonts w:ascii="Times New Roman" w:hAnsi="Times New Roman" w:cs="Times New Roman"/>
                <w:bCs/>
                <w:sz w:val="28"/>
                <w:szCs w:val="28"/>
              </w:rPr>
            </w:pPr>
            <w:r>
              <w:rPr>
                <w:rFonts w:ascii="Times New Roman" w:hAnsi="Times New Roman" w:cs="Times New Roman"/>
                <w:bCs/>
                <w:sz w:val="28"/>
                <w:szCs w:val="28"/>
              </w:rPr>
              <w:t>Эмметропия</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03843"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1568</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28EC"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68,4%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DC39F"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66,5–70,3</w:t>
            </w:r>
          </w:p>
        </w:tc>
      </w:tr>
      <w:tr w:rsidR="00374DC5" w:rsidRPr="004804AA" w14:paraId="0F41B5F2" w14:textId="77777777" w:rsidTr="00292B55">
        <w:trPr>
          <w:trHeight w:val="576"/>
          <w:jc w:val="center"/>
        </w:trPr>
        <w:tc>
          <w:tcPr>
            <w:tcW w:w="27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6D463" w14:textId="77777777" w:rsidR="00374DC5" w:rsidRPr="004804AA" w:rsidRDefault="00374DC5" w:rsidP="000D147B">
            <w:pPr>
              <w:spacing w:after="0" w:line="240" w:lineRule="auto"/>
              <w:rPr>
                <w:rFonts w:ascii="Times New Roman" w:hAnsi="Times New Roman" w:cs="Times New Roman"/>
                <w:bCs/>
                <w:sz w:val="28"/>
                <w:szCs w:val="28"/>
              </w:rPr>
            </w:pPr>
            <w:r w:rsidRPr="004804AA">
              <w:rPr>
                <w:rFonts w:ascii="Times New Roman" w:hAnsi="Times New Roman" w:cs="Times New Roman"/>
                <w:bCs/>
                <w:sz w:val="28"/>
                <w:szCs w:val="28"/>
              </w:rPr>
              <w:t>Нарушения рефракции</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EBC6B"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725</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48A3"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31,6%</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2610C"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29,7–33,5</w:t>
            </w:r>
          </w:p>
        </w:tc>
      </w:tr>
      <w:tr w:rsidR="00374DC5" w:rsidRPr="004804AA" w14:paraId="6E98E3CD" w14:textId="77777777" w:rsidTr="00292B55">
        <w:trPr>
          <w:trHeight w:val="288"/>
          <w:jc w:val="center"/>
        </w:trPr>
        <w:tc>
          <w:tcPr>
            <w:tcW w:w="27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EDBB4F" w14:textId="42EE7F0D" w:rsidR="00374DC5" w:rsidRPr="004804AA" w:rsidRDefault="005A4B71" w:rsidP="000D147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374DC5" w:rsidRPr="004804AA">
              <w:rPr>
                <w:rFonts w:ascii="Times New Roman" w:hAnsi="Times New Roman" w:cs="Times New Roman"/>
                <w:bCs/>
                <w:sz w:val="28"/>
                <w:szCs w:val="28"/>
              </w:rPr>
              <w:t>миопия</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7C0F5"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648</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491F"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28,3%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C2D76"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26,5–30,1</w:t>
            </w:r>
          </w:p>
        </w:tc>
      </w:tr>
      <w:tr w:rsidR="00374DC5" w:rsidRPr="004804AA" w14:paraId="44BA313F" w14:textId="77777777" w:rsidTr="00292B55">
        <w:trPr>
          <w:trHeight w:val="288"/>
          <w:jc w:val="center"/>
        </w:trPr>
        <w:tc>
          <w:tcPr>
            <w:tcW w:w="27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82ACD" w14:textId="476D309B" w:rsidR="00374DC5" w:rsidRPr="004804AA" w:rsidRDefault="005A4B71" w:rsidP="000D147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374DC5" w:rsidRPr="004804AA">
              <w:rPr>
                <w:rFonts w:ascii="Times New Roman" w:hAnsi="Times New Roman" w:cs="Times New Roman"/>
                <w:bCs/>
                <w:sz w:val="28"/>
                <w:szCs w:val="28"/>
              </w:rPr>
              <w:t>гиперметропия</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EFA14"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77</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91A1"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3,4%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BA874"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2,7–4,1</w:t>
            </w:r>
          </w:p>
        </w:tc>
      </w:tr>
      <w:tr w:rsidR="00374DC5" w:rsidRPr="004804AA" w14:paraId="0375E1C5" w14:textId="77777777" w:rsidTr="00292B55">
        <w:trPr>
          <w:trHeight w:val="288"/>
          <w:jc w:val="center"/>
        </w:trPr>
        <w:tc>
          <w:tcPr>
            <w:tcW w:w="27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002630" w14:textId="4F20328E" w:rsidR="00374DC5" w:rsidRPr="004804AA" w:rsidRDefault="005A4B71" w:rsidP="000D147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374DC5" w:rsidRPr="004804AA">
              <w:rPr>
                <w:rFonts w:ascii="Times New Roman" w:hAnsi="Times New Roman" w:cs="Times New Roman"/>
                <w:bCs/>
                <w:sz w:val="28"/>
                <w:szCs w:val="28"/>
              </w:rPr>
              <w:t>астигматизм</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5D348"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64</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754D0"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795E" w14:textId="77777777" w:rsidR="00374DC5" w:rsidRPr="004804AA" w:rsidRDefault="00374DC5" w:rsidP="000D147B">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2,1–3,5</w:t>
            </w:r>
          </w:p>
        </w:tc>
      </w:tr>
      <w:tr w:rsidR="0026186D" w:rsidRPr="004804AA" w14:paraId="1E4D7E7D" w14:textId="77777777" w:rsidTr="00292B55">
        <w:trPr>
          <w:trHeight w:val="288"/>
          <w:jc w:val="center"/>
        </w:trPr>
        <w:tc>
          <w:tcPr>
            <w:tcW w:w="900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12CC600" w14:textId="77777777" w:rsidR="0026186D" w:rsidRDefault="0026186D" w:rsidP="0026186D">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46F2B89D" w14:textId="77777777" w:rsidR="0026186D" w:rsidRDefault="006647EC" w:rsidP="0026186D">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6647EC">
              <w:rPr>
                <w:rFonts w:ascii="Times New Roman" w:hAnsi="Times New Roman" w:cs="Times New Roman"/>
                <w:sz w:val="28"/>
                <w:szCs w:val="28"/>
                <w:lang w:val="en-US"/>
              </w:rPr>
              <w:t>n</w:t>
            </w:r>
            <w:r w:rsidRPr="006647EC">
              <w:rPr>
                <w:rFonts w:ascii="Times New Roman" w:hAnsi="Times New Roman" w:cs="Times New Roman"/>
                <w:sz w:val="28"/>
                <w:szCs w:val="28"/>
              </w:rPr>
              <w:t xml:space="preserve"> – количество</w:t>
            </w:r>
            <w:r>
              <w:rPr>
                <w:rFonts w:ascii="Times New Roman" w:hAnsi="Times New Roman" w:cs="Times New Roman"/>
                <w:sz w:val="28"/>
                <w:szCs w:val="28"/>
              </w:rPr>
              <w:t>;</w:t>
            </w:r>
          </w:p>
          <w:p w14:paraId="7611A756" w14:textId="60E8F43A" w:rsidR="006647EC" w:rsidRPr="006F139D" w:rsidRDefault="006647EC" w:rsidP="0026186D">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bookmarkEnd w:id="46"/>
    </w:tbl>
    <w:p w14:paraId="5B635738"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0D15E3D3" w14:textId="10DA5C95" w:rsidR="00374DC5"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В структуре близорукости 79,2% детей имели слабую степень, 16,</w:t>
      </w:r>
      <w:r w:rsidR="00424442">
        <w:rPr>
          <w:rFonts w:ascii="Times New Roman" w:hAnsi="Times New Roman" w:cs="Times New Roman"/>
          <w:sz w:val="28"/>
          <w:szCs w:val="28"/>
        </w:rPr>
        <w:t>3</w:t>
      </w:r>
      <w:r w:rsidRPr="004804AA">
        <w:rPr>
          <w:rFonts w:ascii="Times New Roman" w:hAnsi="Times New Roman" w:cs="Times New Roman"/>
          <w:sz w:val="28"/>
          <w:szCs w:val="28"/>
        </w:rPr>
        <w:t>% - среднюю и 4,5% - высокую степень миопии. Гиперметропическая рефракция до 2,0 диоптрий встречалась у 89,6% детей с дальнозоркостью, 2,0</w:t>
      </w:r>
      <w:r w:rsidR="00B11BFE">
        <w:rPr>
          <w:rFonts w:ascii="Times New Roman" w:hAnsi="Times New Roman" w:cs="Times New Roman"/>
          <w:sz w:val="28"/>
          <w:szCs w:val="28"/>
        </w:rPr>
        <w:t>-5,0</w:t>
      </w:r>
      <w:r w:rsidRPr="004804AA">
        <w:rPr>
          <w:rFonts w:ascii="Times New Roman" w:hAnsi="Times New Roman" w:cs="Times New Roman"/>
          <w:sz w:val="28"/>
          <w:szCs w:val="28"/>
        </w:rPr>
        <w:t xml:space="preserve"> диоптрий – у </w:t>
      </w:r>
      <w:r w:rsidR="00F46C3C">
        <w:rPr>
          <w:rFonts w:ascii="Times New Roman" w:hAnsi="Times New Roman" w:cs="Times New Roman"/>
          <w:sz w:val="28"/>
          <w:szCs w:val="28"/>
        </w:rPr>
        <w:t>10,4</w:t>
      </w:r>
      <w:r w:rsidRPr="004804AA">
        <w:rPr>
          <w:rFonts w:ascii="Times New Roman" w:hAnsi="Times New Roman" w:cs="Times New Roman"/>
          <w:sz w:val="28"/>
          <w:szCs w:val="28"/>
        </w:rPr>
        <w:t>%</w:t>
      </w:r>
      <w:r w:rsidR="00B11BFE">
        <w:rPr>
          <w:rFonts w:ascii="Times New Roman" w:hAnsi="Times New Roman" w:cs="Times New Roman"/>
          <w:sz w:val="28"/>
          <w:szCs w:val="28"/>
        </w:rPr>
        <w:t>, высок</w:t>
      </w:r>
      <w:r w:rsidR="00F46C3C">
        <w:rPr>
          <w:rFonts w:ascii="Times New Roman" w:hAnsi="Times New Roman" w:cs="Times New Roman"/>
          <w:sz w:val="28"/>
          <w:szCs w:val="28"/>
        </w:rPr>
        <w:t>их степеней гиперметропии зарегистрировано не было</w:t>
      </w:r>
      <w:r w:rsidRPr="004804AA">
        <w:rPr>
          <w:rFonts w:ascii="Times New Roman" w:hAnsi="Times New Roman" w:cs="Times New Roman"/>
          <w:sz w:val="28"/>
          <w:szCs w:val="28"/>
        </w:rPr>
        <w:t xml:space="preserve">. (Рисунок </w:t>
      </w:r>
      <w:r w:rsidR="007263F7">
        <w:rPr>
          <w:rFonts w:ascii="Times New Roman" w:hAnsi="Times New Roman" w:cs="Times New Roman"/>
          <w:sz w:val="28"/>
          <w:szCs w:val="28"/>
        </w:rPr>
        <w:t>6</w:t>
      </w:r>
      <w:r w:rsidRPr="004804AA">
        <w:rPr>
          <w:rFonts w:ascii="Times New Roman" w:hAnsi="Times New Roman" w:cs="Times New Roman"/>
          <w:sz w:val="28"/>
          <w:szCs w:val="28"/>
        </w:rPr>
        <w:t xml:space="preserve">) </w:t>
      </w:r>
    </w:p>
    <w:p w14:paraId="1BD1DF62" w14:textId="5C54FB69" w:rsidR="00374DC5" w:rsidRPr="004804AA" w:rsidRDefault="00374DC5" w:rsidP="00BB0B70">
      <w:pPr>
        <w:spacing w:after="0" w:line="240" w:lineRule="auto"/>
        <w:jc w:val="both"/>
        <w:rPr>
          <w:rFonts w:ascii="Times New Roman" w:hAnsi="Times New Roman" w:cs="Times New Roman"/>
          <w:sz w:val="28"/>
          <w:szCs w:val="28"/>
        </w:rPr>
      </w:pPr>
    </w:p>
    <w:tbl>
      <w:tblPr>
        <w:tblStyle w:val="af0"/>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32"/>
      </w:tblGrid>
      <w:tr w:rsidR="00726D16" w14:paraId="6BA96AA6" w14:textId="77777777" w:rsidTr="00F36CAD">
        <w:trPr>
          <w:trHeight w:val="4502"/>
        </w:trPr>
        <w:tc>
          <w:tcPr>
            <w:tcW w:w="9248" w:type="dxa"/>
            <w:gridSpan w:val="2"/>
          </w:tcPr>
          <w:p w14:paraId="23681990" w14:textId="33BB735E" w:rsidR="00726D16" w:rsidRDefault="00900A63" w:rsidP="00B11BF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32D11E9" wp14:editId="0EDA9AE4">
                  <wp:extent cx="5517910" cy="290322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505" cy="2910373"/>
                          </a:xfrm>
                          <a:prstGeom prst="rect">
                            <a:avLst/>
                          </a:prstGeom>
                          <a:noFill/>
                        </pic:spPr>
                      </pic:pic>
                    </a:graphicData>
                  </a:graphic>
                </wp:inline>
              </w:drawing>
            </w:r>
          </w:p>
        </w:tc>
      </w:tr>
      <w:tr w:rsidR="00726D16" w14:paraId="15A0B0EE" w14:textId="77777777" w:rsidTr="00F36CAD">
        <w:trPr>
          <w:trHeight w:val="311"/>
        </w:trPr>
        <w:tc>
          <w:tcPr>
            <w:tcW w:w="4616" w:type="dxa"/>
          </w:tcPr>
          <w:p w14:paraId="5D6D4B21" w14:textId="76DA19DC" w:rsidR="00726D16" w:rsidRDefault="00726D16" w:rsidP="00B352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632" w:type="dxa"/>
          </w:tcPr>
          <w:p w14:paraId="44E80F53" w14:textId="281EF79F" w:rsidR="00726D16" w:rsidRPr="00726D16" w:rsidRDefault="00726D16" w:rsidP="00B352C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726D16" w14:paraId="30D9997B" w14:textId="77777777" w:rsidTr="00F36CAD">
        <w:trPr>
          <w:trHeight w:val="622"/>
        </w:trPr>
        <w:tc>
          <w:tcPr>
            <w:tcW w:w="9248" w:type="dxa"/>
            <w:gridSpan w:val="2"/>
          </w:tcPr>
          <w:p w14:paraId="2097010F" w14:textId="77777777" w:rsidR="000615AE" w:rsidRDefault="000615AE" w:rsidP="000615AE">
            <w:pPr>
              <w:spacing w:after="0" w:line="240" w:lineRule="auto"/>
              <w:jc w:val="center"/>
              <w:rPr>
                <w:rFonts w:ascii="Times New Roman" w:hAnsi="Times New Roman" w:cs="Times New Roman"/>
                <w:sz w:val="28"/>
                <w:szCs w:val="28"/>
              </w:rPr>
            </w:pPr>
          </w:p>
          <w:p w14:paraId="25A472EC" w14:textId="5745B214" w:rsidR="00726D16" w:rsidRPr="00726D16" w:rsidRDefault="00726D16" w:rsidP="000615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r w:rsidRPr="00726D16">
              <w:rPr>
                <w:rFonts w:ascii="Times New Roman" w:hAnsi="Times New Roman" w:cs="Times New Roman"/>
                <w:sz w:val="28"/>
                <w:szCs w:val="28"/>
              </w:rPr>
              <w:t xml:space="preserve"> </w:t>
            </w:r>
            <w:r>
              <w:rPr>
                <w:rFonts w:ascii="Times New Roman" w:hAnsi="Times New Roman" w:cs="Times New Roman"/>
                <w:sz w:val="28"/>
                <w:szCs w:val="28"/>
              </w:rPr>
              <w:t>–</w:t>
            </w:r>
            <w:r w:rsidRPr="00726D16">
              <w:rPr>
                <w:rFonts w:ascii="Times New Roman" w:hAnsi="Times New Roman" w:cs="Times New Roman"/>
                <w:sz w:val="28"/>
                <w:szCs w:val="28"/>
              </w:rPr>
              <w:t xml:space="preserve"> </w:t>
            </w:r>
            <w:r>
              <w:rPr>
                <w:rFonts w:ascii="Times New Roman" w:hAnsi="Times New Roman" w:cs="Times New Roman"/>
                <w:sz w:val="28"/>
                <w:szCs w:val="28"/>
              </w:rPr>
              <w:t xml:space="preserve">структура миопии; </w:t>
            </w:r>
            <w:r>
              <w:rPr>
                <w:rFonts w:ascii="Times New Roman" w:hAnsi="Times New Roman" w:cs="Times New Roman"/>
                <w:sz w:val="28"/>
                <w:szCs w:val="28"/>
                <w:lang w:val="en-US"/>
              </w:rPr>
              <w:t>b</w:t>
            </w:r>
            <w:r>
              <w:rPr>
                <w:rFonts w:ascii="Times New Roman" w:hAnsi="Times New Roman" w:cs="Times New Roman"/>
                <w:sz w:val="28"/>
                <w:szCs w:val="28"/>
              </w:rPr>
              <w:t xml:space="preserve"> – структура гиперметропии</w:t>
            </w:r>
          </w:p>
        </w:tc>
      </w:tr>
    </w:tbl>
    <w:p w14:paraId="4CC2989A" w14:textId="77777777" w:rsidR="00726D16" w:rsidRDefault="00726D16" w:rsidP="00B11BFE">
      <w:pPr>
        <w:spacing w:after="0" w:line="240" w:lineRule="auto"/>
        <w:jc w:val="center"/>
        <w:rPr>
          <w:rFonts w:ascii="Times New Roman" w:hAnsi="Times New Roman" w:cs="Times New Roman"/>
          <w:sz w:val="28"/>
          <w:szCs w:val="28"/>
        </w:rPr>
      </w:pPr>
    </w:p>
    <w:p w14:paraId="7E646DA6" w14:textId="002CD669" w:rsidR="00245519" w:rsidRDefault="00206346" w:rsidP="00B11BFE">
      <w:pPr>
        <w:spacing w:after="0" w:line="240" w:lineRule="auto"/>
        <w:jc w:val="center"/>
        <w:rPr>
          <w:rFonts w:ascii="Times New Roman" w:hAnsi="Times New Roman" w:cs="Times New Roman"/>
          <w:sz w:val="28"/>
          <w:szCs w:val="28"/>
        </w:rPr>
      </w:pPr>
      <w:r w:rsidRPr="00206346">
        <w:rPr>
          <w:rFonts w:ascii="Times New Roman" w:hAnsi="Times New Roman" w:cs="Times New Roman"/>
          <w:sz w:val="28"/>
          <w:szCs w:val="28"/>
        </w:rPr>
        <w:t xml:space="preserve">Рисунок </w:t>
      </w:r>
      <w:r w:rsidR="007263F7">
        <w:rPr>
          <w:rFonts w:ascii="Times New Roman" w:hAnsi="Times New Roman" w:cs="Times New Roman"/>
          <w:sz w:val="28"/>
          <w:szCs w:val="28"/>
        </w:rPr>
        <w:t>6</w:t>
      </w:r>
      <w:r w:rsidR="00B24248">
        <w:rPr>
          <w:rFonts w:ascii="Times New Roman" w:hAnsi="Times New Roman" w:cs="Times New Roman"/>
          <w:sz w:val="28"/>
          <w:szCs w:val="28"/>
        </w:rPr>
        <w:t xml:space="preserve"> </w:t>
      </w:r>
      <w:r w:rsidRPr="00206346">
        <w:rPr>
          <w:rFonts w:ascii="Times New Roman" w:hAnsi="Times New Roman" w:cs="Times New Roman"/>
          <w:sz w:val="28"/>
          <w:szCs w:val="28"/>
        </w:rPr>
        <w:t>-</w:t>
      </w:r>
      <w:r w:rsidR="00B24248">
        <w:rPr>
          <w:rFonts w:ascii="Times New Roman" w:hAnsi="Times New Roman" w:cs="Times New Roman"/>
          <w:sz w:val="28"/>
          <w:szCs w:val="28"/>
        </w:rPr>
        <w:t xml:space="preserve"> </w:t>
      </w:r>
      <w:r w:rsidRPr="00206346">
        <w:rPr>
          <w:rFonts w:ascii="Times New Roman" w:hAnsi="Times New Roman" w:cs="Times New Roman"/>
          <w:sz w:val="28"/>
          <w:szCs w:val="28"/>
        </w:rPr>
        <w:t xml:space="preserve">Структура миопии </w:t>
      </w:r>
      <w:r w:rsidR="00730CA1">
        <w:rPr>
          <w:rFonts w:ascii="Times New Roman" w:hAnsi="Times New Roman" w:cs="Times New Roman"/>
          <w:sz w:val="28"/>
          <w:szCs w:val="28"/>
        </w:rPr>
        <w:t xml:space="preserve">(а) </w:t>
      </w:r>
      <w:r w:rsidRPr="00206346">
        <w:rPr>
          <w:rFonts w:ascii="Times New Roman" w:hAnsi="Times New Roman" w:cs="Times New Roman"/>
          <w:sz w:val="28"/>
          <w:szCs w:val="28"/>
        </w:rPr>
        <w:t xml:space="preserve">и гиперметропии </w:t>
      </w:r>
      <w:r w:rsidR="00730CA1">
        <w:rPr>
          <w:rFonts w:ascii="Times New Roman" w:hAnsi="Times New Roman" w:cs="Times New Roman"/>
          <w:sz w:val="28"/>
          <w:szCs w:val="28"/>
        </w:rPr>
        <w:t>(</w:t>
      </w:r>
      <w:r w:rsidR="00730CA1">
        <w:rPr>
          <w:rFonts w:ascii="Times New Roman" w:hAnsi="Times New Roman" w:cs="Times New Roman"/>
          <w:sz w:val="28"/>
          <w:szCs w:val="28"/>
          <w:lang w:val="en-US"/>
        </w:rPr>
        <w:t>b</w:t>
      </w:r>
      <w:r w:rsidR="00730CA1" w:rsidRPr="00730CA1">
        <w:rPr>
          <w:rFonts w:ascii="Times New Roman" w:hAnsi="Times New Roman" w:cs="Times New Roman"/>
          <w:sz w:val="28"/>
          <w:szCs w:val="28"/>
        </w:rPr>
        <w:t xml:space="preserve">) </w:t>
      </w:r>
      <w:r w:rsidRPr="00206346">
        <w:rPr>
          <w:rFonts w:ascii="Times New Roman" w:hAnsi="Times New Roman" w:cs="Times New Roman"/>
          <w:sz w:val="28"/>
          <w:szCs w:val="28"/>
        </w:rPr>
        <w:t>по степени тяжести</w:t>
      </w:r>
    </w:p>
    <w:p w14:paraId="2780A693" w14:textId="77777777" w:rsidR="00BB0B70" w:rsidRDefault="00BB0B70" w:rsidP="005C37DF">
      <w:pPr>
        <w:spacing w:after="0" w:line="240" w:lineRule="auto"/>
        <w:ind w:firstLine="709"/>
        <w:jc w:val="both"/>
        <w:rPr>
          <w:rFonts w:ascii="Times New Roman" w:hAnsi="Times New Roman" w:cs="Times New Roman"/>
          <w:sz w:val="28"/>
          <w:szCs w:val="28"/>
        </w:rPr>
      </w:pPr>
    </w:p>
    <w:p w14:paraId="39742F8D" w14:textId="0C30F7F9" w:rsidR="00374DC5"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Астигматизм в общей выборке был выявлен у 64 детей (2,8%), из них у 47 (73,4%) – астигматизм слабой, у 17 школьников (26,6%) – </w:t>
      </w:r>
      <w:r w:rsidRPr="00C973EF">
        <w:rPr>
          <w:rFonts w:ascii="Times New Roman" w:hAnsi="Times New Roman" w:cs="Times New Roman"/>
          <w:sz w:val="28"/>
          <w:szCs w:val="28"/>
        </w:rPr>
        <w:t>высок</w:t>
      </w:r>
      <w:r w:rsidR="00245519" w:rsidRPr="00C973EF">
        <w:rPr>
          <w:rFonts w:ascii="Times New Roman" w:hAnsi="Times New Roman" w:cs="Times New Roman"/>
          <w:sz w:val="28"/>
          <w:szCs w:val="28"/>
        </w:rPr>
        <w:t>ой степени</w:t>
      </w:r>
      <w:r w:rsidRPr="004804AA">
        <w:rPr>
          <w:rFonts w:ascii="Times New Roman" w:hAnsi="Times New Roman" w:cs="Times New Roman"/>
          <w:sz w:val="28"/>
          <w:szCs w:val="28"/>
        </w:rPr>
        <w:t xml:space="preserve">. Более половины случаев астигматизма составлял миопический астигматизм – 54,7%, смешанный астигматизм встречался у 26,6%, гиперметропический – у 18,8% детей. (Рисунок </w:t>
      </w:r>
      <w:r w:rsidR="007263F7">
        <w:rPr>
          <w:rFonts w:ascii="Times New Roman" w:hAnsi="Times New Roman" w:cs="Times New Roman"/>
          <w:sz w:val="28"/>
          <w:szCs w:val="28"/>
        </w:rPr>
        <w:t>7</w:t>
      </w:r>
      <w:r w:rsidRPr="004804AA">
        <w:rPr>
          <w:rFonts w:ascii="Times New Roman" w:hAnsi="Times New Roman" w:cs="Times New Roman"/>
          <w:sz w:val="28"/>
          <w:szCs w:val="28"/>
        </w:rPr>
        <w:t>)</w:t>
      </w:r>
      <w:r w:rsidR="00444869">
        <w:rPr>
          <w:rFonts w:ascii="Times New Roman" w:hAnsi="Times New Roman" w:cs="Times New Roman"/>
          <w:sz w:val="28"/>
          <w:szCs w:val="28"/>
        </w:rPr>
        <w:t xml:space="preserve"> </w:t>
      </w:r>
    </w:p>
    <w:p w14:paraId="6C09AFB9" w14:textId="77777777" w:rsidR="00B352CB" w:rsidRDefault="00B352CB" w:rsidP="005C37DF">
      <w:pPr>
        <w:spacing w:after="0" w:line="240" w:lineRule="auto"/>
        <w:ind w:firstLine="709"/>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834B2" w14:paraId="2AF9C174" w14:textId="77777777" w:rsidTr="001A7EA4">
        <w:tc>
          <w:tcPr>
            <w:tcW w:w="9345" w:type="dxa"/>
            <w:gridSpan w:val="2"/>
          </w:tcPr>
          <w:p w14:paraId="16C5527A" w14:textId="04AD5E51" w:rsidR="005834B2" w:rsidRDefault="00900A63" w:rsidP="005C37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B66BBE" wp14:editId="110BD7B7">
                  <wp:extent cx="5699760" cy="258709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976" cy="2590824"/>
                          </a:xfrm>
                          <a:prstGeom prst="rect">
                            <a:avLst/>
                          </a:prstGeom>
                          <a:noFill/>
                        </pic:spPr>
                      </pic:pic>
                    </a:graphicData>
                  </a:graphic>
                </wp:inline>
              </w:drawing>
            </w:r>
          </w:p>
        </w:tc>
      </w:tr>
      <w:tr w:rsidR="005834B2" w14:paraId="276F4CD3" w14:textId="77777777" w:rsidTr="001A7EA4">
        <w:tc>
          <w:tcPr>
            <w:tcW w:w="4672" w:type="dxa"/>
          </w:tcPr>
          <w:p w14:paraId="4A7F3C48" w14:textId="3EF25B81" w:rsidR="005834B2" w:rsidRDefault="00B352CB" w:rsidP="00B352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673" w:type="dxa"/>
          </w:tcPr>
          <w:p w14:paraId="0E387864" w14:textId="72AD3921" w:rsidR="005834B2" w:rsidRPr="00B352CB" w:rsidRDefault="00B352CB" w:rsidP="00B352C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5834B2" w14:paraId="3F359036" w14:textId="77777777" w:rsidTr="001A7EA4">
        <w:tc>
          <w:tcPr>
            <w:tcW w:w="9345" w:type="dxa"/>
            <w:gridSpan w:val="2"/>
          </w:tcPr>
          <w:p w14:paraId="3FE905EC" w14:textId="77777777" w:rsidR="000615AE" w:rsidRDefault="000615AE" w:rsidP="00B352CB">
            <w:pPr>
              <w:spacing w:after="0" w:line="240" w:lineRule="auto"/>
              <w:jc w:val="both"/>
              <w:rPr>
                <w:rFonts w:ascii="Times New Roman" w:hAnsi="Times New Roman" w:cs="Times New Roman"/>
                <w:sz w:val="28"/>
                <w:szCs w:val="28"/>
              </w:rPr>
            </w:pPr>
          </w:p>
          <w:p w14:paraId="6956BA4A" w14:textId="52463FC8" w:rsidR="005834B2" w:rsidRPr="00B352CB" w:rsidRDefault="00B352CB" w:rsidP="00B352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 структура астигматизма по виду; </w:t>
            </w:r>
            <w:r>
              <w:rPr>
                <w:rFonts w:ascii="Times New Roman" w:hAnsi="Times New Roman" w:cs="Times New Roman"/>
                <w:sz w:val="28"/>
                <w:szCs w:val="28"/>
                <w:lang w:val="en-US"/>
              </w:rPr>
              <w:t>b</w:t>
            </w:r>
            <w:r w:rsidRPr="00B352CB">
              <w:rPr>
                <w:rFonts w:ascii="Times New Roman" w:hAnsi="Times New Roman" w:cs="Times New Roman"/>
                <w:sz w:val="28"/>
                <w:szCs w:val="28"/>
              </w:rPr>
              <w:t xml:space="preserve"> </w:t>
            </w:r>
            <w:r>
              <w:rPr>
                <w:rFonts w:ascii="Times New Roman" w:hAnsi="Times New Roman" w:cs="Times New Roman"/>
                <w:sz w:val="28"/>
                <w:szCs w:val="28"/>
              </w:rPr>
              <w:t>–</w:t>
            </w:r>
            <w:r w:rsidRPr="00B352CB">
              <w:rPr>
                <w:rFonts w:ascii="Times New Roman" w:hAnsi="Times New Roman" w:cs="Times New Roman"/>
                <w:sz w:val="28"/>
                <w:szCs w:val="28"/>
              </w:rPr>
              <w:t xml:space="preserve"> </w:t>
            </w:r>
            <w:r>
              <w:rPr>
                <w:rFonts w:ascii="Times New Roman" w:hAnsi="Times New Roman" w:cs="Times New Roman"/>
                <w:sz w:val="28"/>
                <w:szCs w:val="28"/>
              </w:rPr>
              <w:t>структура астигматизма по степени</w:t>
            </w:r>
          </w:p>
        </w:tc>
      </w:tr>
    </w:tbl>
    <w:p w14:paraId="7868746D" w14:textId="77777777" w:rsidR="00B42C34" w:rsidRDefault="00B42C34" w:rsidP="005C37DF">
      <w:pPr>
        <w:spacing w:after="0" w:line="240" w:lineRule="auto"/>
        <w:ind w:firstLine="709"/>
        <w:jc w:val="both"/>
        <w:rPr>
          <w:rFonts w:ascii="Times New Roman" w:hAnsi="Times New Roman" w:cs="Times New Roman"/>
          <w:sz w:val="28"/>
          <w:szCs w:val="28"/>
        </w:rPr>
      </w:pPr>
    </w:p>
    <w:p w14:paraId="04ED73E8" w14:textId="1A87B934" w:rsidR="002C03DF" w:rsidRDefault="002C03DF"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Рисунок </w:t>
      </w:r>
      <w:r w:rsidR="007263F7">
        <w:rPr>
          <w:rFonts w:ascii="Times New Roman" w:hAnsi="Times New Roman" w:cs="Times New Roman"/>
          <w:sz w:val="28"/>
          <w:szCs w:val="28"/>
        </w:rPr>
        <w:t>7</w:t>
      </w:r>
      <w:r>
        <w:rPr>
          <w:rFonts w:ascii="Times New Roman" w:hAnsi="Times New Roman" w:cs="Times New Roman"/>
          <w:sz w:val="28"/>
          <w:szCs w:val="28"/>
        </w:rPr>
        <w:t xml:space="preserve"> - </w:t>
      </w:r>
      <w:r w:rsidRPr="004804AA">
        <w:rPr>
          <w:rFonts w:ascii="Times New Roman" w:hAnsi="Times New Roman" w:cs="Times New Roman"/>
          <w:sz w:val="28"/>
          <w:szCs w:val="28"/>
        </w:rPr>
        <w:t xml:space="preserve">Структура астигматизма по рефракции и степени тяжести </w:t>
      </w:r>
    </w:p>
    <w:p w14:paraId="6A4D45B5" w14:textId="77777777" w:rsidR="00B42C34" w:rsidRDefault="00B42C34" w:rsidP="005C37DF">
      <w:pPr>
        <w:spacing w:after="0" w:line="240" w:lineRule="auto"/>
        <w:ind w:firstLine="709"/>
        <w:jc w:val="both"/>
        <w:rPr>
          <w:rFonts w:ascii="Times New Roman" w:hAnsi="Times New Roman" w:cs="Times New Roman"/>
          <w:sz w:val="28"/>
          <w:szCs w:val="28"/>
        </w:rPr>
      </w:pPr>
    </w:p>
    <w:p w14:paraId="34AA4B9D" w14:textId="194C5BEF"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По данным наших обследований</w:t>
      </w:r>
      <w:r w:rsidR="00245519">
        <w:rPr>
          <w:rFonts w:ascii="Times New Roman" w:hAnsi="Times New Roman" w:cs="Times New Roman"/>
          <w:sz w:val="28"/>
          <w:szCs w:val="28"/>
        </w:rPr>
        <w:t>,</w:t>
      </w:r>
      <w:r w:rsidRPr="004804AA">
        <w:rPr>
          <w:rFonts w:ascii="Times New Roman" w:hAnsi="Times New Roman" w:cs="Times New Roman"/>
          <w:sz w:val="28"/>
          <w:szCs w:val="28"/>
        </w:rPr>
        <w:t xml:space="preserve"> из 1062 учеников школ с повышенной академической нагрузкой те или иные нарушения рефракции встречались у 340 детей (32%). У школьников из общеобразовательных школ этот показатель составил 31,3%. Таким образов, мы не обнаружили достоверных различий в частоте аномалий рефракции у детей из разных типов школ (</w:t>
      </w:r>
      <w:r w:rsidR="002F39ED">
        <w:rPr>
          <w:rFonts w:ascii="Times New Roman" w:hAnsi="Times New Roman" w:cs="Times New Roman"/>
          <w:sz w:val="28"/>
          <w:szCs w:val="28"/>
        </w:rPr>
        <w:t>χ</w:t>
      </w:r>
      <w:r w:rsidR="002F39ED" w:rsidRPr="002F39ED">
        <w:rPr>
          <w:rFonts w:ascii="Times New Roman" w:hAnsi="Times New Roman" w:cs="Times New Roman"/>
          <w:sz w:val="28"/>
          <w:szCs w:val="28"/>
          <w:vertAlign w:val="superscript"/>
        </w:rPr>
        <w:t>2</w:t>
      </w:r>
      <w:r w:rsidR="002F39ED" w:rsidRPr="002F39ED">
        <w:rPr>
          <w:rFonts w:ascii="Times New Roman" w:hAnsi="Times New Roman" w:cs="Times New Roman"/>
          <w:sz w:val="28"/>
          <w:szCs w:val="28"/>
        </w:rPr>
        <w:t xml:space="preserve"> = 0</w:t>
      </w:r>
      <w:r w:rsidR="002F39ED">
        <w:rPr>
          <w:rFonts w:ascii="Times New Roman" w:hAnsi="Times New Roman" w:cs="Times New Roman"/>
          <w:sz w:val="28"/>
          <w:szCs w:val="28"/>
        </w:rPr>
        <w:t xml:space="preserve">,144; </w:t>
      </w:r>
      <w:r w:rsidR="002F39ED">
        <w:rPr>
          <w:rFonts w:ascii="Times New Roman" w:hAnsi="Times New Roman" w:cs="Times New Roman"/>
          <w:sz w:val="28"/>
          <w:szCs w:val="28"/>
          <w:lang w:val="en-US"/>
        </w:rPr>
        <w:t>p</w:t>
      </w:r>
      <w:r w:rsidR="002F39ED" w:rsidRPr="002F39ED">
        <w:rPr>
          <w:rFonts w:ascii="Times New Roman" w:hAnsi="Times New Roman" w:cs="Times New Roman"/>
          <w:sz w:val="28"/>
          <w:szCs w:val="28"/>
        </w:rPr>
        <w:t xml:space="preserve"> = 0</w:t>
      </w:r>
      <w:r w:rsidR="002F39ED">
        <w:rPr>
          <w:rFonts w:ascii="Times New Roman" w:hAnsi="Times New Roman" w:cs="Times New Roman"/>
          <w:sz w:val="28"/>
          <w:szCs w:val="28"/>
        </w:rPr>
        <w:t>,</w:t>
      </w:r>
      <w:r w:rsidR="002F39ED" w:rsidRPr="002F39ED">
        <w:rPr>
          <w:rFonts w:ascii="Times New Roman" w:hAnsi="Times New Roman" w:cs="Times New Roman"/>
          <w:sz w:val="28"/>
          <w:szCs w:val="28"/>
        </w:rPr>
        <w:t>704</w:t>
      </w:r>
      <w:r w:rsidRPr="004804AA">
        <w:rPr>
          <w:rFonts w:ascii="Times New Roman" w:hAnsi="Times New Roman" w:cs="Times New Roman"/>
          <w:sz w:val="28"/>
          <w:szCs w:val="28"/>
        </w:rPr>
        <w:t>).</w:t>
      </w:r>
      <w:r w:rsidR="007D63B7" w:rsidRPr="007D63B7">
        <w:rPr>
          <w:rFonts w:ascii="Times New Roman" w:hAnsi="Times New Roman" w:cs="Times New Roman"/>
          <w:sz w:val="28"/>
          <w:szCs w:val="28"/>
        </w:rPr>
        <w:t xml:space="preserve"> </w:t>
      </w:r>
      <w:r w:rsidRPr="004804AA">
        <w:rPr>
          <w:rFonts w:ascii="Times New Roman" w:hAnsi="Times New Roman" w:cs="Times New Roman"/>
          <w:sz w:val="28"/>
          <w:szCs w:val="28"/>
        </w:rPr>
        <w:t xml:space="preserve">Кроме того, как видно из таблицы </w:t>
      </w:r>
      <w:r w:rsidR="00337961" w:rsidRPr="001437B6">
        <w:rPr>
          <w:rFonts w:ascii="Times New Roman" w:hAnsi="Times New Roman" w:cs="Times New Roman"/>
          <w:sz w:val="28"/>
          <w:szCs w:val="28"/>
        </w:rPr>
        <w:t>9</w:t>
      </w:r>
      <w:r w:rsidRPr="004804AA">
        <w:rPr>
          <w:rFonts w:ascii="Times New Roman" w:hAnsi="Times New Roman" w:cs="Times New Roman"/>
          <w:sz w:val="28"/>
          <w:szCs w:val="28"/>
        </w:rPr>
        <w:t>, не было значимой разницы и в структуре рефракционных нарушений.</w:t>
      </w:r>
    </w:p>
    <w:p w14:paraId="0423929E"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63BC5CF0" w14:textId="58C87B02" w:rsidR="00374DC5" w:rsidRDefault="00374DC5" w:rsidP="005D5DA6">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337961" w:rsidRPr="00337961">
        <w:rPr>
          <w:rFonts w:ascii="Times New Roman" w:hAnsi="Times New Roman" w:cs="Times New Roman"/>
          <w:sz w:val="28"/>
          <w:szCs w:val="28"/>
        </w:rPr>
        <w:t>9</w:t>
      </w:r>
      <w:r w:rsidR="006226F4">
        <w:rPr>
          <w:rFonts w:ascii="Times New Roman" w:hAnsi="Times New Roman" w:cs="Times New Roman"/>
          <w:sz w:val="28"/>
          <w:szCs w:val="28"/>
        </w:rPr>
        <w:t xml:space="preserve"> -</w:t>
      </w:r>
      <w:r w:rsidRPr="004804AA">
        <w:rPr>
          <w:rFonts w:ascii="Times New Roman" w:hAnsi="Times New Roman" w:cs="Times New Roman"/>
          <w:sz w:val="28"/>
          <w:szCs w:val="28"/>
        </w:rPr>
        <w:t xml:space="preserve"> Сравнение частоты и структуры нарушений рефракции в общеобразовательных и гимназических школах г. Алматы</w:t>
      </w:r>
    </w:p>
    <w:p w14:paraId="6934A51D" w14:textId="77777777" w:rsidR="006226F4" w:rsidRPr="004804AA" w:rsidRDefault="006226F4" w:rsidP="005C37DF">
      <w:pPr>
        <w:spacing w:after="0" w:line="240" w:lineRule="auto"/>
        <w:ind w:firstLine="709"/>
        <w:jc w:val="center"/>
        <w:rPr>
          <w:rFonts w:ascii="Times New Roman" w:hAnsi="Times New Roman" w:cs="Times New Roman"/>
          <w:sz w:val="28"/>
          <w:szCs w:val="28"/>
        </w:rPr>
      </w:pPr>
    </w:p>
    <w:tbl>
      <w:tblPr>
        <w:tblW w:w="9986" w:type="dxa"/>
        <w:jc w:val="center"/>
        <w:tblLayout w:type="fixed"/>
        <w:tblLook w:val="04A0" w:firstRow="1" w:lastRow="0" w:firstColumn="1" w:lastColumn="0" w:noHBand="0" w:noVBand="1"/>
      </w:tblPr>
      <w:tblGrid>
        <w:gridCol w:w="1954"/>
        <w:gridCol w:w="838"/>
        <w:gridCol w:w="1119"/>
        <w:gridCol w:w="1426"/>
        <w:gridCol w:w="744"/>
        <w:gridCol w:w="868"/>
        <w:gridCol w:w="1241"/>
        <w:gridCol w:w="897"/>
        <w:gridCol w:w="899"/>
      </w:tblGrid>
      <w:tr w:rsidR="00DF6464" w:rsidRPr="004804AA" w14:paraId="73FC6E28" w14:textId="6A40742A" w:rsidTr="00F36CAD">
        <w:trPr>
          <w:trHeight w:val="283"/>
          <w:jc w:val="center"/>
        </w:trPr>
        <w:tc>
          <w:tcPr>
            <w:tcW w:w="1954" w:type="dxa"/>
            <w:vMerge w:val="restart"/>
            <w:tcBorders>
              <w:top w:val="single" w:sz="4" w:space="0" w:color="auto"/>
              <w:left w:val="single" w:sz="4" w:space="0" w:color="auto"/>
              <w:right w:val="single" w:sz="4" w:space="0" w:color="auto"/>
            </w:tcBorders>
            <w:shd w:val="clear" w:color="auto" w:fill="auto"/>
            <w:noWrap/>
            <w:vAlign w:val="bottom"/>
          </w:tcPr>
          <w:p w14:paraId="4C463D1A" w14:textId="08A95B9C"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Группа</w:t>
            </w:r>
          </w:p>
        </w:tc>
        <w:tc>
          <w:tcPr>
            <w:tcW w:w="33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A2E716" w14:textId="77777777" w:rsidR="00DF6464" w:rsidRPr="008779D0" w:rsidRDefault="00DF6464" w:rsidP="0069396B">
            <w:pPr>
              <w:spacing w:after="0" w:line="240" w:lineRule="auto"/>
              <w:jc w:val="center"/>
              <w:rPr>
                <w:rFonts w:ascii="Times New Roman" w:hAnsi="Times New Roman" w:cs="Times New Roman"/>
                <w:bCs/>
                <w:sz w:val="24"/>
                <w:szCs w:val="24"/>
              </w:rPr>
            </w:pPr>
            <w:r w:rsidRPr="008779D0">
              <w:rPr>
                <w:rFonts w:ascii="Times New Roman" w:hAnsi="Times New Roman" w:cs="Times New Roman"/>
                <w:bCs/>
                <w:sz w:val="24"/>
                <w:szCs w:val="24"/>
              </w:rPr>
              <w:t>Общеобразовательные школы</w:t>
            </w:r>
          </w:p>
          <w:p w14:paraId="2D880C43" w14:textId="4FB6E5C2" w:rsidR="00DF6464" w:rsidRPr="008779D0" w:rsidRDefault="00CC14F2" w:rsidP="0069396B">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r w:rsidR="00DF6464" w:rsidRPr="008779D0">
              <w:rPr>
                <w:rFonts w:ascii="Times New Roman" w:hAnsi="Times New Roman" w:cs="Times New Roman"/>
                <w:bCs/>
                <w:sz w:val="24"/>
                <w:szCs w:val="24"/>
                <w:lang w:val="en-US"/>
              </w:rPr>
              <w:t>N = 1231</w:t>
            </w:r>
            <w:r>
              <w:rPr>
                <w:rFonts w:ascii="Times New Roman" w:hAnsi="Times New Roman" w:cs="Times New Roman"/>
                <w:bCs/>
                <w:sz w:val="24"/>
                <w:szCs w:val="24"/>
                <w:lang w:val="en-US"/>
              </w:rPr>
              <w:t>)</w:t>
            </w:r>
          </w:p>
        </w:tc>
        <w:tc>
          <w:tcPr>
            <w:tcW w:w="2853" w:type="dxa"/>
            <w:gridSpan w:val="3"/>
            <w:tcBorders>
              <w:top w:val="single" w:sz="4" w:space="0" w:color="auto"/>
              <w:left w:val="single" w:sz="4" w:space="0" w:color="auto"/>
              <w:bottom w:val="single" w:sz="4" w:space="0" w:color="auto"/>
              <w:right w:val="single" w:sz="4" w:space="0" w:color="auto"/>
            </w:tcBorders>
            <w:vAlign w:val="center"/>
          </w:tcPr>
          <w:p w14:paraId="7B3AC9C7" w14:textId="18D31F73" w:rsidR="00DF6464" w:rsidRPr="00DF6464" w:rsidRDefault="00DF6464" w:rsidP="00DF646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Гимназии</w:t>
            </w:r>
          </w:p>
          <w:p w14:paraId="195BDB65" w14:textId="5FC2A6A6" w:rsidR="00DF6464" w:rsidRPr="008779D0" w:rsidRDefault="00CC14F2" w:rsidP="0069396B">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r w:rsidR="00DF6464" w:rsidRPr="008779D0">
              <w:rPr>
                <w:rFonts w:ascii="Times New Roman" w:hAnsi="Times New Roman" w:cs="Times New Roman"/>
                <w:bCs/>
                <w:sz w:val="24"/>
                <w:szCs w:val="24"/>
                <w:lang w:val="en-US"/>
              </w:rPr>
              <w:t>N = 1062</w:t>
            </w:r>
            <w:r>
              <w:rPr>
                <w:rFonts w:ascii="Times New Roman" w:hAnsi="Times New Roman" w:cs="Times New Roman"/>
                <w:bCs/>
                <w:sz w:val="24"/>
                <w:szCs w:val="24"/>
                <w:lang w:val="en-US"/>
              </w:rPr>
              <w:t>)</w:t>
            </w:r>
          </w:p>
        </w:tc>
        <w:tc>
          <w:tcPr>
            <w:tcW w:w="897" w:type="dxa"/>
            <w:vMerge w:val="restart"/>
            <w:tcBorders>
              <w:top w:val="single" w:sz="4" w:space="0" w:color="auto"/>
              <w:left w:val="single" w:sz="4" w:space="0" w:color="auto"/>
              <w:right w:val="single" w:sz="4" w:space="0" w:color="auto"/>
            </w:tcBorders>
            <w:vAlign w:val="center"/>
          </w:tcPr>
          <w:p w14:paraId="24D4335E" w14:textId="36CCAB52" w:rsidR="00DF6464" w:rsidRPr="008779D0" w:rsidRDefault="00DF6464" w:rsidP="00DF6464">
            <w:pPr>
              <w:spacing w:after="0" w:line="240" w:lineRule="auto"/>
              <w:jc w:val="center"/>
              <w:rPr>
                <w:rFonts w:ascii="Times New Roman" w:hAnsi="Times New Roman" w:cs="Times New Roman"/>
                <w:bCs/>
                <w:sz w:val="24"/>
                <w:szCs w:val="24"/>
                <w:lang w:val="en-US"/>
              </w:rPr>
            </w:pPr>
            <w:r>
              <w:rPr>
                <w:rFonts w:ascii="Times New Roman" w:hAnsi="Times New Roman" w:cs="Times New Roman"/>
                <w:sz w:val="28"/>
                <w:szCs w:val="28"/>
              </w:rPr>
              <w:t>χ</w:t>
            </w:r>
            <w:r w:rsidRPr="002F39ED">
              <w:rPr>
                <w:rFonts w:ascii="Times New Roman" w:hAnsi="Times New Roman" w:cs="Times New Roman"/>
                <w:sz w:val="28"/>
                <w:szCs w:val="28"/>
                <w:vertAlign w:val="superscript"/>
              </w:rPr>
              <w:t>2</w:t>
            </w:r>
          </w:p>
        </w:tc>
        <w:tc>
          <w:tcPr>
            <w:tcW w:w="898" w:type="dxa"/>
            <w:vMerge w:val="restart"/>
            <w:tcBorders>
              <w:top w:val="single" w:sz="4" w:space="0" w:color="auto"/>
              <w:left w:val="single" w:sz="4" w:space="0" w:color="auto"/>
              <w:right w:val="single" w:sz="4" w:space="0" w:color="auto"/>
            </w:tcBorders>
            <w:vAlign w:val="center"/>
          </w:tcPr>
          <w:p w14:paraId="45B565B8" w14:textId="3EDFA546" w:rsidR="00DF6464" w:rsidRPr="008779D0" w:rsidRDefault="00DF6464" w:rsidP="00DF6464">
            <w:pPr>
              <w:spacing w:after="0" w:line="240" w:lineRule="auto"/>
              <w:jc w:val="center"/>
              <w:rPr>
                <w:rFonts w:ascii="Times New Roman" w:hAnsi="Times New Roman" w:cs="Times New Roman"/>
                <w:bCs/>
                <w:sz w:val="24"/>
                <w:szCs w:val="24"/>
                <w:lang w:val="en-US"/>
              </w:rPr>
            </w:pPr>
            <w:r w:rsidRPr="008779D0">
              <w:rPr>
                <w:rFonts w:ascii="Times New Roman" w:hAnsi="Times New Roman" w:cs="Times New Roman"/>
                <w:bCs/>
                <w:sz w:val="24"/>
                <w:szCs w:val="24"/>
                <w:lang w:val="en-US"/>
              </w:rPr>
              <w:t>p</w:t>
            </w:r>
            <w:r>
              <w:rPr>
                <w:rFonts w:ascii="Times New Roman" w:hAnsi="Times New Roman" w:cs="Times New Roman"/>
                <w:bCs/>
                <w:sz w:val="24"/>
                <w:szCs w:val="24"/>
                <w:lang w:val="en-US"/>
              </w:rPr>
              <w:t>-value</w:t>
            </w:r>
            <w:r w:rsidRPr="008779D0">
              <w:rPr>
                <w:rFonts w:ascii="Times New Roman" w:hAnsi="Times New Roman" w:cs="Times New Roman"/>
                <w:bCs/>
                <w:sz w:val="24"/>
                <w:szCs w:val="24"/>
                <w:vertAlign w:val="superscript"/>
                <w:lang w:val="en-US"/>
              </w:rPr>
              <w:t>1</w:t>
            </w:r>
          </w:p>
        </w:tc>
      </w:tr>
      <w:tr w:rsidR="00DF6464" w:rsidRPr="004804AA" w14:paraId="17CAE485" w14:textId="5B0C245A" w:rsidTr="00F36CAD">
        <w:trPr>
          <w:trHeight w:val="283"/>
          <w:jc w:val="center"/>
        </w:trPr>
        <w:tc>
          <w:tcPr>
            <w:tcW w:w="1954" w:type="dxa"/>
            <w:vMerge/>
            <w:tcBorders>
              <w:left w:val="single" w:sz="4" w:space="0" w:color="auto"/>
              <w:bottom w:val="single" w:sz="4" w:space="0" w:color="auto"/>
              <w:right w:val="single" w:sz="4" w:space="0" w:color="auto"/>
            </w:tcBorders>
            <w:shd w:val="clear" w:color="auto" w:fill="auto"/>
            <w:noWrap/>
            <w:vAlign w:val="bottom"/>
            <w:hideMark/>
          </w:tcPr>
          <w:p w14:paraId="361AE4C6" w14:textId="77777777" w:rsidR="00DF6464" w:rsidRPr="008779D0" w:rsidRDefault="00DF6464" w:rsidP="0069396B">
            <w:pPr>
              <w:spacing w:after="0" w:line="240" w:lineRule="auto"/>
              <w:rPr>
                <w:rFonts w:ascii="Times New Roman" w:hAnsi="Times New Roman" w:cs="Times New Roman"/>
                <w:bCs/>
                <w:sz w:val="24"/>
                <w:szCs w:val="24"/>
              </w:rPr>
            </w:pP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75DAA" w14:textId="4FA92FD3" w:rsidR="00DF6464" w:rsidRPr="00CA167A" w:rsidRDefault="00DF6464" w:rsidP="00CA167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en-US"/>
              </w:rPr>
              <w:t>n</w:t>
            </w:r>
            <w:r>
              <w:rPr>
                <w:rFonts w:ascii="Times New Roman" w:hAnsi="Times New Roman" w:cs="Times New Roman"/>
                <w:bCs/>
                <w:sz w:val="24"/>
                <w:szCs w:val="24"/>
                <w:vertAlign w:val="superscript"/>
              </w:rPr>
              <w:t>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612584" w14:textId="77777777" w:rsidR="00DF6464" w:rsidRPr="008779D0" w:rsidRDefault="00DF6464" w:rsidP="0069396B">
            <w:pPr>
              <w:spacing w:after="0" w:line="240" w:lineRule="auto"/>
              <w:jc w:val="center"/>
              <w:rPr>
                <w:rFonts w:ascii="Times New Roman" w:hAnsi="Times New Roman" w:cs="Times New Roman"/>
                <w:bCs/>
                <w:sz w:val="24"/>
                <w:szCs w:val="24"/>
              </w:rPr>
            </w:pPr>
            <w:r w:rsidRPr="008779D0">
              <w:rPr>
                <w:rFonts w:ascii="Times New Roman" w:hAnsi="Times New Roman" w:cs="Times New Roman"/>
                <w:bCs/>
                <w:sz w:val="24"/>
                <w:szCs w:val="24"/>
              </w:rPr>
              <w:t>%</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8FBDE" w14:textId="17194409" w:rsidR="00DF6464" w:rsidRPr="008779D0" w:rsidRDefault="00DF6464" w:rsidP="0069396B">
            <w:pPr>
              <w:spacing w:after="0" w:line="240" w:lineRule="auto"/>
              <w:jc w:val="center"/>
              <w:rPr>
                <w:rFonts w:ascii="Times New Roman" w:hAnsi="Times New Roman" w:cs="Times New Roman"/>
                <w:bCs/>
                <w:sz w:val="24"/>
                <w:szCs w:val="24"/>
                <w:lang w:val="en-US"/>
              </w:rPr>
            </w:pPr>
            <w:r w:rsidRPr="008779D0">
              <w:rPr>
                <w:rFonts w:ascii="Times New Roman" w:hAnsi="Times New Roman" w:cs="Times New Roman"/>
                <w:bCs/>
                <w:sz w:val="24"/>
                <w:szCs w:val="24"/>
              </w:rPr>
              <w:t>95% ДИ</w:t>
            </w:r>
            <w:r>
              <w:rPr>
                <w:rFonts w:ascii="Times New Roman" w:hAnsi="Times New Roman" w:cs="Times New Roman"/>
                <w:bCs/>
                <w:sz w:val="24"/>
                <w:szCs w:val="24"/>
                <w:vertAlign w:val="superscript"/>
                <w:lang w:val="en-US"/>
              </w:rPr>
              <w:t>3</w:t>
            </w:r>
          </w:p>
        </w:tc>
        <w:tc>
          <w:tcPr>
            <w:tcW w:w="744" w:type="dxa"/>
            <w:tcBorders>
              <w:top w:val="single" w:sz="4" w:space="0" w:color="auto"/>
              <w:left w:val="single" w:sz="4" w:space="0" w:color="auto"/>
              <w:bottom w:val="single" w:sz="4" w:space="0" w:color="auto"/>
              <w:right w:val="single" w:sz="4" w:space="0" w:color="auto"/>
            </w:tcBorders>
            <w:vAlign w:val="bottom"/>
          </w:tcPr>
          <w:p w14:paraId="3D132EFE" w14:textId="77777777" w:rsidR="00DF6464" w:rsidRPr="008779D0" w:rsidRDefault="00DF6464" w:rsidP="0069396B">
            <w:pPr>
              <w:spacing w:after="0" w:line="240" w:lineRule="auto"/>
              <w:jc w:val="center"/>
              <w:rPr>
                <w:rFonts w:ascii="Times New Roman" w:hAnsi="Times New Roman" w:cs="Times New Roman"/>
                <w:bCs/>
                <w:sz w:val="24"/>
                <w:szCs w:val="24"/>
              </w:rPr>
            </w:pPr>
            <w:r w:rsidRPr="008779D0">
              <w:rPr>
                <w:rFonts w:ascii="Times New Roman" w:hAnsi="Times New Roman" w:cs="Times New Roman"/>
                <w:bCs/>
                <w:sz w:val="24"/>
                <w:szCs w:val="24"/>
              </w:rPr>
              <w:t>n</w:t>
            </w:r>
          </w:p>
        </w:tc>
        <w:tc>
          <w:tcPr>
            <w:tcW w:w="868" w:type="dxa"/>
            <w:tcBorders>
              <w:top w:val="single" w:sz="4" w:space="0" w:color="auto"/>
              <w:left w:val="single" w:sz="4" w:space="0" w:color="auto"/>
              <w:bottom w:val="single" w:sz="4" w:space="0" w:color="auto"/>
              <w:right w:val="single" w:sz="4" w:space="0" w:color="auto"/>
            </w:tcBorders>
            <w:vAlign w:val="bottom"/>
          </w:tcPr>
          <w:p w14:paraId="23FE9AB8" w14:textId="77777777" w:rsidR="00DF6464" w:rsidRPr="008779D0" w:rsidRDefault="00DF6464" w:rsidP="0069396B">
            <w:pPr>
              <w:spacing w:after="0" w:line="240" w:lineRule="auto"/>
              <w:jc w:val="center"/>
              <w:rPr>
                <w:rFonts w:ascii="Times New Roman" w:hAnsi="Times New Roman" w:cs="Times New Roman"/>
                <w:bCs/>
                <w:sz w:val="24"/>
                <w:szCs w:val="24"/>
              </w:rPr>
            </w:pPr>
            <w:r w:rsidRPr="008779D0">
              <w:rPr>
                <w:rFonts w:ascii="Times New Roman" w:hAnsi="Times New Roman" w:cs="Times New Roman"/>
                <w:bCs/>
                <w:sz w:val="24"/>
                <w:szCs w:val="24"/>
              </w:rPr>
              <w:t>%</w:t>
            </w:r>
          </w:p>
        </w:tc>
        <w:tc>
          <w:tcPr>
            <w:tcW w:w="1240" w:type="dxa"/>
            <w:tcBorders>
              <w:top w:val="single" w:sz="4" w:space="0" w:color="auto"/>
              <w:left w:val="single" w:sz="4" w:space="0" w:color="auto"/>
              <w:bottom w:val="single" w:sz="4" w:space="0" w:color="auto"/>
              <w:right w:val="single" w:sz="4" w:space="0" w:color="auto"/>
            </w:tcBorders>
            <w:vAlign w:val="bottom"/>
          </w:tcPr>
          <w:p w14:paraId="79825384" w14:textId="77777777" w:rsidR="00DF6464" w:rsidRPr="008779D0" w:rsidRDefault="00DF6464" w:rsidP="0069396B">
            <w:pPr>
              <w:spacing w:after="0" w:line="240" w:lineRule="auto"/>
              <w:jc w:val="center"/>
              <w:rPr>
                <w:rFonts w:ascii="Times New Roman" w:hAnsi="Times New Roman" w:cs="Times New Roman"/>
                <w:bCs/>
                <w:sz w:val="24"/>
                <w:szCs w:val="24"/>
              </w:rPr>
            </w:pPr>
            <w:r w:rsidRPr="008779D0">
              <w:rPr>
                <w:rFonts w:ascii="Times New Roman" w:hAnsi="Times New Roman" w:cs="Times New Roman"/>
                <w:bCs/>
                <w:sz w:val="24"/>
                <w:szCs w:val="24"/>
              </w:rPr>
              <w:t>95% ДИ</w:t>
            </w:r>
          </w:p>
        </w:tc>
        <w:tc>
          <w:tcPr>
            <w:tcW w:w="897" w:type="dxa"/>
            <w:vMerge/>
            <w:tcBorders>
              <w:left w:val="single" w:sz="4" w:space="0" w:color="auto"/>
              <w:bottom w:val="single" w:sz="4" w:space="0" w:color="auto"/>
              <w:right w:val="single" w:sz="4" w:space="0" w:color="auto"/>
            </w:tcBorders>
          </w:tcPr>
          <w:p w14:paraId="0F99D48F" w14:textId="77777777" w:rsidR="00DF6464" w:rsidRPr="008779D0" w:rsidRDefault="00DF6464" w:rsidP="0069396B">
            <w:pPr>
              <w:spacing w:after="0" w:line="240" w:lineRule="auto"/>
              <w:jc w:val="center"/>
              <w:rPr>
                <w:rFonts w:ascii="Times New Roman" w:hAnsi="Times New Roman" w:cs="Times New Roman"/>
                <w:bCs/>
                <w:sz w:val="24"/>
                <w:szCs w:val="24"/>
              </w:rPr>
            </w:pPr>
          </w:p>
        </w:tc>
        <w:tc>
          <w:tcPr>
            <w:tcW w:w="898" w:type="dxa"/>
            <w:vMerge/>
            <w:tcBorders>
              <w:left w:val="single" w:sz="4" w:space="0" w:color="auto"/>
              <w:bottom w:val="single" w:sz="4" w:space="0" w:color="auto"/>
              <w:right w:val="single" w:sz="4" w:space="0" w:color="auto"/>
            </w:tcBorders>
          </w:tcPr>
          <w:p w14:paraId="7BDB68BC" w14:textId="7BC354D1" w:rsidR="00DF6464" w:rsidRPr="008779D0" w:rsidRDefault="00DF6464" w:rsidP="0069396B">
            <w:pPr>
              <w:spacing w:after="0" w:line="240" w:lineRule="auto"/>
              <w:jc w:val="center"/>
              <w:rPr>
                <w:rFonts w:ascii="Times New Roman" w:hAnsi="Times New Roman" w:cs="Times New Roman"/>
                <w:bCs/>
                <w:sz w:val="24"/>
                <w:szCs w:val="24"/>
              </w:rPr>
            </w:pPr>
          </w:p>
        </w:tc>
      </w:tr>
      <w:tr w:rsidR="00DF6464" w:rsidRPr="004804AA" w14:paraId="6983825B" w14:textId="2B4DDE8C" w:rsidTr="00F36CAD">
        <w:trPr>
          <w:trHeight w:val="272"/>
          <w:jc w:val="center"/>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D75A4" w14:textId="77777777"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Без нарушений рефракции</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FEAD"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846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147A"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68,7%</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F8029"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66,1-71,</w:t>
            </w:r>
            <w:r w:rsidRPr="008779D0">
              <w:rPr>
                <w:rFonts w:ascii="Times New Roman" w:hAnsi="Times New Roman" w:cs="Times New Roman"/>
                <w:sz w:val="24"/>
                <w:szCs w:val="24"/>
                <w:lang w:val="en-US"/>
              </w:rPr>
              <w:t>3</w:t>
            </w:r>
          </w:p>
        </w:tc>
        <w:tc>
          <w:tcPr>
            <w:tcW w:w="744" w:type="dxa"/>
            <w:tcBorders>
              <w:top w:val="single" w:sz="4" w:space="0" w:color="auto"/>
              <w:left w:val="single" w:sz="4" w:space="0" w:color="auto"/>
              <w:bottom w:val="single" w:sz="4" w:space="0" w:color="auto"/>
              <w:right w:val="single" w:sz="4" w:space="0" w:color="auto"/>
            </w:tcBorders>
            <w:vAlign w:val="center"/>
          </w:tcPr>
          <w:p w14:paraId="7EF477D6"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722</w:t>
            </w:r>
          </w:p>
        </w:tc>
        <w:tc>
          <w:tcPr>
            <w:tcW w:w="868" w:type="dxa"/>
            <w:tcBorders>
              <w:top w:val="single" w:sz="4" w:space="0" w:color="auto"/>
              <w:left w:val="single" w:sz="4" w:space="0" w:color="auto"/>
              <w:bottom w:val="single" w:sz="4" w:space="0" w:color="auto"/>
              <w:right w:val="single" w:sz="4" w:space="0" w:color="auto"/>
            </w:tcBorders>
            <w:vAlign w:val="center"/>
          </w:tcPr>
          <w:p w14:paraId="03A64FDF"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68,0%</w:t>
            </w:r>
          </w:p>
        </w:tc>
        <w:tc>
          <w:tcPr>
            <w:tcW w:w="1240" w:type="dxa"/>
            <w:tcBorders>
              <w:top w:val="single" w:sz="4" w:space="0" w:color="auto"/>
              <w:left w:val="single" w:sz="4" w:space="0" w:color="auto"/>
              <w:bottom w:val="single" w:sz="4" w:space="0" w:color="auto"/>
              <w:right w:val="single" w:sz="4" w:space="0" w:color="auto"/>
            </w:tcBorders>
            <w:vAlign w:val="center"/>
          </w:tcPr>
          <w:p w14:paraId="1E52CCB2"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65,</w:t>
            </w:r>
            <w:r w:rsidRPr="008779D0">
              <w:rPr>
                <w:rFonts w:ascii="Times New Roman" w:hAnsi="Times New Roman" w:cs="Times New Roman"/>
                <w:sz w:val="24"/>
                <w:szCs w:val="24"/>
                <w:lang w:val="en-US"/>
              </w:rPr>
              <w:t>2</w:t>
            </w:r>
            <w:r w:rsidRPr="008779D0">
              <w:rPr>
                <w:rFonts w:ascii="Times New Roman" w:hAnsi="Times New Roman" w:cs="Times New Roman"/>
                <w:sz w:val="24"/>
                <w:szCs w:val="24"/>
              </w:rPr>
              <w:t>-70,8</w:t>
            </w:r>
          </w:p>
        </w:tc>
        <w:tc>
          <w:tcPr>
            <w:tcW w:w="897" w:type="dxa"/>
            <w:tcBorders>
              <w:top w:val="single" w:sz="4" w:space="0" w:color="auto"/>
              <w:left w:val="single" w:sz="4" w:space="0" w:color="auto"/>
              <w:bottom w:val="single" w:sz="4" w:space="0" w:color="auto"/>
              <w:right w:val="single" w:sz="4" w:space="0" w:color="auto"/>
            </w:tcBorders>
            <w:vAlign w:val="center"/>
          </w:tcPr>
          <w:p w14:paraId="049219D3" w14:textId="5EA585BE" w:rsidR="00DF6464" w:rsidRDefault="00DF6464" w:rsidP="00D37A5A">
            <w:pPr>
              <w:spacing w:after="0" w:line="240" w:lineRule="auto"/>
              <w:jc w:val="center"/>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655F6A36" w14:textId="70F2B1B6" w:rsidR="00DF6464" w:rsidRPr="008779D0" w:rsidRDefault="00DF6464" w:rsidP="00D37A5A">
            <w:pPr>
              <w:spacing w:after="0" w:line="240" w:lineRule="auto"/>
              <w:jc w:val="center"/>
              <w:rPr>
                <w:rFonts w:ascii="Times New Roman" w:hAnsi="Times New Roman" w:cs="Times New Roman"/>
                <w:sz w:val="24"/>
                <w:szCs w:val="24"/>
              </w:rPr>
            </w:pPr>
          </w:p>
        </w:tc>
      </w:tr>
      <w:tr w:rsidR="00DF6464" w:rsidRPr="004804AA" w14:paraId="251CB849" w14:textId="187A9327" w:rsidTr="00F36CAD">
        <w:trPr>
          <w:trHeight w:val="544"/>
          <w:jc w:val="center"/>
        </w:trPr>
        <w:tc>
          <w:tcPr>
            <w:tcW w:w="1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CD803" w14:textId="77777777"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Нарушения рефракции</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7EE10"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385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C922"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31,3%</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4F7B7"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28,7-33,9</w:t>
            </w:r>
          </w:p>
        </w:tc>
        <w:tc>
          <w:tcPr>
            <w:tcW w:w="744" w:type="dxa"/>
            <w:tcBorders>
              <w:top w:val="single" w:sz="4" w:space="0" w:color="auto"/>
              <w:left w:val="single" w:sz="4" w:space="0" w:color="auto"/>
              <w:bottom w:val="single" w:sz="4" w:space="0" w:color="auto"/>
              <w:right w:val="single" w:sz="4" w:space="0" w:color="auto"/>
            </w:tcBorders>
            <w:vAlign w:val="center"/>
          </w:tcPr>
          <w:p w14:paraId="18E00392"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340</w:t>
            </w:r>
          </w:p>
        </w:tc>
        <w:tc>
          <w:tcPr>
            <w:tcW w:w="868" w:type="dxa"/>
            <w:tcBorders>
              <w:top w:val="single" w:sz="4" w:space="0" w:color="auto"/>
              <w:left w:val="single" w:sz="4" w:space="0" w:color="auto"/>
              <w:bottom w:val="single" w:sz="4" w:space="0" w:color="auto"/>
              <w:right w:val="single" w:sz="4" w:space="0" w:color="auto"/>
            </w:tcBorders>
            <w:vAlign w:val="center"/>
          </w:tcPr>
          <w:p w14:paraId="64F5B494"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32,0%</w:t>
            </w:r>
          </w:p>
        </w:tc>
        <w:tc>
          <w:tcPr>
            <w:tcW w:w="1240" w:type="dxa"/>
            <w:tcBorders>
              <w:top w:val="single" w:sz="4" w:space="0" w:color="auto"/>
              <w:left w:val="single" w:sz="4" w:space="0" w:color="auto"/>
              <w:bottom w:val="single" w:sz="4" w:space="0" w:color="auto"/>
              <w:right w:val="single" w:sz="4" w:space="0" w:color="auto"/>
            </w:tcBorders>
            <w:vAlign w:val="center"/>
          </w:tcPr>
          <w:p w14:paraId="411D88FA"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29,</w:t>
            </w:r>
            <w:r w:rsidRPr="008779D0">
              <w:rPr>
                <w:rFonts w:ascii="Times New Roman" w:hAnsi="Times New Roman" w:cs="Times New Roman"/>
                <w:sz w:val="24"/>
                <w:szCs w:val="24"/>
                <w:lang w:val="en-US"/>
              </w:rPr>
              <w:t>2</w:t>
            </w:r>
            <w:r w:rsidRPr="008779D0">
              <w:rPr>
                <w:rFonts w:ascii="Times New Roman" w:hAnsi="Times New Roman" w:cs="Times New Roman"/>
                <w:sz w:val="24"/>
                <w:szCs w:val="24"/>
              </w:rPr>
              <w:t>-34,8</w:t>
            </w:r>
          </w:p>
        </w:tc>
        <w:tc>
          <w:tcPr>
            <w:tcW w:w="897" w:type="dxa"/>
            <w:tcBorders>
              <w:top w:val="single" w:sz="4" w:space="0" w:color="auto"/>
              <w:left w:val="single" w:sz="4" w:space="0" w:color="auto"/>
              <w:bottom w:val="single" w:sz="4" w:space="0" w:color="auto"/>
              <w:right w:val="single" w:sz="4" w:space="0" w:color="auto"/>
            </w:tcBorders>
            <w:vAlign w:val="center"/>
          </w:tcPr>
          <w:p w14:paraId="2A1A5C4C" w14:textId="0F08B4F3" w:rsidR="00DF6464" w:rsidRDefault="00E97395" w:rsidP="00D37A5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0,144</w:t>
            </w:r>
          </w:p>
        </w:tc>
        <w:tc>
          <w:tcPr>
            <w:tcW w:w="898" w:type="dxa"/>
            <w:tcBorders>
              <w:top w:val="single" w:sz="4" w:space="0" w:color="auto"/>
              <w:left w:val="single" w:sz="4" w:space="0" w:color="auto"/>
              <w:bottom w:val="single" w:sz="4" w:space="0" w:color="auto"/>
              <w:right w:val="single" w:sz="4" w:space="0" w:color="auto"/>
            </w:tcBorders>
            <w:vAlign w:val="center"/>
          </w:tcPr>
          <w:p w14:paraId="316C0A79" w14:textId="73F571C4" w:rsidR="00DF6464" w:rsidRPr="008779D0" w:rsidRDefault="00DF6464" w:rsidP="00D37A5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0,704</w:t>
            </w:r>
          </w:p>
        </w:tc>
      </w:tr>
      <w:tr w:rsidR="00DF6464" w:rsidRPr="004804AA" w14:paraId="30DA01B9" w14:textId="18DA8C7E" w:rsidTr="00F36CAD">
        <w:trPr>
          <w:trHeight w:val="272"/>
          <w:jc w:val="center"/>
        </w:trPr>
        <w:tc>
          <w:tcPr>
            <w:tcW w:w="1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69DB6" w14:textId="642C18CE"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sidRPr="008779D0">
              <w:rPr>
                <w:rFonts w:ascii="Times New Roman" w:hAnsi="Times New Roman" w:cs="Times New Roman"/>
                <w:bCs/>
                <w:sz w:val="24"/>
                <w:szCs w:val="24"/>
              </w:rPr>
              <w:t>миопия</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D3D1D"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339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4DE4"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27,5%</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EDAD4"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25,0-</w:t>
            </w:r>
            <w:r w:rsidRPr="008779D0">
              <w:rPr>
                <w:rFonts w:ascii="Times New Roman" w:hAnsi="Times New Roman" w:cs="Times New Roman"/>
                <w:sz w:val="24"/>
                <w:szCs w:val="24"/>
                <w:lang w:val="en-US"/>
              </w:rPr>
              <w:t>30</w:t>
            </w:r>
            <w:r w:rsidRPr="008779D0">
              <w:rPr>
                <w:rFonts w:ascii="Times New Roman" w:hAnsi="Times New Roman" w:cs="Times New Roman"/>
                <w:sz w:val="24"/>
                <w:szCs w:val="24"/>
              </w:rPr>
              <w:t>,</w:t>
            </w:r>
            <w:r w:rsidRPr="008779D0">
              <w:rPr>
                <w:rFonts w:ascii="Times New Roman" w:hAnsi="Times New Roman" w:cs="Times New Roman"/>
                <w:sz w:val="24"/>
                <w:szCs w:val="24"/>
                <w:lang w:val="en-US"/>
              </w:rPr>
              <w:t>0</w:t>
            </w:r>
          </w:p>
        </w:tc>
        <w:tc>
          <w:tcPr>
            <w:tcW w:w="744" w:type="dxa"/>
            <w:tcBorders>
              <w:top w:val="single" w:sz="4" w:space="0" w:color="auto"/>
              <w:left w:val="single" w:sz="4" w:space="0" w:color="auto"/>
              <w:bottom w:val="single" w:sz="4" w:space="0" w:color="auto"/>
              <w:right w:val="single" w:sz="4" w:space="0" w:color="auto"/>
            </w:tcBorders>
            <w:vAlign w:val="center"/>
          </w:tcPr>
          <w:p w14:paraId="526DB6EE"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309</w:t>
            </w:r>
          </w:p>
        </w:tc>
        <w:tc>
          <w:tcPr>
            <w:tcW w:w="868" w:type="dxa"/>
            <w:tcBorders>
              <w:top w:val="single" w:sz="4" w:space="0" w:color="auto"/>
              <w:left w:val="single" w:sz="4" w:space="0" w:color="auto"/>
              <w:bottom w:val="single" w:sz="4" w:space="0" w:color="auto"/>
              <w:right w:val="single" w:sz="4" w:space="0" w:color="auto"/>
            </w:tcBorders>
            <w:vAlign w:val="center"/>
          </w:tcPr>
          <w:p w14:paraId="560F9FFA"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29,1%</w:t>
            </w:r>
          </w:p>
        </w:tc>
        <w:tc>
          <w:tcPr>
            <w:tcW w:w="1240" w:type="dxa"/>
            <w:tcBorders>
              <w:top w:val="single" w:sz="4" w:space="0" w:color="auto"/>
              <w:left w:val="single" w:sz="4" w:space="0" w:color="auto"/>
              <w:bottom w:val="single" w:sz="4" w:space="0" w:color="auto"/>
              <w:right w:val="single" w:sz="4" w:space="0" w:color="auto"/>
            </w:tcBorders>
            <w:vAlign w:val="center"/>
          </w:tcPr>
          <w:p w14:paraId="307919A8"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26,</w:t>
            </w:r>
            <w:r w:rsidRPr="008779D0">
              <w:rPr>
                <w:rFonts w:ascii="Times New Roman" w:hAnsi="Times New Roman" w:cs="Times New Roman"/>
                <w:sz w:val="24"/>
                <w:szCs w:val="24"/>
                <w:lang w:val="en-US"/>
              </w:rPr>
              <w:t>4</w:t>
            </w:r>
            <w:r w:rsidRPr="008779D0">
              <w:rPr>
                <w:rFonts w:ascii="Times New Roman" w:hAnsi="Times New Roman" w:cs="Times New Roman"/>
                <w:sz w:val="24"/>
                <w:szCs w:val="24"/>
              </w:rPr>
              <w:t>-31,8</w:t>
            </w:r>
          </w:p>
        </w:tc>
        <w:tc>
          <w:tcPr>
            <w:tcW w:w="897" w:type="dxa"/>
            <w:tcBorders>
              <w:top w:val="single" w:sz="4" w:space="0" w:color="auto"/>
              <w:left w:val="single" w:sz="4" w:space="0" w:color="auto"/>
              <w:bottom w:val="single" w:sz="4" w:space="0" w:color="auto"/>
              <w:right w:val="single" w:sz="4" w:space="0" w:color="auto"/>
            </w:tcBorders>
            <w:vAlign w:val="center"/>
          </w:tcPr>
          <w:p w14:paraId="3311840A" w14:textId="3C7B8526" w:rsidR="00DF6464" w:rsidRDefault="00E97395" w:rsidP="00D37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0,495</w:t>
            </w:r>
          </w:p>
        </w:tc>
        <w:tc>
          <w:tcPr>
            <w:tcW w:w="898" w:type="dxa"/>
            <w:tcBorders>
              <w:top w:val="single" w:sz="4" w:space="0" w:color="auto"/>
              <w:left w:val="single" w:sz="4" w:space="0" w:color="auto"/>
              <w:bottom w:val="single" w:sz="4" w:space="0" w:color="auto"/>
              <w:right w:val="single" w:sz="4" w:space="0" w:color="auto"/>
            </w:tcBorders>
            <w:vAlign w:val="center"/>
          </w:tcPr>
          <w:p w14:paraId="134C6AA9" w14:textId="50539F42" w:rsidR="00DF6464" w:rsidRPr="008779D0" w:rsidRDefault="00DF6464" w:rsidP="00D37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0,482</w:t>
            </w:r>
          </w:p>
        </w:tc>
      </w:tr>
      <w:tr w:rsidR="00DF6464" w:rsidRPr="004804AA" w14:paraId="299C2C3B" w14:textId="75A4814D" w:rsidTr="00F36CAD">
        <w:trPr>
          <w:trHeight w:val="272"/>
          <w:jc w:val="center"/>
        </w:trPr>
        <w:tc>
          <w:tcPr>
            <w:tcW w:w="1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80D8D2" w14:textId="0AC08C54"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sidRPr="008779D0">
              <w:rPr>
                <w:rFonts w:ascii="Times New Roman" w:hAnsi="Times New Roman" w:cs="Times New Roman"/>
                <w:bCs/>
                <w:sz w:val="24"/>
                <w:szCs w:val="24"/>
              </w:rPr>
              <w:t>гиперметропия</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AB620"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A831"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3,7%</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2CFB"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w:t>
            </w:r>
            <w:r w:rsidRPr="008779D0">
              <w:rPr>
                <w:rFonts w:ascii="Times New Roman" w:hAnsi="Times New Roman" w:cs="Times New Roman"/>
                <w:sz w:val="24"/>
                <w:szCs w:val="24"/>
                <w:lang w:val="en-US"/>
              </w:rPr>
              <w:t>7</w:t>
            </w:r>
            <w:r w:rsidRPr="008779D0">
              <w:rPr>
                <w:rFonts w:ascii="Times New Roman" w:hAnsi="Times New Roman" w:cs="Times New Roman"/>
                <w:sz w:val="24"/>
                <w:szCs w:val="24"/>
              </w:rPr>
              <w:t>-4,</w:t>
            </w:r>
            <w:r w:rsidRPr="008779D0">
              <w:rPr>
                <w:rFonts w:ascii="Times New Roman" w:hAnsi="Times New Roman" w:cs="Times New Roman"/>
                <w:sz w:val="24"/>
                <w:szCs w:val="24"/>
                <w:lang w:val="en-US"/>
              </w:rPr>
              <w:t>8</w:t>
            </w:r>
          </w:p>
        </w:tc>
        <w:tc>
          <w:tcPr>
            <w:tcW w:w="744" w:type="dxa"/>
            <w:tcBorders>
              <w:top w:val="single" w:sz="4" w:space="0" w:color="auto"/>
              <w:left w:val="single" w:sz="4" w:space="0" w:color="auto"/>
              <w:bottom w:val="single" w:sz="4" w:space="0" w:color="auto"/>
              <w:right w:val="single" w:sz="4" w:space="0" w:color="auto"/>
            </w:tcBorders>
            <w:vAlign w:val="center"/>
          </w:tcPr>
          <w:p w14:paraId="20E8501C"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31</w:t>
            </w:r>
          </w:p>
        </w:tc>
        <w:tc>
          <w:tcPr>
            <w:tcW w:w="868" w:type="dxa"/>
            <w:tcBorders>
              <w:top w:val="single" w:sz="4" w:space="0" w:color="auto"/>
              <w:left w:val="single" w:sz="4" w:space="0" w:color="auto"/>
              <w:bottom w:val="single" w:sz="4" w:space="0" w:color="auto"/>
              <w:right w:val="single" w:sz="4" w:space="0" w:color="auto"/>
            </w:tcBorders>
            <w:vAlign w:val="center"/>
          </w:tcPr>
          <w:p w14:paraId="0B55FB1F"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2,9%</w:t>
            </w:r>
          </w:p>
        </w:tc>
        <w:tc>
          <w:tcPr>
            <w:tcW w:w="1240" w:type="dxa"/>
            <w:tcBorders>
              <w:top w:val="single" w:sz="4" w:space="0" w:color="auto"/>
              <w:left w:val="single" w:sz="4" w:space="0" w:color="auto"/>
              <w:bottom w:val="single" w:sz="4" w:space="0" w:color="auto"/>
              <w:right w:val="single" w:sz="4" w:space="0" w:color="auto"/>
            </w:tcBorders>
            <w:vAlign w:val="center"/>
          </w:tcPr>
          <w:p w14:paraId="7C8F8988"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1,9-3,9</w:t>
            </w:r>
          </w:p>
        </w:tc>
        <w:tc>
          <w:tcPr>
            <w:tcW w:w="897" w:type="dxa"/>
            <w:tcBorders>
              <w:top w:val="single" w:sz="4" w:space="0" w:color="auto"/>
              <w:left w:val="single" w:sz="4" w:space="0" w:color="auto"/>
              <w:bottom w:val="single" w:sz="4" w:space="0" w:color="auto"/>
              <w:right w:val="single" w:sz="4" w:space="0" w:color="auto"/>
            </w:tcBorders>
            <w:vAlign w:val="center"/>
          </w:tcPr>
          <w:p w14:paraId="116FC746" w14:textId="051ABC0C" w:rsidR="00DF6464" w:rsidRDefault="00E97395" w:rsidP="00D37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898" w:type="dxa"/>
            <w:tcBorders>
              <w:top w:val="single" w:sz="4" w:space="0" w:color="auto"/>
              <w:left w:val="single" w:sz="4" w:space="0" w:color="auto"/>
              <w:bottom w:val="single" w:sz="4" w:space="0" w:color="auto"/>
              <w:right w:val="single" w:sz="4" w:space="0" w:color="auto"/>
            </w:tcBorders>
            <w:vAlign w:val="center"/>
          </w:tcPr>
          <w:p w14:paraId="430151BF" w14:textId="42033E09" w:rsidR="00DF6464" w:rsidRPr="008779D0" w:rsidRDefault="00DF6464" w:rsidP="00D37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0,320</w:t>
            </w:r>
          </w:p>
        </w:tc>
      </w:tr>
      <w:tr w:rsidR="00DF6464" w:rsidRPr="004804AA" w14:paraId="6A063095" w14:textId="24A9E015" w:rsidTr="00F36CAD">
        <w:trPr>
          <w:trHeight w:val="272"/>
          <w:jc w:val="center"/>
        </w:trPr>
        <w:tc>
          <w:tcPr>
            <w:tcW w:w="1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5996CB" w14:textId="17D41ECD" w:rsidR="00DF6464" w:rsidRPr="008779D0" w:rsidRDefault="00DF6464" w:rsidP="0069396B">
            <w:pPr>
              <w:spacing w:after="0" w:line="240" w:lineRule="auto"/>
              <w:rPr>
                <w:rFonts w:ascii="Times New Roman" w:hAnsi="Times New Roman" w:cs="Times New Roman"/>
                <w:bCs/>
                <w:sz w:val="24"/>
                <w:szCs w:val="24"/>
              </w:rPr>
            </w:pPr>
            <w:r w:rsidRPr="008779D0">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sidRPr="008779D0">
              <w:rPr>
                <w:rFonts w:ascii="Times New Roman" w:hAnsi="Times New Roman" w:cs="Times New Roman"/>
                <w:bCs/>
                <w:sz w:val="24"/>
                <w:szCs w:val="24"/>
              </w:rPr>
              <w:t>астигматизм</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CEE6"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35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02FA3"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2,8%</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05137"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1,</w:t>
            </w:r>
            <w:r w:rsidRPr="008779D0">
              <w:rPr>
                <w:rFonts w:ascii="Times New Roman" w:hAnsi="Times New Roman" w:cs="Times New Roman"/>
                <w:sz w:val="24"/>
                <w:szCs w:val="24"/>
                <w:lang w:val="en-US"/>
              </w:rPr>
              <w:t>9</w:t>
            </w:r>
            <w:r w:rsidRPr="008779D0">
              <w:rPr>
                <w:rFonts w:ascii="Times New Roman" w:hAnsi="Times New Roman" w:cs="Times New Roman"/>
                <w:sz w:val="24"/>
                <w:szCs w:val="24"/>
              </w:rPr>
              <w:t>-3,7</w:t>
            </w:r>
          </w:p>
        </w:tc>
        <w:tc>
          <w:tcPr>
            <w:tcW w:w="744" w:type="dxa"/>
            <w:tcBorders>
              <w:top w:val="single" w:sz="4" w:space="0" w:color="auto"/>
              <w:left w:val="single" w:sz="4" w:space="0" w:color="auto"/>
              <w:bottom w:val="single" w:sz="4" w:space="0" w:color="auto"/>
              <w:right w:val="single" w:sz="4" w:space="0" w:color="auto"/>
            </w:tcBorders>
            <w:vAlign w:val="center"/>
          </w:tcPr>
          <w:p w14:paraId="2C886C05"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29</w:t>
            </w:r>
          </w:p>
        </w:tc>
        <w:tc>
          <w:tcPr>
            <w:tcW w:w="868" w:type="dxa"/>
            <w:tcBorders>
              <w:top w:val="single" w:sz="4" w:space="0" w:color="auto"/>
              <w:left w:val="single" w:sz="4" w:space="0" w:color="auto"/>
              <w:bottom w:val="single" w:sz="4" w:space="0" w:color="auto"/>
              <w:right w:val="single" w:sz="4" w:space="0" w:color="auto"/>
            </w:tcBorders>
            <w:vAlign w:val="center"/>
          </w:tcPr>
          <w:p w14:paraId="08A4C8C5"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2,7%</w:t>
            </w:r>
          </w:p>
        </w:tc>
        <w:tc>
          <w:tcPr>
            <w:tcW w:w="1240" w:type="dxa"/>
            <w:tcBorders>
              <w:top w:val="single" w:sz="4" w:space="0" w:color="auto"/>
              <w:left w:val="single" w:sz="4" w:space="0" w:color="auto"/>
              <w:bottom w:val="single" w:sz="4" w:space="0" w:color="auto"/>
              <w:right w:val="single" w:sz="4" w:space="0" w:color="auto"/>
            </w:tcBorders>
            <w:vAlign w:val="center"/>
          </w:tcPr>
          <w:p w14:paraId="34B6F5F3" w14:textId="77777777" w:rsidR="00DF6464" w:rsidRPr="008779D0" w:rsidRDefault="00DF6464" w:rsidP="008E69B6">
            <w:pPr>
              <w:spacing w:after="0" w:line="240" w:lineRule="auto"/>
              <w:jc w:val="center"/>
              <w:rPr>
                <w:rFonts w:ascii="Times New Roman" w:hAnsi="Times New Roman" w:cs="Times New Roman"/>
                <w:sz w:val="24"/>
                <w:szCs w:val="24"/>
              </w:rPr>
            </w:pPr>
            <w:r w:rsidRPr="008779D0">
              <w:rPr>
                <w:rFonts w:ascii="Times New Roman" w:hAnsi="Times New Roman" w:cs="Times New Roman"/>
                <w:sz w:val="24"/>
                <w:szCs w:val="24"/>
              </w:rPr>
              <w:t>1,7-3,7</w:t>
            </w:r>
          </w:p>
        </w:tc>
        <w:tc>
          <w:tcPr>
            <w:tcW w:w="897" w:type="dxa"/>
            <w:tcBorders>
              <w:top w:val="single" w:sz="4" w:space="0" w:color="auto"/>
              <w:left w:val="single" w:sz="4" w:space="0" w:color="auto"/>
              <w:bottom w:val="single" w:sz="4" w:space="0" w:color="auto"/>
              <w:right w:val="single" w:sz="4" w:space="0" w:color="auto"/>
            </w:tcBorders>
          </w:tcPr>
          <w:p w14:paraId="1416BD32" w14:textId="5C4E54C0" w:rsidR="00DF6464" w:rsidRDefault="00D37A5A" w:rsidP="008E69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w:t>
            </w:r>
          </w:p>
        </w:tc>
        <w:tc>
          <w:tcPr>
            <w:tcW w:w="898" w:type="dxa"/>
            <w:tcBorders>
              <w:top w:val="single" w:sz="4" w:space="0" w:color="auto"/>
              <w:left w:val="single" w:sz="4" w:space="0" w:color="auto"/>
              <w:bottom w:val="single" w:sz="4" w:space="0" w:color="auto"/>
              <w:right w:val="single" w:sz="4" w:space="0" w:color="auto"/>
            </w:tcBorders>
            <w:vAlign w:val="center"/>
          </w:tcPr>
          <w:p w14:paraId="24065B59" w14:textId="083C8068" w:rsidR="00DF6464" w:rsidRPr="008779D0" w:rsidRDefault="00DF6464" w:rsidP="008E69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0,908</w:t>
            </w:r>
          </w:p>
        </w:tc>
      </w:tr>
      <w:tr w:rsidR="00BD65A9" w:rsidRPr="004804AA" w14:paraId="56FBC2AC" w14:textId="22EB3761" w:rsidTr="00F36CAD">
        <w:trPr>
          <w:trHeight w:val="272"/>
          <w:jc w:val="center"/>
        </w:trPr>
        <w:tc>
          <w:tcPr>
            <w:tcW w:w="998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14:paraId="7EDF43F6" w14:textId="77777777" w:rsidR="00BD65A9" w:rsidRDefault="00BD65A9" w:rsidP="00C86A0F">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563F2E46" w14:textId="77777777" w:rsidR="00BD65A9" w:rsidRPr="00CA167A" w:rsidRDefault="00BD65A9" w:rsidP="00C86A0F">
            <w:pPr>
              <w:spacing w:after="0" w:line="240" w:lineRule="auto"/>
              <w:rPr>
                <w:rFonts w:ascii="Times New Roman" w:hAnsi="Times New Roman" w:cs="Times New Roman"/>
                <w:sz w:val="28"/>
                <w:szCs w:val="28"/>
              </w:rPr>
            </w:pPr>
            <w:r w:rsidRPr="00CA167A">
              <w:rPr>
                <w:rFonts w:ascii="Times New Roman" w:hAnsi="Times New Roman" w:cs="Times New Roman"/>
                <w:bCs/>
                <w:sz w:val="28"/>
                <w:szCs w:val="28"/>
                <w:vertAlign w:val="superscript"/>
              </w:rPr>
              <w:t>1</w:t>
            </w:r>
            <w:r w:rsidRPr="00CA167A">
              <w:rPr>
                <w:rFonts w:ascii="Times New Roman" w:hAnsi="Times New Roman" w:cs="Times New Roman"/>
                <w:bCs/>
                <w:sz w:val="28"/>
                <w:szCs w:val="28"/>
                <w:lang w:val="en-US"/>
              </w:rPr>
              <w:t>p</w:t>
            </w:r>
            <w:r w:rsidRPr="00CA167A">
              <w:rPr>
                <w:rFonts w:ascii="Times New Roman" w:hAnsi="Times New Roman" w:cs="Times New Roman"/>
                <w:bCs/>
                <w:sz w:val="28"/>
                <w:szCs w:val="28"/>
              </w:rPr>
              <w:t>-</w:t>
            </w:r>
            <w:r w:rsidRPr="00CA167A">
              <w:rPr>
                <w:rFonts w:ascii="Times New Roman" w:hAnsi="Times New Roman" w:cs="Times New Roman"/>
                <w:bCs/>
                <w:sz w:val="28"/>
                <w:szCs w:val="28"/>
                <w:lang w:val="en-US"/>
              </w:rPr>
              <w:t>value</w:t>
            </w:r>
            <w:r w:rsidRPr="00CA167A">
              <w:rPr>
                <w:rFonts w:ascii="Times New Roman" w:hAnsi="Times New Roman" w:cs="Times New Roman"/>
                <w:bCs/>
                <w:sz w:val="28"/>
                <w:szCs w:val="28"/>
              </w:rPr>
              <w:t xml:space="preserve"> - корр</w:t>
            </w:r>
            <w:r>
              <w:rPr>
                <w:rFonts w:ascii="Times New Roman" w:hAnsi="Times New Roman" w:cs="Times New Roman"/>
                <w:bCs/>
                <w:sz w:val="28"/>
                <w:szCs w:val="28"/>
              </w:rPr>
              <w:t>еляция значима при р&lt;0,05</w:t>
            </w:r>
          </w:p>
          <w:p w14:paraId="50DF21A6" w14:textId="77777777" w:rsidR="00BD65A9" w:rsidRDefault="00BD65A9" w:rsidP="00C86A0F">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2</w:t>
            </w:r>
            <w:r w:rsidRPr="006647EC">
              <w:rPr>
                <w:rFonts w:ascii="Times New Roman" w:hAnsi="Times New Roman" w:cs="Times New Roman"/>
                <w:sz w:val="28"/>
                <w:szCs w:val="28"/>
                <w:lang w:val="en-US"/>
              </w:rPr>
              <w:t>n</w:t>
            </w:r>
            <w:r w:rsidRPr="006647EC">
              <w:rPr>
                <w:rFonts w:ascii="Times New Roman" w:hAnsi="Times New Roman" w:cs="Times New Roman"/>
                <w:sz w:val="28"/>
                <w:szCs w:val="28"/>
              </w:rPr>
              <w:t xml:space="preserve"> – количество</w:t>
            </w:r>
            <w:r>
              <w:rPr>
                <w:rFonts w:ascii="Times New Roman" w:hAnsi="Times New Roman" w:cs="Times New Roman"/>
                <w:sz w:val="28"/>
                <w:szCs w:val="28"/>
              </w:rPr>
              <w:t>;</w:t>
            </w:r>
          </w:p>
          <w:p w14:paraId="34B85A1B" w14:textId="1B1ABE90" w:rsidR="00BD65A9" w:rsidRDefault="00BD65A9" w:rsidP="00C86A0F">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3</w:t>
            </w:r>
            <w:r>
              <w:rPr>
                <w:rFonts w:ascii="Times New Roman" w:hAnsi="Times New Roman" w:cs="Times New Roman"/>
                <w:sz w:val="28"/>
                <w:szCs w:val="28"/>
              </w:rPr>
              <w:t>ДИ – доверительный интервал</w:t>
            </w:r>
          </w:p>
        </w:tc>
      </w:tr>
    </w:tbl>
    <w:p w14:paraId="2D47299B" w14:textId="77777777" w:rsidR="00C80CA7" w:rsidRDefault="00C80CA7" w:rsidP="005C37DF">
      <w:pPr>
        <w:spacing w:after="0" w:line="240" w:lineRule="auto"/>
        <w:ind w:firstLine="709"/>
        <w:jc w:val="both"/>
        <w:rPr>
          <w:rFonts w:ascii="Times New Roman" w:hAnsi="Times New Roman" w:cs="Times New Roman"/>
          <w:sz w:val="28"/>
          <w:szCs w:val="28"/>
        </w:rPr>
      </w:pPr>
    </w:p>
    <w:p w14:paraId="0A82C502" w14:textId="5C113837" w:rsidR="00374DC5" w:rsidRPr="004804AA" w:rsidRDefault="00374DC5" w:rsidP="009C70A9">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Однако анализ нозологической структуры аномалий рефракции показал неравномерность в зависимости от типа школы. Так, более высокие степени близорукости чаще встречались среди учащихся гимназий и лицеев по сравнению с общеобразовательными школами. </w:t>
      </w:r>
      <w:r w:rsidR="0059502F">
        <w:rPr>
          <w:rFonts w:ascii="Times New Roman" w:hAnsi="Times New Roman" w:cs="Times New Roman"/>
          <w:sz w:val="28"/>
          <w:szCs w:val="28"/>
        </w:rPr>
        <w:t>Как видно из рисунка 3.3, р</w:t>
      </w:r>
      <w:r w:rsidRPr="004804AA">
        <w:rPr>
          <w:rFonts w:ascii="Times New Roman" w:hAnsi="Times New Roman" w:cs="Times New Roman"/>
          <w:sz w:val="28"/>
          <w:szCs w:val="28"/>
        </w:rPr>
        <w:t>аспространенность миопии высокой степени в гимназиях была в 2,5 раза выше, чем в школах с обычной академической нагрузкой (6,5% по сравнению с 2,6%) (</w:t>
      </w:r>
      <w:r w:rsidR="000B7F52">
        <w:rPr>
          <w:rFonts w:ascii="Times New Roman" w:hAnsi="Times New Roman" w:cs="Times New Roman"/>
          <w:sz w:val="28"/>
          <w:szCs w:val="28"/>
        </w:rPr>
        <w:t>χ</w:t>
      </w:r>
      <w:r w:rsidR="000B7F52" w:rsidRPr="002F39ED">
        <w:rPr>
          <w:rFonts w:ascii="Times New Roman" w:hAnsi="Times New Roman" w:cs="Times New Roman"/>
          <w:sz w:val="28"/>
          <w:szCs w:val="28"/>
          <w:vertAlign w:val="superscript"/>
        </w:rPr>
        <w:t>2</w:t>
      </w:r>
      <w:r w:rsidR="000B7F52" w:rsidRPr="002F39ED">
        <w:rPr>
          <w:rFonts w:ascii="Times New Roman" w:hAnsi="Times New Roman" w:cs="Times New Roman"/>
          <w:sz w:val="28"/>
          <w:szCs w:val="28"/>
        </w:rPr>
        <w:t>=</w:t>
      </w:r>
      <w:r w:rsidR="000B7F52" w:rsidRPr="000B7F52">
        <w:rPr>
          <w:rFonts w:ascii="Times New Roman" w:hAnsi="Times New Roman" w:cs="Times New Roman"/>
          <w:sz w:val="28"/>
          <w:szCs w:val="28"/>
        </w:rPr>
        <w:t>6,013</w:t>
      </w:r>
      <w:r w:rsidR="000B7F52">
        <w:rPr>
          <w:rFonts w:ascii="Times New Roman" w:hAnsi="Times New Roman" w:cs="Times New Roman"/>
          <w:sz w:val="28"/>
          <w:szCs w:val="28"/>
        </w:rPr>
        <w:t>; р=</w:t>
      </w:r>
      <w:r w:rsidR="000B7F52" w:rsidRPr="000B7F52">
        <w:rPr>
          <w:rFonts w:ascii="Times New Roman" w:hAnsi="Times New Roman" w:cs="Times New Roman"/>
          <w:sz w:val="28"/>
          <w:szCs w:val="28"/>
        </w:rPr>
        <w:t>0,014</w:t>
      </w:r>
      <w:r w:rsidRPr="004804AA">
        <w:rPr>
          <w:rFonts w:ascii="Times New Roman" w:hAnsi="Times New Roman" w:cs="Times New Roman"/>
          <w:sz w:val="28"/>
          <w:szCs w:val="28"/>
        </w:rPr>
        <w:t>)</w:t>
      </w:r>
      <w:r w:rsidR="009C70A9">
        <w:rPr>
          <w:rFonts w:ascii="Times New Roman" w:hAnsi="Times New Roman" w:cs="Times New Roman"/>
          <w:sz w:val="28"/>
          <w:szCs w:val="28"/>
        </w:rPr>
        <w:t xml:space="preserve">. Достоверной разницы в частоте </w:t>
      </w:r>
      <w:r w:rsidRPr="004804AA">
        <w:rPr>
          <w:rFonts w:ascii="Times New Roman" w:hAnsi="Times New Roman" w:cs="Times New Roman"/>
          <w:sz w:val="28"/>
          <w:szCs w:val="28"/>
        </w:rPr>
        <w:t>миопи</w:t>
      </w:r>
      <w:r w:rsidR="009C70A9">
        <w:rPr>
          <w:rFonts w:ascii="Times New Roman" w:hAnsi="Times New Roman" w:cs="Times New Roman"/>
          <w:sz w:val="28"/>
          <w:szCs w:val="28"/>
        </w:rPr>
        <w:t>и</w:t>
      </w:r>
      <w:r w:rsidRPr="004804AA">
        <w:rPr>
          <w:rFonts w:ascii="Times New Roman" w:hAnsi="Times New Roman" w:cs="Times New Roman"/>
          <w:sz w:val="28"/>
          <w:szCs w:val="28"/>
        </w:rPr>
        <w:t xml:space="preserve"> средней </w:t>
      </w:r>
      <w:r w:rsidR="009C70A9">
        <w:rPr>
          <w:rFonts w:ascii="Times New Roman" w:hAnsi="Times New Roman" w:cs="Times New Roman"/>
          <w:sz w:val="28"/>
          <w:szCs w:val="28"/>
        </w:rPr>
        <w:t xml:space="preserve">и слабой </w:t>
      </w:r>
      <w:r w:rsidRPr="004804AA">
        <w:rPr>
          <w:rFonts w:ascii="Times New Roman" w:hAnsi="Times New Roman" w:cs="Times New Roman"/>
          <w:sz w:val="28"/>
          <w:szCs w:val="28"/>
        </w:rPr>
        <w:t xml:space="preserve">степени </w:t>
      </w:r>
      <w:r w:rsidR="009C70A9">
        <w:rPr>
          <w:rFonts w:ascii="Times New Roman" w:hAnsi="Times New Roman" w:cs="Times New Roman"/>
          <w:sz w:val="28"/>
          <w:szCs w:val="28"/>
        </w:rPr>
        <w:t>между школами не выявлено (р=0,122 и р=</w:t>
      </w:r>
      <w:r w:rsidR="009C70A9" w:rsidRPr="009C70A9">
        <w:rPr>
          <w:rFonts w:ascii="Times New Roman" w:hAnsi="Times New Roman" w:cs="Times New Roman"/>
          <w:sz w:val="28"/>
          <w:szCs w:val="28"/>
        </w:rPr>
        <w:t>0,746</w:t>
      </w:r>
      <w:r w:rsidR="009C70A9">
        <w:rPr>
          <w:rFonts w:ascii="Times New Roman" w:hAnsi="Times New Roman" w:cs="Times New Roman"/>
          <w:sz w:val="28"/>
          <w:szCs w:val="28"/>
        </w:rPr>
        <w:t xml:space="preserve"> соответственно</w:t>
      </w:r>
      <w:r w:rsidR="009C70A9" w:rsidRPr="00E81FA1">
        <w:rPr>
          <w:rFonts w:ascii="Times New Roman" w:hAnsi="Times New Roman" w:cs="Times New Roman"/>
          <w:sz w:val="28"/>
          <w:szCs w:val="28"/>
        </w:rPr>
        <w:t>).</w:t>
      </w:r>
      <w:r w:rsidR="007D63B7" w:rsidRPr="00E81FA1">
        <w:rPr>
          <w:rFonts w:ascii="Times New Roman" w:hAnsi="Times New Roman" w:cs="Times New Roman"/>
          <w:sz w:val="28"/>
          <w:szCs w:val="28"/>
        </w:rPr>
        <w:t xml:space="preserve"> </w:t>
      </w:r>
      <w:r w:rsidR="007D63B7" w:rsidRPr="00E81FA1">
        <w:rPr>
          <w:rFonts w:ascii="Times New Roman" w:hAnsi="Times New Roman" w:cs="Times New Roman"/>
          <w:sz w:val="28"/>
          <w:szCs w:val="28"/>
          <w:lang w:val="en-US"/>
        </w:rPr>
        <w:t>[24</w:t>
      </w:r>
      <w:r w:rsidR="007C23F8" w:rsidRPr="00E81FA1">
        <w:rPr>
          <w:rFonts w:ascii="Times New Roman" w:hAnsi="Times New Roman" w:cs="Times New Roman"/>
          <w:sz w:val="28"/>
          <w:szCs w:val="28"/>
          <w:lang w:val="en-US"/>
        </w:rPr>
        <w:t>7</w:t>
      </w:r>
      <w:r w:rsidR="007D63B7" w:rsidRPr="00E81FA1">
        <w:rPr>
          <w:rFonts w:ascii="Times New Roman" w:hAnsi="Times New Roman" w:cs="Times New Roman"/>
          <w:sz w:val="28"/>
          <w:szCs w:val="28"/>
          <w:lang w:val="en-US"/>
        </w:rPr>
        <w:t>]</w:t>
      </w:r>
    </w:p>
    <w:p w14:paraId="55CCA163" w14:textId="4DA710A2" w:rsidR="00374DC5" w:rsidRPr="004804AA" w:rsidRDefault="00374DC5" w:rsidP="0059502F">
      <w:pPr>
        <w:spacing w:after="0" w:line="240" w:lineRule="auto"/>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9E7FEF" w14:paraId="73F0224A" w14:textId="77777777" w:rsidTr="001A7EA4">
        <w:tc>
          <w:tcPr>
            <w:tcW w:w="9345" w:type="dxa"/>
            <w:gridSpan w:val="2"/>
          </w:tcPr>
          <w:p w14:paraId="2090F412" w14:textId="45225ED1" w:rsidR="009E7FEF" w:rsidRDefault="009E7FEF" w:rsidP="005C37D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9C60AD" wp14:editId="0B18FE57">
                  <wp:extent cx="5958485" cy="2836545"/>
                  <wp:effectExtent l="0" t="0" r="444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921"/>
                          <a:stretch/>
                        </pic:blipFill>
                        <pic:spPr bwMode="auto">
                          <a:xfrm>
                            <a:off x="0" y="0"/>
                            <a:ext cx="5991841" cy="28524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7FEF" w14:paraId="3F97CF1E" w14:textId="77777777" w:rsidTr="001A7EA4">
        <w:tc>
          <w:tcPr>
            <w:tcW w:w="4672" w:type="dxa"/>
          </w:tcPr>
          <w:p w14:paraId="5E606339" w14:textId="28E6C402" w:rsidR="009E7FEF" w:rsidRDefault="009E7FEF" w:rsidP="005C37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4673" w:type="dxa"/>
          </w:tcPr>
          <w:p w14:paraId="32CB62BE" w14:textId="37FA4CC8" w:rsidR="009E7FEF" w:rsidRPr="009E7FEF" w:rsidRDefault="009E7FEF" w:rsidP="005C37DF">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E7FEF" w14:paraId="3E00236B" w14:textId="77777777" w:rsidTr="001A7EA4">
        <w:tc>
          <w:tcPr>
            <w:tcW w:w="9345" w:type="dxa"/>
            <w:gridSpan w:val="2"/>
          </w:tcPr>
          <w:p w14:paraId="74AD78CC" w14:textId="07852D12" w:rsidR="009E7FEF" w:rsidRPr="009E7FEF" w:rsidRDefault="009E7FEF" w:rsidP="009E7F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 структура миопии в общеобразовательных школах; </w:t>
            </w:r>
            <w:r>
              <w:rPr>
                <w:rFonts w:ascii="Times New Roman" w:hAnsi="Times New Roman" w:cs="Times New Roman"/>
                <w:sz w:val="28"/>
                <w:szCs w:val="28"/>
                <w:lang w:val="en-US"/>
              </w:rPr>
              <w:t>b</w:t>
            </w:r>
            <w:r w:rsidRPr="009E7FEF">
              <w:rPr>
                <w:rFonts w:ascii="Times New Roman" w:hAnsi="Times New Roman" w:cs="Times New Roman"/>
                <w:sz w:val="28"/>
                <w:szCs w:val="28"/>
              </w:rPr>
              <w:t xml:space="preserve"> </w:t>
            </w:r>
            <w:r>
              <w:rPr>
                <w:rFonts w:ascii="Times New Roman" w:hAnsi="Times New Roman" w:cs="Times New Roman"/>
                <w:sz w:val="28"/>
                <w:szCs w:val="28"/>
              </w:rPr>
              <w:t xml:space="preserve">– структура миопии в гимназических школах </w:t>
            </w:r>
          </w:p>
        </w:tc>
      </w:tr>
    </w:tbl>
    <w:p w14:paraId="3AB26AC6" w14:textId="77777777" w:rsidR="009E7FEF" w:rsidRDefault="009E7FEF" w:rsidP="005C37DF">
      <w:pPr>
        <w:spacing w:after="0" w:line="240" w:lineRule="auto"/>
        <w:ind w:firstLine="709"/>
        <w:jc w:val="center"/>
        <w:rPr>
          <w:rFonts w:ascii="Times New Roman" w:hAnsi="Times New Roman" w:cs="Times New Roman"/>
          <w:sz w:val="28"/>
          <w:szCs w:val="28"/>
        </w:rPr>
      </w:pPr>
    </w:p>
    <w:p w14:paraId="26582DA1" w14:textId="1B44B836" w:rsidR="00374DC5" w:rsidRDefault="00374DC5" w:rsidP="005C37DF">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Рисунок </w:t>
      </w:r>
      <w:r w:rsidR="007263F7">
        <w:rPr>
          <w:rFonts w:ascii="Times New Roman" w:hAnsi="Times New Roman" w:cs="Times New Roman"/>
          <w:sz w:val="28"/>
          <w:szCs w:val="28"/>
        </w:rPr>
        <w:t>8</w:t>
      </w:r>
      <w:r w:rsidR="0059502F">
        <w:rPr>
          <w:rFonts w:ascii="Times New Roman" w:hAnsi="Times New Roman" w:cs="Times New Roman"/>
          <w:sz w:val="28"/>
          <w:szCs w:val="28"/>
        </w:rPr>
        <w:t xml:space="preserve"> -</w:t>
      </w:r>
      <w:r w:rsidRPr="004804AA">
        <w:rPr>
          <w:rFonts w:ascii="Times New Roman" w:hAnsi="Times New Roman" w:cs="Times New Roman"/>
          <w:sz w:val="28"/>
          <w:szCs w:val="28"/>
        </w:rPr>
        <w:t xml:space="preserve"> Сравнение структуры миопии </w:t>
      </w:r>
      <w:r w:rsidR="009E7FEF">
        <w:rPr>
          <w:rFonts w:ascii="Times New Roman" w:hAnsi="Times New Roman" w:cs="Times New Roman"/>
          <w:sz w:val="28"/>
          <w:szCs w:val="28"/>
        </w:rPr>
        <w:t xml:space="preserve">среди учащихся школ с </w:t>
      </w:r>
      <w:r w:rsidRPr="004804AA">
        <w:rPr>
          <w:rFonts w:ascii="Times New Roman" w:hAnsi="Times New Roman" w:cs="Times New Roman"/>
          <w:sz w:val="28"/>
          <w:szCs w:val="28"/>
        </w:rPr>
        <w:t>разным уровнем академической нагрузки</w:t>
      </w:r>
    </w:p>
    <w:p w14:paraId="6699AD2A" w14:textId="77777777" w:rsidR="00944147" w:rsidRPr="004804AA" w:rsidRDefault="00944147" w:rsidP="005C37DF">
      <w:pPr>
        <w:spacing w:after="0" w:line="240" w:lineRule="auto"/>
        <w:ind w:firstLine="709"/>
        <w:jc w:val="center"/>
        <w:rPr>
          <w:rFonts w:ascii="Times New Roman" w:hAnsi="Times New Roman" w:cs="Times New Roman"/>
          <w:sz w:val="28"/>
          <w:szCs w:val="28"/>
        </w:rPr>
      </w:pPr>
    </w:p>
    <w:p w14:paraId="53ABF189" w14:textId="6C379C26" w:rsidR="00374DC5" w:rsidRPr="004804AA" w:rsidRDefault="00374DC5" w:rsidP="002E34CC">
      <w:pPr>
        <w:spacing w:after="0" w:line="240" w:lineRule="auto"/>
        <w:ind w:firstLine="708"/>
        <w:jc w:val="both"/>
        <w:rPr>
          <w:rFonts w:ascii="Times New Roman" w:hAnsi="Times New Roman" w:cs="Times New Roman"/>
          <w:sz w:val="28"/>
          <w:szCs w:val="28"/>
        </w:rPr>
      </w:pPr>
      <w:r w:rsidRPr="004804AA">
        <w:rPr>
          <w:rFonts w:ascii="Times New Roman" w:hAnsi="Times New Roman" w:cs="Times New Roman"/>
          <w:sz w:val="28"/>
          <w:szCs w:val="28"/>
        </w:rPr>
        <w:t xml:space="preserve">Статистически значимых различий в распространенности и структуре гиперметропии и астигматизма между учащимися общеобразовательных и гимназических школ </w:t>
      </w:r>
      <w:r w:rsidR="007D6300">
        <w:rPr>
          <w:rFonts w:ascii="Times New Roman" w:hAnsi="Times New Roman" w:cs="Times New Roman"/>
          <w:sz w:val="28"/>
          <w:szCs w:val="28"/>
        </w:rPr>
        <w:t>нами не выявлено</w:t>
      </w:r>
      <w:r w:rsidRPr="004804AA">
        <w:rPr>
          <w:rFonts w:ascii="Times New Roman" w:hAnsi="Times New Roman" w:cs="Times New Roman"/>
          <w:sz w:val="28"/>
          <w:szCs w:val="28"/>
        </w:rPr>
        <w:t xml:space="preserve"> (Табл.</w:t>
      </w:r>
      <w:r w:rsidR="001437B6" w:rsidRPr="001437B6">
        <w:rPr>
          <w:rFonts w:ascii="Times New Roman" w:hAnsi="Times New Roman" w:cs="Times New Roman"/>
          <w:sz w:val="28"/>
          <w:szCs w:val="28"/>
        </w:rPr>
        <w:t>10)</w:t>
      </w:r>
      <w:r w:rsidRPr="004804AA">
        <w:rPr>
          <w:rFonts w:ascii="Times New Roman" w:hAnsi="Times New Roman" w:cs="Times New Roman"/>
          <w:sz w:val="28"/>
          <w:szCs w:val="28"/>
        </w:rPr>
        <w:t>. В обеих группах преобладал миопический астигматизм (62,1% и 48,6% соответственно</w:t>
      </w:r>
      <w:r w:rsidR="002E34CC">
        <w:rPr>
          <w:rFonts w:ascii="Times New Roman" w:hAnsi="Times New Roman" w:cs="Times New Roman"/>
          <w:sz w:val="28"/>
          <w:szCs w:val="28"/>
        </w:rPr>
        <w:t xml:space="preserve">, </w:t>
      </w:r>
      <w:r w:rsidR="002E34CC">
        <w:rPr>
          <w:rFonts w:ascii="Times New Roman" w:hAnsi="Times New Roman" w:cs="Times New Roman"/>
          <w:sz w:val="28"/>
          <w:szCs w:val="28"/>
          <w:lang w:val="en-US"/>
        </w:rPr>
        <w:t>p</w:t>
      </w:r>
      <w:r w:rsidR="002E34CC" w:rsidRPr="0024204F">
        <w:rPr>
          <w:rFonts w:ascii="Times New Roman" w:hAnsi="Times New Roman" w:cs="Times New Roman"/>
          <w:sz w:val="28"/>
          <w:szCs w:val="28"/>
        </w:rPr>
        <w:t>=0</w:t>
      </w:r>
      <w:r w:rsidR="002E34CC">
        <w:rPr>
          <w:rFonts w:ascii="Times New Roman" w:hAnsi="Times New Roman" w:cs="Times New Roman"/>
          <w:sz w:val="28"/>
          <w:szCs w:val="28"/>
        </w:rPr>
        <w:t>,</w:t>
      </w:r>
      <w:r w:rsidR="002E34CC" w:rsidRPr="0024204F">
        <w:rPr>
          <w:rFonts w:ascii="Times New Roman" w:hAnsi="Times New Roman" w:cs="Times New Roman"/>
          <w:sz w:val="28"/>
          <w:szCs w:val="28"/>
        </w:rPr>
        <w:t>527</w:t>
      </w:r>
      <w:r w:rsidRPr="004804AA">
        <w:rPr>
          <w:rFonts w:ascii="Times New Roman" w:hAnsi="Times New Roman" w:cs="Times New Roman"/>
          <w:sz w:val="28"/>
          <w:szCs w:val="28"/>
        </w:rPr>
        <w:t>).</w:t>
      </w:r>
    </w:p>
    <w:p w14:paraId="065DF9ED"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5E49B4D0" w14:textId="10A4D6AE" w:rsidR="00374DC5" w:rsidRDefault="00374DC5" w:rsidP="0024204F">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Таблица </w:t>
      </w:r>
      <w:r w:rsidR="001437B6" w:rsidRPr="001437B6">
        <w:rPr>
          <w:rFonts w:ascii="Times New Roman" w:hAnsi="Times New Roman" w:cs="Times New Roman"/>
          <w:sz w:val="28"/>
          <w:szCs w:val="28"/>
        </w:rPr>
        <w:t>10</w:t>
      </w:r>
      <w:r w:rsidR="006226F4">
        <w:rPr>
          <w:rFonts w:ascii="Times New Roman" w:hAnsi="Times New Roman" w:cs="Times New Roman"/>
          <w:sz w:val="28"/>
          <w:szCs w:val="28"/>
        </w:rPr>
        <w:t xml:space="preserve"> </w:t>
      </w:r>
      <w:r w:rsidR="0024204F">
        <w:rPr>
          <w:rFonts w:ascii="Times New Roman" w:hAnsi="Times New Roman" w:cs="Times New Roman"/>
          <w:sz w:val="28"/>
          <w:szCs w:val="28"/>
        </w:rPr>
        <w:t>–</w:t>
      </w:r>
      <w:r w:rsidRPr="004804AA">
        <w:rPr>
          <w:rFonts w:ascii="Times New Roman" w:hAnsi="Times New Roman" w:cs="Times New Roman"/>
          <w:sz w:val="28"/>
          <w:szCs w:val="28"/>
        </w:rPr>
        <w:t xml:space="preserve"> Структура</w:t>
      </w:r>
      <w:r w:rsidR="0024204F">
        <w:rPr>
          <w:rFonts w:ascii="Times New Roman" w:hAnsi="Times New Roman" w:cs="Times New Roman"/>
          <w:sz w:val="28"/>
          <w:szCs w:val="28"/>
        </w:rPr>
        <w:t xml:space="preserve"> миопии,</w:t>
      </w:r>
      <w:r w:rsidRPr="004804AA">
        <w:rPr>
          <w:rFonts w:ascii="Times New Roman" w:hAnsi="Times New Roman" w:cs="Times New Roman"/>
          <w:sz w:val="28"/>
          <w:szCs w:val="28"/>
        </w:rPr>
        <w:t xml:space="preserve"> гиперметропии и астигматизма </w:t>
      </w:r>
      <w:r w:rsidR="0024204F">
        <w:rPr>
          <w:rFonts w:ascii="Times New Roman" w:hAnsi="Times New Roman" w:cs="Times New Roman"/>
          <w:sz w:val="28"/>
          <w:szCs w:val="28"/>
        </w:rPr>
        <w:t xml:space="preserve">у учащихся школ с </w:t>
      </w:r>
      <w:r w:rsidR="0024204F" w:rsidRPr="004804AA">
        <w:rPr>
          <w:rFonts w:ascii="Times New Roman" w:hAnsi="Times New Roman" w:cs="Times New Roman"/>
          <w:sz w:val="28"/>
          <w:szCs w:val="28"/>
        </w:rPr>
        <w:t>разным уровнем академической нагрузки</w:t>
      </w:r>
    </w:p>
    <w:p w14:paraId="7033FE1B" w14:textId="77777777" w:rsidR="006226F4" w:rsidRPr="004804AA" w:rsidRDefault="006226F4" w:rsidP="005C37DF">
      <w:pPr>
        <w:spacing w:after="0" w:line="240" w:lineRule="auto"/>
        <w:ind w:firstLine="709"/>
        <w:jc w:val="both"/>
        <w:rPr>
          <w:rFonts w:ascii="Times New Roman" w:hAnsi="Times New Roman" w:cs="Times New Roman"/>
          <w:sz w:val="28"/>
          <w:szCs w:val="28"/>
        </w:rPr>
      </w:pPr>
    </w:p>
    <w:tbl>
      <w:tblPr>
        <w:tblW w:w="9643" w:type="dxa"/>
        <w:jc w:val="center"/>
        <w:tblLayout w:type="fixed"/>
        <w:tblLook w:val="04A0" w:firstRow="1" w:lastRow="0" w:firstColumn="1" w:lastColumn="0" w:noHBand="0" w:noVBand="1"/>
      </w:tblPr>
      <w:tblGrid>
        <w:gridCol w:w="1555"/>
        <w:gridCol w:w="708"/>
        <w:gridCol w:w="860"/>
        <w:gridCol w:w="1417"/>
        <w:gridCol w:w="851"/>
        <w:gridCol w:w="992"/>
        <w:gridCol w:w="1559"/>
        <w:gridCol w:w="851"/>
        <w:gridCol w:w="850"/>
      </w:tblGrid>
      <w:tr w:rsidR="00D510F7" w:rsidRPr="00D107ED" w14:paraId="3BE5E24D" w14:textId="5D099698" w:rsidTr="00370636">
        <w:trPr>
          <w:trHeight w:val="300"/>
          <w:jc w:val="center"/>
        </w:trPr>
        <w:tc>
          <w:tcPr>
            <w:tcW w:w="1555" w:type="dxa"/>
            <w:vMerge w:val="restart"/>
            <w:tcBorders>
              <w:top w:val="single" w:sz="4" w:space="0" w:color="auto"/>
              <w:left w:val="single" w:sz="4" w:space="0" w:color="auto"/>
              <w:right w:val="single" w:sz="4" w:space="0" w:color="auto"/>
            </w:tcBorders>
            <w:shd w:val="clear" w:color="auto" w:fill="auto"/>
            <w:noWrap/>
            <w:vAlign w:val="bottom"/>
          </w:tcPr>
          <w:p w14:paraId="4CAA86D9" w14:textId="4847715A" w:rsidR="00BD65A9" w:rsidRPr="00D107ED" w:rsidRDefault="00686B74" w:rsidP="00BD65A9">
            <w:pPr>
              <w:spacing w:after="0" w:line="240" w:lineRule="auto"/>
              <w:rPr>
                <w:rFonts w:ascii="Times New Roman" w:hAnsi="Times New Roman" w:cs="Times New Roman"/>
                <w:sz w:val="24"/>
                <w:szCs w:val="24"/>
              </w:rPr>
            </w:pPr>
            <w:r w:rsidRPr="00D107ED">
              <w:rPr>
                <w:rFonts w:ascii="Times New Roman" w:hAnsi="Times New Roman" w:cs="Times New Roman"/>
                <w:sz w:val="24"/>
                <w:szCs w:val="24"/>
              </w:rPr>
              <w:t>Группа</w:t>
            </w:r>
          </w:p>
        </w:tc>
        <w:tc>
          <w:tcPr>
            <w:tcW w:w="2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A18FFCF" w14:textId="77777777" w:rsidR="00BD65A9" w:rsidRPr="00D107ED" w:rsidRDefault="00BD65A9"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bCs/>
                <w:sz w:val="24"/>
                <w:szCs w:val="24"/>
              </w:rPr>
              <w:t>Общеобразовательные школы</w:t>
            </w:r>
            <w:r w:rsidR="00CC14F2" w:rsidRPr="00D107ED">
              <w:rPr>
                <w:rFonts w:ascii="Times New Roman" w:hAnsi="Times New Roman" w:cs="Times New Roman"/>
                <w:bCs/>
                <w:sz w:val="24"/>
                <w:szCs w:val="24"/>
              </w:rPr>
              <w:t xml:space="preserve"> </w:t>
            </w:r>
          </w:p>
          <w:p w14:paraId="45041344" w14:textId="5326E30E" w:rsidR="00CC14F2" w:rsidRPr="00D107ED" w:rsidRDefault="00CC14F2"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bCs/>
                <w:sz w:val="24"/>
                <w:szCs w:val="24"/>
              </w:rPr>
              <w:t>(</w:t>
            </w:r>
            <w:r w:rsidRPr="00D107ED">
              <w:rPr>
                <w:rFonts w:ascii="Times New Roman" w:hAnsi="Times New Roman" w:cs="Times New Roman"/>
                <w:bCs/>
                <w:sz w:val="24"/>
                <w:szCs w:val="24"/>
                <w:lang w:val="en-US"/>
              </w:rPr>
              <w:t>N=1231</w:t>
            </w:r>
            <w:r w:rsidRPr="00D107ED">
              <w:rPr>
                <w:rFonts w:ascii="Times New Roman" w:hAnsi="Times New Roman" w:cs="Times New Roman"/>
                <w:bCs/>
                <w:sz w:val="24"/>
                <w:szCs w:val="24"/>
              </w:rPr>
              <w:t>)</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6993179" w14:textId="77777777" w:rsidR="00BD65A9" w:rsidRPr="00D107ED" w:rsidRDefault="00BD65A9"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bCs/>
                <w:sz w:val="24"/>
                <w:szCs w:val="24"/>
              </w:rPr>
              <w:t>Гимназии</w:t>
            </w:r>
          </w:p>
          <w:p w14:paraId="4863E8C6" w14:textId="73055CB9" w:rsidR="00CC14F2" w:rsidRPr="00D107ED" w:rsidRDefault="00CC14F2"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bCs/>
                <w:sz w:val="24"/>
                <w:szCs w:val="24"/>
                <w:lang w:val="en-US"/>
              </w:rPr>
              <w:t>(N = 1062)</w:t>
            </w:r>
          </w:p>
        </w:tc>
        <w:tc>
          <w:tcPr>
            <w:tcW w:w="851" w:type="dxa"/>
            <w:vMerge w:val="restart"/>
            <w:tcBorders>
              <w:top w:val="single" w:sz="4" w:space="0" w:color="auto"/>
              <w:left w:val="single" w:sz="4" w:space="0" w:color="auto"/>
              <w:right w:val="single" w:sz="4" w:space="0" w:color="auto"/>
            </w:tcBorders>
            <w:vAlign w:val="center"/>
          </w:tcPr>
          <w:p w14:paraId="643ED77C" w14:textId="2129974A" w:rsidR="00BD65A9" w:rsidRPr="00D107ED" w:rsidRDefault="00BD65A9"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sz w:val="24"/>
                <w:szCs w:val="24"/>
              </w:rPr>
              <w:t>χ</w:t>
            </w:r>
            <w:r w:rsidRPr="00D107ED">
              <w:rPr>
                <w:rFonts w:ascii="Times New Roman" w:hAnsi="Times New Roman" w:cs="Times New Roman"/>
                <w:sz w:val="24"/>
                <w:szCs w:val="24"/>
                <w:vertAlign w:val="superscript"/>
              </w:rPr>
              <w:t>2</w:t>
            </w:r>
          </w:p>
        </w:tc>
        <w:tc>
          <w:tcPr>
            <w:tcW w:w="850" w:type="dxa"/>
            <w:vMerge w:val="restart"/>
            <w:tcBorders>
              <w:top w:val="single" w:sz="4" w:space="0" w:color="auto"/>
              <w:left w:val="single" w:sz="4" w:space="0" w:color="auto"/>
              <w:right w:val="single" w:sz="4" w:space="0" w:color="auto"/>
            </w:tcBorders>
            <w:vAlign w:val="center"/>
          </w:tcPr>
          <w:p w14:paraId="53E33576" w14:textId="539DB65E" w:rsidR="00BD65A9" w:rsidRPr="00D107ED" w:rsidRDefault="00BD65A9" w:rsidP="00BD65A9">
            <w:pPr>
              <w:spacing w:after="0" w:line="240" w:lineRule="auto"/>
              <w:jc w:val="center"/>
              <w:rPr>
                <w:rFonts w:ascii="Times New Roman" w:hAnsi="Times New Roman" w:cs="Times New Roman"/>
                <w:bCs/>
                <w:sz w:val="24"/>
                <w:szCs w:val="24"/>
              </w:rPr>
            </w:pPr>
            <w:r w:rsidRPr="00D107ED">
              <w:rPr>
                <w:rFonts w:ascii="Times New Roman" w:hAnsi="Times New Roman" w:cs="Times New Roman"/>
                <w:bCs/>
                <w:sz w:val="24"/>
                <w:szCs w:val="24"/>
                <w:lang w:val="en-US"/>
              </w:rPr>
              <w:t>p-value</w:t>
            </w:r>
            <w:r w:rsidRPr="00D107ED">
              <w:rPr>
                <w:rFonts w:ascii="Times New Roman" w:hAnsi="Times New Roman" w:cs="Times New Roman"/>
                <w:bCs/>
                <w:sz w:val="24"/>
                <w:szCs w:val="24"/>
                <w:vertAlign w:val="superscript"/>
                <w:lang w:val="en-US"/>
              </w:rPr>
              <w:t>1</w:t>
            </w:r>
          </w:p>
        </w:tc>
      </w:tr>
      <w:tr w:rsidR="00D510F7" w:rsidRPr="00D107ED" w14:paraId="46217433" w14:textId="4E86CD74" w:rsidTr="00370636">
        <w:trPr>
          <w:trHeight w:val="428"/>
          <w:jc w:val="center"/>
        </w:trPr>
        <w:tc>
          <w:tcPr>
            <w:tcW w:w="1555" w:type="dxa"/>
            <w:vMerge/>
            <w:tcBorders>
              <w:left w:val="single" w:sz="4" w:space="0" w:color="auto"/>
              <w:bottom w:val="single" w:sz="4" w:space="0" w:color="auto"/>
              <w:right w:val="single" w:sz="4" w:space="0" w:color="auto"/>
            </w:tcBorders>
            <w:shd w:val="clear" w:color="auto" w:fill="auto"/>
            <w:noWrap/>
            <w:vAlign w:val="bottom"/>
            <w:hideMark/>
          </w:tcPr>
          <w:p w14:paraId="7D276CCD" w14:textId="6C1A851C" w:rsidR="00BD65A9" w:rsidRPr="00D107ED" w:rsidRDefault="00BD65A9" w:rsidP="00762EBC">
            <w:pPr>
              <w:spacing w:after="0" w:line="240" w:lineRule="auto"/>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5E397" w14:textId="7644FE1C" w:rsidR="00BD65A9" w:rsidRPr="00D107ED" w:rsidRDefault="00686B74" w:rsidP="00762EBC">
            <w:pPr>
              <w:spacing w:after="0" w:line="240" w:lineRule="auto"/>
              <w:jc w:val="center"/>
              <w:rPr>
                <w:rFonts w:ascii="Times New Roman" w:hAnsi="Times New Roman" w:cs="Times New Roman"/>
                <w:sz w:val="24"/>
                <w:szCs w:val="24"/>
                <w:lang w:val="en-US"/>
              </w:rPr>
            </w:pPr>
            <w:r w:rsidRPr="00D107ED">
              <w:rPr>
                <w:rFonts w:ascii="Times New Roman" w:hAnsi="Times New Roman" w:cs="Times New Roman"/>
                <w:bCs/>
                <w:sz w:val="24"/>
                <w:szCs w:val="24"/>
                <w:lang w:val="en-US"/>
              </w:rPr>
              <w:t>n</w:t>
            </w:r>
            <w:r w:rsidRPr="00D107ED">
              <w:rPr>
                <w:rFonts w:ascii="Times New Roman" w:hAnsi="Times New Roman" w:cs="Times New Roman"/>
                <w:bCs/>
                <w:sz w:val="24"/>
                <w:szCs w:val="24"/>
                <w:vertAlign w:val="superscript"/>
              </w:rPr>
              <w:t>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90014"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4F295" w14:textId="1D1DF917" w:rsidR="00BD65A9" w:rsidRPr="00D107ED" w:rsidRDefault="00BD65A9" w:rsidP="00762EBC">
            <w:pPr>
              <w:spacing w:after="0" w:line="240" w:lineRule="auto"/>
              <w:jc w:val="center"/>
              <w:rPr>
                <w:rFonts w:ascii="Times New Roman" w:hAnsi="Times New Roman" w:cs="Times New Roman"/>
                <w:sz w:val="24"/>
                <w:szCs w:val="24"/>
                <w:lang w:val="en-US"/>
              </w:rPr>
            </w:pPr>
            <w:r w:rsidRPr="00D107ED">
              <w:rPr>
                <w:rFonts w:ascii="Times New Roman" w:hAnsi="Times New Roman" w:cs="Times New Roman"/>
                <w:sz w:val="24"/>
                <w:szCs w:val="24"/>
              </w:rPr>
              <w:t xml:space="preserve">95% </w:t>
            </w:r>
            <w:r w:rsidR="00686B74" w:rsidRPr="00D107ED">
              <w:rPr>
                <w:rFonts w:ascii="Times New Roman" w:hAnsi="Times New Roman" w:cs="Times New Roman"/>
                <w:bCs/>
                <w:sz w:val="24"/>
                <w:szCs w:val="24"/>
              </w:rPr>
              <w:t>ДИ</w:t>
            </w:r>
            <w:r w:rsidR="00686B74" w:rsidRPr="00D107ED">
              <w:rPr>
                <w:rFonts w:ascii="Times New Roman" w:hAnsi="Times New Roman" w:cs="Times New Roman"/>
                <w:bCs/>
                <w:sz w:val="24"/>
                <w:szCs w:val="24"/>
                <w:vertAlign w:val="superscript"/>
                <w:lang w:val="en-US"/>
              </w:rPr>
              <w:t>3</w:t>
            </w:r>
          </w:p>
        </w:tc>
        <w:tc>
          <w:tcPr>
            <w:tcW w:w="851" w:type="dxa"/>
            <w:tcBorders>
              <w:top w:val="single" w:sz="4" w:space="0" w:color="auto"/>
              <w:left w:val="single" w:sz="4" w:space="0" w:color="auto"/>
              <w:bottom w:val="single" w:sz="4" w:space="0" w:color="auto"/>
              <w:right w:val="single" w:sz="4" w:space="0" w:color="auto"/>
            </w:tcBorders>
            <w:vAlign w:val="bottom"/>
          </w:tcPr>
          <w:p w14:paraId="60DB068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n</w:t>
            </w:r>
          </w:p>
        </w:tc>
        <w:tc>
          <w:tcPr>
            <w:tcW w:w="992" w:type="dxa"/>
            <w:tcBorders>
              <w:top w:val="single" w:sz="4" w:space="0" w:color="auto"/>
              <w:left w:val="single" w:sz="4" w:space="0" w:color="auto"/>
              <w:bottom w:val="single" w:sz="4" w:space="0" w:color="auto"/>
              <w:right w:val="single" w:sz="4" w:space="0" w:color="auto"/>
            </w:tcBorders>
            <w:vAlign w:val="bottom"/>
          </w:tcPr>
          <w:p w14:paraId="4D9594E6"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bottom"/>
          </w:tcPr>
          <w:p w14:paraId="7E7E1611"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95% ДИ</w:t>
            </w:r>
          </w:p>
        </w:tc>
        <w:tc>
          <w:tcPr>
            <w:tcW w:w="851" w:type="dxa"/>
            <w:vMerge/>
            <w:tcBorders>
              <w:left w:val="single" w:sz="4" w:space="0" w:color="auto"/>
              <w:bottom w:val="single" w:sz="4" w:space="0" w:color="auto"/>
              <w:right w:val="single" w:sz="4" w:space="0" w:color="auto"/>
            </w:tcBorders>
          </w:tcPr>
          <w:p w14:paraId="26ED7FDE" w14:textId="77777777" w:rsidR="00BD65A9" w:rsidRPr="00D107ED" w:rsidRDefault="00BD65A9" w:rsidP="00762EBC">
            <w:pPr>
              <w:spacing w:after="0" w:line="240" w:lineRule="auto"/>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14:paraId="2484AFF6" w14:textId="59DDA41B" w:rsidR="00BD65A9" w:rsidRPr="00D107ED" w:rsidRDefault="00BD65A9" w:rsidP="00762EBC">
            <w:pPr>
              <w:spacing w:after="0" w:line="240" w:lineRule="auto"/>
              <w:jc w:val="center"/>
              <w:rPr>
                <w:rFonts w:ascii="Times New Roman" w:hAnsi="Times New Roman" w:cs="Times New Roman"/>
                <w:sz w:val="24"/>
                <w:szCs w:val="24"/>
              </w:rPr>
            </w:pPr>
          </w:p>
        </w:tc>
      </w:tr>
      <w:tr w:rsidR="00FD7C12" w:rsidRPr="00D107ED" w14:paraId="200DD32A" w14:textId="77777777"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3243B97A" w14:textId="447399AF" w:rsidR="00FD7C12" w:rsidRPr="00D107ED" w:rsidRDefault="00FD7C12" w:rsidP="00762EBC">
            <w:pPr>
              <w:spacing w:after="0" w:line="240" w:lineRule="auto"/>
              <w:rPr>
                <w:rFonts w:ascii="Times New Roman" w:hAnsi="Times New Roman" w:cs="Times New Roman"/>
                <w:bCs/>
                <w:sz w:val="24"/>
                <w:szCs w:val="24"/>
              </w:rPr>
            </w:pPr>
            <w:r w:rsidRPr="00D107ED">
              <w:rPr>
                <w:rFonts w:ascii="Times New Roman" w:hAnsi="Times New Roman" w:cs="Times New Roman"/>
                <w:bCs/>
                <w:sz w:val="24"/>
                <w:szCs w:val="24"/>
              </w:rPr>
              <w:t>Миопия</w:t>
            </w:r>
            <w:r w:rsidR="009E1131" w:rsidRPr="00D107ED">
              <w:rPr>
                <w:rFonts w:ascii="Times New Roman" w:hAnsi="Times New Roman" w:cs="Times New Roman"/>
                <w:bCs/>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6B2F573B" w14:textId="51DDE7FC"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339</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12327171" w14:textId="62EDB7FC"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3436AB08" w14:textId="335CBE9B"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25,0-29,9%</w:t>
            </w:r>
          </w:p>
        </w:tc>
        <w:tc>
          <w:tcPr>
            <w:tcW w:w="851" w:type="dxa"/>
            <w:tcBorders>
              <w:top w:val="single" w:sz="4" w:space="0" w:color="auto"/>
              <w:left w:val="single" w:sz="4" w:space="0" w:color="auto"/>
              <w:bottom w:val="single" w:sz="4" w:space="0" w:color="auto"/>
              <w:right w:val="single" w:sz="4" w:space="0" w:color="auto"/>
            </w:tcBorders>
          </w:tcPr>
          <w:p w14:paraId="304C277A" w14:textId="3DCDB724"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309</w:t>
            </w:r>
          </w:p>
        </w:tc>
        <w:tc>
          <w:tcPr>
            <w:tcW w:w="992" w:type="dxa"/>
            <w:tcBorders>
              <w:top w:val="single" w:sz="4" w:space="0" w:color="auto"/>
              <w:left w:val="single" w:sz="4" w:space="0" w:color="auto"/>
              <w:bottom w:val="single" w:sz="4" w:space="0" w:color="auto"/>
              <w:right w:val="single" w:sz="4" w:space="0" w:color="auto"/>
            </w:tcBorders>
          </w:tcPr>
          <w:p w14:paraId="7493376D" w14:textId="649B1A6C"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29,1%</w:t>
            </w:r>
          </w:p>
        </w:tc>
        <w:tc>
          <w:tcPr>
            <w:tcW w:w="1559" w:type="dxa"/>
            <w:tcBorders>
              <w:top w:val="single" w:sz="4" w:space="0" w:color="auto"/>
              <w:left w:val="single" w:sz="4" w:space="0" w:color="auto"/>
              <w:bottom w:val="single" w:sz="4" w:space="0" w:color="auto"/>
              <w:right w:val="single" w:sz="4" w:space="0" w:color="auto"/>
            </w:tcBorders>
          </w:tcPr>
          <w:p w14:paraId="4EC25512" w14:textId="629D856F"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26,4 – 31,8%</w:t>
            </w:r>
          </w:p>
        </w:tc>
        <w:tc>
          <w:tcPr>
            <w:tcW w:w="851" w:type="dxa"/>
            <w:tcBorders>
              <w:top w:val="single" w:sz="4" w:space="0" w:color="auto"/>
              <w:left w:val="single" w:sz="4" w:space="0" w:color="auto"/>
              <w:bottom w:val="single" w:sz="4" w:space="0" w:color="auto"/>
              <w:right w:val="single" w:sz="4" w:space="0" w:color="auto"/>
            </w:tcBorders>
          </w:tcPr>
          <w:p w14:paraId="104672C7" w14:textId="6946A79B" w:rsidR="00FD7C12" w:rsidRPr="00D107ED" w:rsidRDefault="00454FA5"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lang w:val="en-US"/>
              </w:rPr>
              <w:t>0</w:t>
            </w:r>
            <w:r w:rsidRPr="00D107ED">
              <w:rPr>
                <w:rFonts w:ascii="Times New Roman" w:hAnsi="Times New Roman" w:cs="Times New Roman"/>
                <w:sz w:val="24"/>
                <w:szCs w:val="24"/>
              </w:rPr>
              <w:t>,495</w:t>
            </w:r>
          </w:p>
        </w:tc>
        <w:tc>
          <w:tcPr>
            <w:tcW w:w="850" w:type="dxa"/>
            <w:tcBorders>
              <w:top w:val="single" w:sz="4" w:space="0" w:color="auto"/>
              <w:left w:val="single" w:sz="4" w:space="0" w:color="auto"/>
              <w:bottom w:val="single" w:sz="4" w:space="0" w:color="auto"/>
              <w:right w:val="single" w:sz="4" w:space="0" w:color="auto"/>
            </w:tcBorders>
          </w:tcPr>
          <w:p w14:paraId="79ADEA98" w14:textId="5A2BDAB4" w:rsidR="00FD7C12" w:rsidRPr="00D107ED" w:rsidRDefault="00454FA5"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0,482</w:t>
            </w:r>
          </w:p>
        </w:tc>
      </w:tr>
      <w:tr w:rsidR="00FD7C12" w:rsidRPr="00D107ED" w14:paraId="6F9E5B1C" w14:textId="77777777"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4D6AB52B" w14:textId="5D366147" w:rsidR="00FD7C12" w:rsidRPr="00D107ED" w:rsidRDefault="00FD7C12" w:rsidP="009D023C">
            <w:pPr>
              <w:spacing w:after="0" w:line="240" w:lineRule="auto"/>
              <w:jc w:val="right"/>
              <w:rPr>
                <w:rFonts w:ascii="Times New Roman" w:hAnsi="Times New Roman" w:cs="Times New Roman"/>
                <w:bCs/>
                <w:sz w:val="24"/>
                <w:szCs w:val="24"/>
              </w:rPr>
            </w:pPr>
            <w:r w:rsidRPr="00D107ED">
              <w:rPr>
                <w:rFonts w:ascii="Times New Roman" w:hAnsi="Times New Roman" w:cs="Times New Roman"/>
                <w:bCs/>
                <w:sz w:val="24"/>
                <w:szCs w:val="24"/>
              </w:rPr>
              <w:t xml:space="preserve">   слабая</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11B51455" w14:textId="08091A60"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281</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6AD9AEF5" w14:textId="54EA77D4"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82,9%</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3C19E20B" w14:textId="0327A742"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78,9-86,9%</w:t>
            </w:r>
          </w:p>
        </w:tc>
        <w:tc>
          <w:tcPr>
            <w:tcW w:w="851" w:type="dxa"/>
            <w:tcBorders>
              <w:top w:val="single" w:sz="4" w:space="0" w:color="auto"/>
              <w:left w:val="single" w:sz="4" w:space="0" w:color="auto"/>
              <w:bottom w:val="single" w:sz="4" w:space="0" w:color="auto"/>
              <w:right w:val="single" w:sz="4" w:space="0" w:color="auto"/>
            </w:tcBorders>
          </w:tcPr>
          <w:p w14:paraId="48018F58" w14:textId="5014E5BD"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232</w:t>
            </w:r>
          </w:p>
        </w:tc>
        <w:tc>
          <w:tcPr>
            <w:tcW w:w="992" w:type="dxa"/>
            <w:tcBorders>
              <w:top w:val="single" w:sz="4" w:space="0" w:color="auto"/>
              <w:left w:val="single" w:sz="4" w:space="0" w:color="auto"/>
              <w:bottom w:val="single" w:sz="4" w:space="0" w:color="auto"/>
              <w:right w:val="single" w:sz="4" w:space="0" w:color="auto"/>
            </w:tcBorders>
          </w:tcPr>
          <w:p w14:paraId="7EE50A84" w14:textId="00CB940B"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75,1%</w:t>
            </w:r>
          </w:p>
        </w:tc>
        <w:tc>
          <w:tcPr>
            <w:tcW w:w="1559" w:type="dxa"/>
            <w:tcBorders>
              <w:top w:val="single" w:sz="4" w:space="0" w:color="auto"/>
              <w:left w:val="single" w:sz="4" w:space="0" w:color="auto"/>
              <w:bottom w:val="single" w:sz="4" w:space="0" w:color="auto"/>
              <w:right w:val="single" w:sz="4" w:space="0" w:color="auto"/>
            </w:tcBorders>
          </w:tcPr>
          <w:p w14:paraId="33D16B35" w14:textId="7A28675F" w:rsidR="00FD7C12" w:rsidRPr="00D107ED" w:rsidRDefault="00316D5C" w:rsidP="00316D5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 xml:space="preserve">70,3-79,9% </w:t>
            </w:r>
          </w:p>
        </w:tc>
        <w:tc>
          <w:tcPr>
            <w:tcW w:w="851" w:type="dxa"/>
            <w:tcBorders>
              <w:top w:val="single" w:sz="4" w:space="0" w:color="auto"/>
              <w:left w:val="single" w:sz="4" w:space="0" w:color="auto"/>
              <w:bottom w:val="single" w:sz="4" w:space="0" w:color="auto"/>
              <w:right w:val="single" w:sz="4" w:space="0" w:color="auto"/>
            </w:tcBorders>
          </w:tcPr>
          <w:p w14:paraId="040A9079" w14:textId="23E99831" w:rsidR="00FD7C12" w:rsidRPr="00D107ED" w:rsidRDefault="00E5544E"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0,105</w:t>
            </w:r>
          </w:p>
        </w:tc>
        <w:tc>
          <w:tcPr>
            <w:tcW w:w="850" w:type="dxa"/>
            <w:tcBorders>
              <w:top w:val="single" w:sz="4" w:space="0" w:color="auto"/>
              <w:left w:val="single" w:sz="4" w:space="0" w:color="auto"/>
              <w:bottom w:val="single" w:sz="4" w:space="0" w:color="auto"/>
              <w:right w:val="single" w:sz="4" w:space="0" w:color="auto"/>
            </w:tcBorders>
          </w:tcPr>
          <w:p w14:paraId="2455189F" w14:textId="3920AFBF" w:rsidR="00FD7C12" w:rsidRPr="00D107ED" w:rsidRDefault="00E5544E"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0,746</w:t>
            </w:r>
          </w:p>
        </w:tc>
      </w:tr>
      <w:tr w:rsidR="00FD7C12" w:rsidRPr="00D107ED" w14:paraId="635406E7" w14:textId="77777777"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612AD704" w14:textId="0A3ECB58" w:rsidR="00FD7C12" w:rsidRPr="00D107ED" w:rsidRDefault="00FD7C12" w:rsidP="009D023C">
            <w:pPr>
              <w:spacing w:after="0" w:line="240" w:lineRule="auto"/>
              <w:jc w:val="right"/>
              <w:rPr>
                <w:rFonts w:ascii="Times New Roman" w:hAnsi="Times New Roman" w:cs="Times New Roman"/>
                <w:bCs/>
                <w:sz w:val="24"/>
                <w:szCs w:val="24"/>
              </w:rPr>
            </w:pPr>
            <w:r w:rsidRPr="00D107ED">
              <w:rPr>
                <w:rFonts w:ascii="Times New Roman" w:hAnsi="Times New Roman" w:cs="Times New Roman"/>
                <w:bCs/>
                <w:sz w:val="24"/>
                <w:szCs w:val="24"/>
              </w:rPr>
              <w:t xml:space="preserve">   средняя</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4387982F" w14:textId="2348411B"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49</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43E613D9" w14:textId="30B11345"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14,5%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C943E53" w14:textId="0680FD4D"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10,8-18,3%</w:t>
            </w:r>
          </w:p>
        </w:tc>
        <w:tc>
          <w:tcPr>
            <w:tcW w:w="851" w:type="dxa"/>
            <w:tcBorders>
              <w:top w:val="single" w:sz="4" w:space="0" w:color="auto"/>
              <w:left w:val="single" w:sz="4" w:space="0" w:color="auto"/>
              <w:bottom w:val="single" w:sz="4" w:space="0" w:color="auto"/>
              <w:right w:val="single" w:sz="4" w:space="0" w:color="auto"/>
            </w:tcBorders>
          </w:tcPr>
          <w:p w14:paraId="0E27F5D5" w14:textId="7B12A324"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57</w:t>
            </w:r>
          </w:p>
        </w:tc>
        <w:tc>
          <w:tcPr>
            <w:tcW w:w="992" w:type="dxa"/>
            <w:tcBorders>
              <w:top w:val="single" w:sz="4" w:space="0" w:color="auto"/>
              <w:left w:val="single" w:sz="4" w:space="0" w:color="auto"/>
              <w:bottom w:val="single" w:sz="4" w:space="0" w:color="auto"/>
              <w:right w:val="single" w:sz="4" w:space="0" w:color="auto"/>
            </w:tcBorders>
          </w:tcPr>
          <w:p w14:paraId="2E0EB3A3" w14:textId="76F594E2"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18,4%</w:t>
            </w:r>
          </w:p>
        </w:tc>
        <w:tc>
          <w:tcPr>
            <w:tcW w:w="1559" w:type="dxa"/>
            <w:tcBorders>
              <w:top w:val="single" w:sz="4" w:space="0" w:color="auto"/>
              <w:left w:val="single" w:sz="4" w:space="0" w:color="auto"/>
              <w:bottom w:val="single" w:sz="4" w:space="0" w:color="auto"/>
              <w:right w:val="single" w:sz="4" w:space="0" w:color="auto"/>
            </w:tcBorders>
          </w:tcPr>
          <w:p w14:paraId="050E4418" w14:textId="7AFD1344"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14,1-22,7%</w:t>
            </w:r>
          </w:p>
        </w:tc>
        <w:tc>
          <w:tcPr>
            <w:tcW w:w="851" w:type="dxa"/>
            <w:tcBorders>
              <w:top w:val="single" w:sz="4" w:space="0" w:color="auto"/>
              <w:left w:val="single" w:sz="4" w:space="0" w:color="auto"/>
              <w:bottom w:val="single" w:sz="4" w:space="0" w:color="auto"/>
              <w:right w:val="single" w:sz="4" w:space="0" w:color="auto"/>
            </w:tcBorders>
          </w:tcPr>
          <w:p w14:paraId="0F56F1F6" w14:textId="085334EB" w:rsidR="00FD7C12" w:rsidRPr="00D107ED" w:rsidRDefault="00E5544E"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2,383</w:t>
            </w:r>
          </w:p>
        </w:tc>
        <w:tc>
          <w:tcPr>
            <w:tcW w:w="850" w:type="dxa"/>
            <w:tcBorders>
              <w:top w:val="single" w:sz="4" w:space="0" w:color="auto"/>
              <w:left w:val="single" w:sz="4" w:space="0" w:color="auto"/>
              <w:bottom w:val="single" w:sz="4" w:space="0" w:color="auto"/>
              <w:right w:val="single" w:sz="4" w:space="0" w:color="auto"/>
            </w:tcBorders>
          </w:tcPr>
          <w:p w14:paraId="158D2869" w14:textId="315D3BC8" w:rsidR="00FD7C12" w:rsidRPr="00D107ED" w:rsidRDefault="00E5544E"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0,122</w:t>
            </w:r>
          </w:p>
        </w:tc>
      </w:tr>
      <w:tr w:rsidR="00FD7C12" w:rsidRPr="00D107ED" w14:paraId="7943BDAC" w14:textId="77777777"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47B4726E" w14:textId="260BADB0" w:rsidR="00FD7C12" w:rsidRPr="00D107ED" w:rsidRDefault="00FD7C12" w:rsidP="009D023C">
            <w:pPr>
              <w:spacing w:after="0" w:line="240" w:lineRule="auto"/>
              <w:jc w:val="right"/>
              <w:rPr>
                <w:rFonts w:ascii="Times New Roman" w:hAnsi="Times New Roman" w:cs="Times New Roman"/>
                <w:bCs/>
                <w:sz w:val="24"/>
                <w:szCs w:val="24"/>
              </w:rPr>
            </w:pPr>
            <w:r w:rsidRPr="00D107ED">
              <w:rPr>
                <w:rFonts w:ascii="Times New Roman" w:hAnsi="Times New Roman" w:cs="Times New Roman"/>
                <w:bCs/>
                <w:sz w:val="24"/>
                <w:szCs w:val="24"/>
              </w:rPr>
              <w:t xml:space="preserve">   высокая</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096B409" w14:textId="12BB585F"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9</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6085A172" w14:textId="2AE9C23C"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18F8D13" w14:textId="367D71CF"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0,9-4,4%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23D2A3" w14:textId="59D913EF"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54B506" w14:textId="2B80F4B2"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B1654B" w14:textId="23215C47" w:rsidR="00FD7C12" w:rsidRPr="00D107ED" w:rsidRDefault="00316D5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3,8-9,3%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87DE57" w14:textId="55759D82" w:rsidR="00FD7C12" w:rsidRPr="00D107ED" w:rsidRDefault="009716FB"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6,013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697F41" w14:textId="098E4DAA" w:rsidR="00FD7C12" w:rsidRPr="00D107ED" w:rsidRDefault="009716FB"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0,014</w:t>
            </w:r>
          </w:p>
        </w:tc>
      </w:tr>
      <w:tr w:rsidR="00AC7326" w:rsidRPr="00D107ED" w14:paraId="50495C02" w14:textId="115F3B86"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hideMark/>
          </w:tcPr>
          <w:p w14:paraId="0C73A345" w14:textId="77777777" w:rsidR="00BD65A9" w:rsidRPr="00D107ED" w:rsidRDefault="00BD65A9" w:rsidP="00762EBC">
            <w:pPr>
              <w:spacing w:after="0" w:line="240" w:lineRule="auto"/>
              <w:rPr>
                <w:rFonts w:ascii="Times New Roman" w:hAnsi="Times New Roman" w:cs="Times New Roman"/>
                <w:bCs/>
                <w:sz w:val="24"/>
                <w:szCs w:val="24"/>
              </w:rPr>
            </w:pPr>
            <w:r w:rsidRPr="00D107ED">
              <w:rPr>
                <w:rFonts w:ascii="Times New Roman" w:hAnsi="Times New Roman" w:cs="Times New Roman"/>
                <w:bCs/>
                <w:sz w:val="24"/>
                <w:szCs w:val="24"/>
              </w:rPr>
              <w:t>Гиперметропия всего</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4B4B4045"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46</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0ED655E"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3,7%</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E5699DE"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2,7–4,8%</w:t>
            </w:r>
          </w:p>
        </w:tc>
        <w:tc>
          <w:tcPr>
            <w:tcW w:w="851" w:type="dxa"/>
            <w:tcBorders>
              <w:top w:val="single" w:sz="4" w:space="0" w:color="auto"/>
              <w:left w:val="single" w:sz="4" w:space="0" w:color="auto"/>
              <w:bottom w:val="single" w:sz="4" w:space="0" w:color="auto"/>
              <w:right w:val="single" w:sz="4" w:space="0" w:color="auto"/>
            </w:tcBorders>
          </w:tcPr>
          <w:p w14:paraId="6B59C7DE"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tcPr>
          <w:p w14:paraId="6E5570E7"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2,9%</w:t>
            </w:r>
          </w:p>
        </w:tc>
        <w:tc>
          <w:tcPr>
            <w:tcW w:w="1559" w:type="dxa"/>
            <w:tcBorders>
              <w:top w:val="single" w:sz="4" w:space="0" w:color="auto"/>
              <w:left w:val="single" w:sz="4" w:space="0" w:color="auto"/>
              <w:bottom w:val="single" w:sz="4" w:space="0" w:color="auto"/>
              <w:right w:val="single" w:sz="4" w:space="0" w:color="auto"/>
            </w:tcBorders>
          </w:tcPr>
          <w:p w14:paraId="5ED9456D"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1,9–3,9%</w:t>
            </w:r>
          </w:p>
        </w:tc>
        <w:tc>
          <w:tcPr>
            <w:tcW w:w="851" w:type="dxa"/>
            <w:tcBorders>
              <w:top w:val="single" w:sz="4" w:space="0" w:color="auto"/>
              <w:left w:val="single" w:sz="4" w:space="0" w:color="auto"/>
              <w:bottom w:val="single" w:sz="4" w:space="0" w:color="auto"/>
              <w:right w:val="single" w:sz="4" w:space="0" w:color="auto"/>
            </w:tcBorders>
          </w:tcPr>
          <w:p w14:paraId="7AC6F322" w14:textId="6816BB49"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0,99</w:t>
            </w:r>
          </w:p>
        </w:tc>
        <w:tc>
          <w:tcPr>
            <w:tcW w:w="850" w:type="dxa"/>
            <w:tcBorders>
              <w:top w:val="single" w:sz="4" w:space="0" w:color="auto"/>
              <w:left w:val="single" w:sz="4" w:space="0" w:color="auto"/>
              <w:bottom w:val="single" w:sz="4" w:space="0" w:color="auto"/>
              <w:right w:val="single" w:sz="4" w:space="0" w:color="auto"/>
            </w:tcBorders>
          </w:tcPr>
          <w:p w14:paraId="0D7B3E47" w14:textId="1CA61BA7"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0,320</w:t>
            </w:r>
          </w:p>
        </w:tc>
      </w:tr>
      <w:tr w:rsidR="00AC7326" w:rsidRPr="00D107ED" w14:paraId="1381F43F" w14:textId="4C10DEEB" w:rsidTr="00370636">
        <w:trPr>
          <w:trHeight w:val="311"/>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95BAAC5" w14:textId="00B0D504" w:rsidR="00BD65A9" w:rsidRPr="00D107ED" w:rsidRDefault="009E1131" w:rsidP="009D023C">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w:t>
            </w:r>
            <w:r w:rsidR="00BD65A9" w:rsidRPr="00D107ED">
              <w:rPr>
                <w:rFonts w:ascii="Times New Roman" w:hAnsi="Times New Roman" w:cs="Times New Roman"/>
                <w:sz w:val="24"/>
                <w:szCs w:val="24"/>
              </w:rPr>
              <w:t xml:space="preserve">слабая </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3CB30C9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40</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BF64868"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87,0%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24491EC"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77,3–96,7%</w:t>
            </w:r>
          </w:p>
        </w:tc>
        <w:tc>
          <w:tcPr>
            <w:tcW w:w="851" w:type="dxa"/>
            <w:tcBorders>
              <w:top w:val="single" w:sz="4" w:space="0" w:color="auto"/>
              <w:left w:val="single" w:sz="4" w:space="0" w:color="auto"/>
              <w:bottom w:val="single" w:sz="4" w:space="0" w:color="auto"/>
              <w:right w:val="single" w:sz="4" w:space="0" w:color="auto"/>
            </w:tcBorders>
          </w:tcPr>
          <w:p w14:paraId="4B9F0A4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tcPr>
          <w:p w14:paraId="2F598C2D"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93,5%</w:t>
            </w:r>
          </w:p>
        </w:tc>
        <w:tc>
          <w:tcPr>
            <w:tcW w:w="1559" w:type="dxa"/>
            <w:tcBorders>
              <w:top w:val="single" w:sz="4" w:space="0" w:color="auto"/>
              <w:left w:val="single" w:sz="4" w:space="0" w:color="auto"/>
              <w:bottom w:val="single" w:sz="4" w:space="0" w:color="auto"/>
              <w:right w:val="single" w:sz="4" w:space="0" w:color="auto"/>
            </w:tcBorders>
          </w:tcPr>
          <w:p w14:paraId="19635A0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84,8–102,2%</w:t>
            </w:r>
          </w:p>
        </w:tc>
        <w:tc>
          <w:tcPr>
            <w:tcW w:w="851" w:type="dxa"/>
            <w:tcBorders>
              <w:top w:val="single" w:sz="4" w:space="0" w:color="auto"/>
              <w:left w:val="single" w:sz="4" w:space="0" w:color="auto"/>
              <w:bottom w:val="single" w:sz="4" w:space="0" w:color="auto"/>
              <w:right w:val="single" w:sz="4" w:space="0" w:color="auto"/>
            </w:tcBorders>
          </w:tcPr>
          <w:p w14:paraId="320C4B4F" w14:textId="703B3D57"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0,430</w:t>
            </w:r>
          </w:p>
        </w:tc>
        <w:tc>
          <w:tcPr>
            <w:tcW w:w="850" w:type="dxa"/>
            <w:tcBorders>
              <w:top w:val="single" w:sz="4" w:space="0" w:color="auto"/>
              <w:left w:val="single" w:sz="4" w:space="0" w:color="auto"/>
              <w:bottom w:val="single" w:sz="4" w:space="0" w:color="auto"/>
              <w:right w:val="single" w:sz="4" w:space="0" w:color="auto"/>
            </w:tcBorders>
          </w:tcPr>
          <w:p w14:paraId="3E44AEE5" w14:textId="5EA370BF"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0,512</w:t>
            </w:r>
          </w:p>
        </w:tc>
      </w:tr>
      <w:tr w:rsidR="00AC7326" w:rsidRPr="00D107ED" w14:paraId="5F13B181" w14:textId="6BF652A4" w:rsidTr="00370636">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hideMark/>
          </w:tcPr>
          <w:p w14:paraId="7B83DAB7" w14:textId="1AE89F18" w:rsidR="00BD65A9" w:rsidRPr="00D107ED" w:rsidRDefault="00BD65A9" w:rsidP="009D023C">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w:t>
            </w:r>
            <w:r w:rsidR="009E1131" w:rsidRPr="00D107ED">
              <w:rPr>
                <w:rFonts w:ascii="Times New Roman" w:hAnsi="Times New Roman" w:cs="Times New Roman"/>
                <w:sz w:val="24"/>
                <w:szCs w:val="24"/>
              </w:rPr>
              <w:t xml:space="preserve"> </w:t>
            </w:r>
            <w:r w:rsidRPr="00D107ED">
              <w:rPr>
                <w:rFonts w:ascii="Times New Roman" w:hAnsi="Times New Roman" w:cs="Times New Roman"/>
                <w:sz w:val="24"/>
                <w:szCs w:val="24"/>
              </w:rPr>
              <w:t>средняя</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C6AA9C7"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2FFDE2E"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13,0%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5CFB6EF7"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3,3–22,7%</w:t>
            </w:r>
          </w:p>
        </w:tc>
        <w:tc>
          <w:tcPr>
            <w:tcW w:w="851" w:type="dxa"/>
            <w:tcBorders>
              <w:top w:val="single" w:sz="4" w:space="0" w:color="auto"/>
              <w:left w:val="single" w:sz="4" w:space="0" w:color="auto"/>
              <w:bottom w:val="single" w:sz="4" w:space="0" w:color="auto"/>
              <w:right w:val="single" w:sz="4" w:space="0" w:color="auto"/>
            </w:tcBorders>
          </w:tcPr>
          <w:p w14:paraId="34DCD51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6E6D721"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tcPr>
          <w:p w14:paraId="30D7BA5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-2,-15,2%</w:t>
            </w:r>
          </w:p>
        </w:tc>
        <w:tc>
          <w:tcPr>
            <w:tcW w:w="851" w:type="dxa"/>
            <w:tcBorders>
              <w:top w:val="single" w:sz="4" w:space="0" w:color="auto"/>
              <w:left w:val="single" w:sz="4" w:space="0" w:color="auto"/>
              <w:bottom w:val="single" w:sz="4" w:space="0" w:color="auto"/>
              <w:right w:val="single" w:sz="4" w:space="0" w:color="auto"/>
            </w:tcBorders>
          </w:tcPr>
          <w:p w14:paraId="71E8EB2C" w14:textId="1E7A936E"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1,419</w:t>
            </w:r>
          </w:p>
        </w:tc>
        <w:tc>
          <w:tcPr>
            <w:tcW w:w="850" w:type="dxa"/>
            <w:tcBorders>
              <w:top w:val="single" w:sz="4" w:space="0" w:color="auto"/>
              <w:left w:val="single" w:sz="4" w:space="0" w:color="auto"/>
              <w:bottom w:val="single" w:sz="4" w:space="0" w:color="auto"/>
              <w:right w:val="single" w:sz="4" w:space="0" w:color="auto"/>
            </w:tcBorders>
          </w:tcPr>
          <w:p w14:paraId="63CD5A68" w14:textId="698E13C5"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0,233</w:t>
            </w:r>
          </w:p>
        </w:tc>
      </w:tr>
    </w:tbl>
    <w:p w14:paraId="4B032747" w14:textId="77777777" w:rsidR="00F36CAD" w:rsidRPr="00DD2BEC" w:rsidRDefault="00F36CAD">
      <w:pPr>
        <w:rPr>
          <w:lang w:val="en-US"/>
        </w:rPr>
      </w:pPr>
    </w:p>
    <w:p w14:paraId="5005B986" w14:textId="77777777" w:rsidR="00B37CEC" w:rsidRDefault="00B37CEC" w:rsidP="00F36CAD">
      <w:pPr>
        <w:jc w:val="right"/>
        <w:rPr>
          <w:rFonts w:ascii="Times New Roman" w:hAnsi="Times New Roman" w:cs="Times New Roman"/>
          <w:sz w:val="28"/>
          <w:szCs w:val="28"/>
        </w:rPr>
      </w:pPr>
    </w:p>
    <w:p w14:paraId="3FDD2A6B" w14:textId="77777777" w:rsidR="00370636" w:rsidRDefault="00370636" w:rsidP="00F36CAD">
      <w:pPr>
        <w:jc w:val="right"/>
        <w:rPr>
          <w:rFonts w:ascii="Times New Roman" w:hAnsi="Times New Roman" w:cs="Times New Roman"/>
          <w:sz w:val="28"/>
          <w:szCs w:val="28"/>
        </w:rPr>
      </w:pPr>
    </w:p>
    <w:p w14:paraId="5306BBBD" w14:textId="6DBCC994" w:rsidR="00F36CAD" w:rsidRPr="00F36CAD" w:rsidRDefault="00DD2BEC" w:rsidP="00F36CAD">
      <w:pPr>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w:t>
      </w:r>
      <w:r w:rsidR="00F36CAD" w:rsidRPr="00F36CAD">
        <w:rPr>
          <w:rFonts w:ascii="Times New Roman" w:hAnsi="Times New Roman" w:cs="Times New Roman"/>
          <w:sz w:val="28"/>
          <w:szCs w:val="28"/>
        </w:rPr>
        <w:t>аблиц</w:t>
      </w:r>
      <w:r>
        <w:rPr>
          <w:rFonts w:ascii="Times New Roman" w:hAnsi="Times New Roman" w:cs="Times New Roman"/>
          <w:sz w:val="28"/>
          <w:szCs w:val="28"/>
        </w:rPr>
        <w:t>ы</w:t>
      </w:r>
      <w:r w:rsidR="00F36CAD" w:rsidRPr="00F36CAD">
        <w:rPr>
          <w:rFonts w:ascii="Times New Roman" w:hAnsi="Times New Roman" w:cs="Times New Roman"/>
          <w:sz w:val="28"/>
          <w:szCs w:val="28"/>
        </w:rPr>
        <w:t xml:space="preserve"> 10</w:t>
      </w:r>
    </w:p>
    <w:tbl>
      <w:tblPr>
        <w:tblW w:w="9643" w:type="dxa"/>
        <w:jc w:val="center"/>
        <w:tblLayout w:type="fixed"/>
        <w:tblLook w:val="04A0" w:firstRow="1" w:lastRow="0" w:firstColumn="1" w:lastColumn="0" w:noHBand="0" w:noVBand="1"/>
      </w:tblPr>
      <w:tblGrid>
        <w:gridCol w:w="1696"/>
        <w:gridCol w:w="567"/>
        <w:gridCol w:w="860"/>
        <w:gridCol w:w="1417"/>
        <w:gridCol w:w="851"/>
        <w:gridCol w:w="992"/>
        <w:gridCol w:w="1559"/>
        <w:gridCol w:w="851"/>
        <w:gridCol w:w="850"/>
      </w:tblGrid>
      <w:tr w:rsidR="00AC7326" w:rsidRPr="00D107ED" w14:paraId="3BEF9EBB" w14:textId="5812394C" w:rsidTr="00D107E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118D9A47" w14:textId="60E8F7D4" w:rsidR="00BD65A9" w:rsidRPr="00D107ED" w:rsidRDefault="00D107ED" w:rsidP="00D107ED">
            <w:pPr>
              <w:spacing w:after="0" w:line="240" w:lineRule="auto"/>
              <w:rPr>
                <w:rFonts w:ascii="Times New Roman" w:hAnsi="Times New Roman" w:cs="Times New Roman"/>
                <w:bCs/>
                <w:sz w:val="24"/>
                <w:szCs w:val="24"/>
              </w:rPr>
            </w:pPr>
            <w:r>
              <w:rPr>
                <w:rFonts w:ascii="Times New Roman" w:hAnsi="Times New Roman" w:cs="Times New Roman"/>
                <w:bCs/>
                <w:sz w:val="24"/>
                <w:szCs w:val="24"/>
              </w:rPr>
              <w:t>Астигматизм</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64454D"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35</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21C35498"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D9118D8"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1,9–3,7%</w:t>
            </w:r>
          </w:p>
        </w:tc>
        <w:tc>
          <w:tcPr>
            <w:tcW w:w="851" w:type="dxa"/>
            <w:tcBorders>
              <w:top w:val="single" w:sz="4" w:space="0" w:color="auto"/>
              <w:left w:val="single" w:sz="4" w:space="0" w:color="auto"/>
              <w:bottom w:val="single" w:sz="4" w:space="0" w:color="auto"/>
              <w:right w:val="single" w:sz="4" w:space="0" w:color="auto"/>
            </w:tcBorders>
          </w:tcPr>
          <w:p w14:paraId="22730597"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tcPr>
          <w:p w14:paraId="31AA33A5"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tcPr>
          <w:p w14:paraId="698C06D9"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1,7–3,7%</w:t>
            </w:r>
          </w:p>
        </w:tc>
        <w:tc>
          <w:tcPr>
            <w:tcW w:w="851" w:type="dxa"/>
            <w:tcBorders>
              <w:top w:val="single" w:sz="4" w:space="0" w:color="auto"/>
              <w:left w:val="single" w:sz="4" w:space="0" w:color="auto"/>
              <w:bottom w:val="single" w:sz="4" w:space="0" w:color="auto"/>
              <w:right w:val="single" w:sz="4" w:space="0" w:color="auto"/>
            </w:tcBorders>
          </w:tcPr>
          <w:p w14:paraId="121F3543" w14:textId="48395444"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0,013</w:t>
            </w:r>
          </w:p>
        </w:tc>
        <w:tc>
          <w:tcPr>
            <w:tcW w:w="850" w:type="dxa"/>
            <w:tcBorders>
              <w:top w:val="single" w:sz="4" w:space="0" w:color="auto"/>
              <w:left w:val="single" w:sz="4" w:space="0" w:color="auto"/>
              <w:bottom w:val="single" w:sz="4" w:space="0" w:color="auto"/>
              <w:right w:val="single" w:sz="4" w:space="0" w:color="auto"/>
            </w:tcBorders>
          </w:tcPr>
          <w:p w14:paraId="4E2CF991" w14:textId="2E977091" w:rsidR="00BD65A9" w:rsidRPr="00D107ED" w:rsidRDefault="00AC7326"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0,908</w:t>
            </w:r>
          </w:p>
        </w:tc>
      </w:tr>
      <w:tr w:rsidR="00AC7326" w:rsidRPr="00D107ED" w14:paraId="7A7037AF" w14:textId="2E6F0B2A" w:rsidTr="00D107E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2A934FC" w14:textId="5F09F7E4" w:rsidR="00BD65A9" w:rsidRPr="00D107ED" w:rsidRDefault="009E1131" w:rsidP="009D023C">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w:t>
            </w:r>
            <w:r w:rsidR="00BD65A9" w:rsidRPr="00D107ED">
              <w:rPr>
                <w:rFonts w:ascii="Times New Roman" w:hAnsi="Times New Roman" w:cs="Times New Roman"/>
                <w:sz w:val="24"/>
                <w:szCs w:val="24"/>
              </w:rPr>
              <w:t xml:space="preserve">слабый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62AB9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28</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445CDBF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396FDAC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66,8–93,2%</w:t>
            </w:r>
          </w:p>
        </w:tc>
        <w:tc>
          <w:tcPr>
            <w:tcW w:w="851" w:type="dxa"/>
            <w:tcBorders>
              <w:top w:val="single" w:sz="4" w:space="0" w:color="auto"/>
              <w:left w:val="single" w:sz="4" w:space="0" w:color="auto"/>
              <w:bottom w:val="single" w:sz="4" w:space="0" w:color="auto"/>
              <w:right w:val="single" w:sz="4" w:space="0" w:color="auto"/>
            </w:tcBorders>
          </w:tcPr>
          <w:p w14:paraId="1329507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14:paraId="33010AAC"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65,5%</w:t>
            </w:r>
          </w:p>
        </w:tc>
        <w:tc>
          <w:tcPr>
            <w:tcW w:w="1559" w:type="dxa"/>
            <w:tcBorders>
              <w:top w:val="single" w:sz="4" w:space="0" w:color="auto"/>
              <w:left w:val="single" w:sz="4" w:space="0" w:color="auto"/>
              <w:bottom w:val="single" w:sz="4" w:space="0" w:color="auto"/>
              <w:right w:val="single" w:sz="4" w:space="0" w:color="auto"/>
            </w:tcBorders>
          </w:tcPr>
          <w:p w14:paraId="4A0344B9"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48,2–82,8%</w:t>
            </w:r>
          </w:p>
        </w:tc>
        <w:tc>
          <w:tcPr>
            <w:tcW w:w="851" w:type="dxa"/>
            <w:tcBorders>
              <w:top w:val="single" w:sz="4" w:space="0" w:color="auto"/>
              <w:left w:val="single" w:sz="4" w:space="0" w:color="auto"/>
              <w:bottom w:val="single" w:sz="4" w:space="0" w:color="auto"/>
              <w:right w:val="single" w:sz="4" w:space="0" w:color="auto"/>
            </w:tcBorders>
          </w:tcPr>
          <w:p w14:paraId="235D7B3F" w14:textId="32B470BF" w:rsidR="00BD65A9" w:rsidRPr="00D107ED" w:rsidRDefault="00A87F2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0,580</w:t>
            </w:r>
          </w:p>
        </w:tc>
        <w:tc>
          <w:tcPr>
            <w:tcW w:w="850" w:type="dxa"/>
            <w:tcBorders>
              <w:top w:val="single" w:sz="4" w:space="0" w:color="auto"/>
              <w:left w:val="single" w:sz="4" w:space="0" w:color="auto"/>
              <w:bottom w:val="single" w:sz="4" w:space="0" w:color="auto"/>
              <w:right w:val="single" w:sz="4" w:space="0" w:color="auto"/>
            </w:tcBorders>
          </w:tcPr>
          <w:p w14:paraId="750C1BC7" w14:textId="4E94479B" w:rsidR="00BD65A9" w:rsidRPr="00D107ED" w:rsidRDefault="00A87F2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0,446</w:t>
            </w:r>
          </w:p>
        </w:tc>
      </w:tr>
      <w:tr w:rsidR="00AC7326" w:rsidRPr="00D107ED" w14:paraId="4DC29EC6" w14:textId="6C92931B" w:rsidTr="00D107E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E15238B" w14:textId="1502F080" w:rsidR="00BD65A9" w:rsidRPr="00D107ED" w:rsidRDefault="00BD65A9" w:rsidP="009D023C">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высокий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0165C9"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7</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6CAAA52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98E16BD"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6,8–33,2%</w:t>
            </w:r>
          </w:p>
        </w:tc>
        <w:tc>
          <w:tcPr>
            <w:tcW w:w="851" w:type="dxa"/>
            <w:tcBorders>
              <w:top w:val="single" w:sz="4" w:space="0" w:color="auto"/>
              <w:left w:val="single" w:sz="4" w:space="0" w:color="auto"/>
              <w:bottom w:val="single" w:sz="4" w:space="0" w:color="auto"/>
              <w:right w:val="single" w:sz="4" w:space="0" w:color="auto"/>
            </w:tcBorders>
          </w:tcPr>
          <w:p w14:paraId="0B0B479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4AC58FFE"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34,5%</w:t>
            </w:r>
          </w:p>
        </w:tc>
        <w:tc>
          <w:tcPr>
            <w:tcW w:w="1559" w:type="dxa"/>
            <w:tcBorders>
              <w:top w:val="single" w:sz="4" w:space="0" w:color="auto"/>
              <w:left w:val="single" w:sz="4" w:space="0" w:color="auto"/>
              <w:bottom w:val="single" w:sz="4" w:space="0" w:color="auto"/>
              <w:right w:val="single" w:sz="4" w:space="0" w:color="auto"/>
            </w:tcBorders>
          </w:tcPr>
          <w:p w14:paraId="1831E8F4"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17,2–51,8%</w:t>
            </w:r>
          </w:p>
        </w:tc>
        <w:tc>
          <w:tcPr>
            <w:tcW w:w="851" w:type="dxa"/>
            <w:tcBorders>
              <w:top w:val="single" w:sz="4" w:space="0" w:color="auto"/>
              <w:left w:val="single" w:sz="4" w:space="0" w:color="auto"/>
              <w:bottom w:val="single" w:sz="4" w:space="0" w:color="auto"/>
              <w:right w:val="single" w:sz="4" w:space="0" w:color="auto"/>
            </w:tcBorders>
          </w:tcPr>
          <w:p w14:paraId="49114430" w14:textId="4FD02F10" w:rsidR="00BD65A9" w:rsidRPr="00D107ED" w:rsidRDefault="00A87F2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1,105</w:t>
            </w:r>
          </w:p>
        </w:tc>
        <w:tc>
          <w:tcPr>
            <w:tcW w:w="850" w:type="dxa"/>
            <w:tcBorders>
              <w:top w:val="single" w:sz="4" w:space="0" w:color="auto"/>
              <w:left w:val="single" w:sz="4" w:space="0" w:color="auto"/>
              <w:bottom w:val="single" w:sz="4" w:space="0" w:color="auto"/>
              <w:right w:val="single" w:sz="4" w:space="0" w:color="auto"/>
            </w:tcBorders>
          </w:tcPr>
          <w:p w14:paraId="4E226FB7" w14:textId="647C5690" w:rsidR="00BD65A9" w:rsidRPr="00D107ED" w:rsidRDefault="00A87F2C"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0,293</w:t>
            </w:r>
          </w:p>
        </w:tc>
      </w:tr>
      <w:tr w:rsidR="00BD65A9" w:rsidRPr="00D107ED" w14:paraId="67E5B534" w14:textId="1A249188" w:rsidTr="00D107ED">
        <w:trPr>
          <w:trHeight w:val="288"/>
          <w:jc w:val="center"/>
        </w:trPr>
        <w:tc>
          <w:tcPr>
            <w:tcW w:w="7942" w:type="dxa"/>
            <w:gridSpan w:val="7"/>
            <w:tcBorders>
              <w:top w:val="single" w:sz="4" w:space="0" w:color="auto"/>
              <w:left w:val="single" w:sz="4" w:space="0" w:color="auto"/>
              <w:bottom w:val="single" w:sz="4" w:space="0" w:color="auto"/>
              <w:right w:val="single" w:sz="4" w:space="0" w:color="auto"/>
            </w:tcBorders>
            <w:shd w:val="clear" w:color="auto" w:fill="auto"/>
          </w:tcPr>
          <w:p w14:paraId="3E51EC5E" w14:textId="763EA6B4" w:rsidR="00BD65A9" w:rsidRPr="00D107ED" w:rsidRDefault="00BD65A9" w:rsidP="00762EBC">
            <w:pPr>
              <w:spacing w:after="0" w:line="240" w:lineRule="auto"/>
              <w:rPr>
                <w:rFonts w:ascii="Times New Roman" w:hAnsi="Times New Roman" w:cs="Times New Roman"/>
                <w:sz w:val="24"/>
                <w:szCs w:val="24"/>
              </w:rPr>
            </w:pPr>
            <w:r w:rsidRPr="00D107ED">
              <w:rPr>
                <w:rFonts w:ascii="Times New Roman" w:hAnsi="Times New Roman" w:cs="Times New Roman"/>
                <w:sz w:val="24"/>
                <w:szCs w:val="24"/>
              </w:rPr>
              <w:t>по рефракции:</w:t>
            </w:r>
          </w:p>
        </w:tc>
        <w:tc>
          <w:tcPr>
            <w:tcW w:w="851" w:type="dxa"/>
            <w:tcBorders>
              <w:top w:val="single" w:sz="4" w:space="0" w:color="auto"/>
              <w:left w:val="single" w:sz="4" w:space="0" w:color="auto"/>
              <w:bottom w:val="single" w:sz="4" w:space="0" w:color="auto"/>
              <w:right w:val="single" w:sz="4" w:space="0" w:color="auto"/>
            </w:tcBorders>
          </w:tcPr>
          <w:p w14:paraId="47505B1C" w14:textId="77777777" w:rsidR="00BD65A9" w:rsidRPr="00D107ED" w:rsidRDefault="00BD65A9" w:rsidP="00762EBC">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7EFBDEA" w14:textId="3671D049" w:rsidR="00BD65A9" w:rsidRPr="00D107ED" w:rsidRDefault="00BD65A9" w:rsidP="00762EBC">
            <w:pPr>
              <w:spacing w:after="0" w:line="240" w:lineRule="auto"/>
              <w:rPr>
                <w:rFonts w:ascii="Times New Roman" w:hAnsi="Times New Roman" w:cs="Times New Roman"/>
                <w:sz w:val="24"/>
                <w:szCs w:val="24"/>
              </w:rPr>
            </w:pPr>
          </w:p>
        </w:tc>
      </w:tr>
      <w:tr w:rsidR="00AC7326" w:rsidRPr="00D107ED" w14:paraId="37C97014" w14:textId="135573A1" w:rsidTr="00D107E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2656AAC" w14:textId="3A45D5ED" w:rsidR="00BD65A9" w:rsidRPr="00D107ED" w:rsidRDefault="00BD65A9" w:rsidP="00D107ED">
            <w:pPr>
              <w:spacing w:after="0" w:line="240" w:lineRule="auto"/>
              <w:rPr>
                <w:rFonts w:ascii="Times New Roman" w:hAnsi="Times New Roman" w:cs="Times New Roman"/>
                <w:sz w:val="24"/>
                <w:szCs w:val="24"/>
              </w:rPr>
            </w:pPr>
            <w:r w:rsidRPr="00D107ED">
              <w:rPr>
                <w:rFonts w:ascii="Times New Roman" w:hAnsi="Times New Roman" w:cs="Times New Roman"/>
                <w:sz w:val="24"/>
                <w:szCs w:val="24"/>
              </w:rPr>
              <w:t>миопический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BA401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17</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7F38C87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48,6%</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06FFDA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32,0–65,2%</w:t>
            </w:r>
          </w:p>
        </w:tc>
        <w:tc>
          <w:tcPr>
            <w:tcW w:w="851" w:type="dxa"/>
            <w:tcBorders>
              <w:top w:val="single" w:sz="4" w:space="0" w:color="auto"/>
              <w:left w:val="single" w:sz="4" w:space="0" w:color="auto"/>
              <w:bottom w:val="single" w:sz="4" w:space="0" w:color="auto"/>
              <w:right w:val="single" w:sz="4" w:space="0" w:color="auto"/>
            </w:tcBorders>
          </w:tcPr>
          <w:p w14:paraId="23621FDF"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14:paraId="066D76B2"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62,1%</w:t>
            </w:r>
          </w:p>
        </w:tc>
        <w:tc>
          <w:tcPr>
            <w:tcW w:w="1559" w:type="dxa"/>
            <w:tcBorders>
              <w:top w:val="single" w:sz="4" w:space="0" w:color="auto"/>
              <w:left w:val="single" w:sz="4" w:space="0" w:color="auto"/>
              <w:bottom w:val="single" w:sz="4" w:space="0" w:color="auto"/>
              <w:right w:val="single" w:sz="4" w:space="0" w:color="auto"/>
            </w:tcBorders>
          </w:tcPr>
          <w:p w14:paraId="306F457C"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44,4–79,8%</w:t>
            </w:r>
          </w:p>
        </w:tc>
        <w:tc>
          <w:tcPr>
            <w:tcW w:w="851" w:type="dxa"/>
            <w:tcBorders>
              <w:top w:val="single" w:sz="4" w:space="0" w:color="auto"/>
              <w:left w:val="single" w:sz="4" w:space="0" w:color="auto"/>
              <w:bottom w:val="single" w:sz="4" w:space="0" w:color="auto"/>
              <w:right w:val="single" w:sz="4" w:space="0" w:color="auto"/>
            </w:tcBorders>
          </w:tcPr>
          <w:p w14:paraId="2C058E04" w14:textId="136D03C1"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0,399</w:t>
            </w:r>
          </w:p>
        </w:tc>
        <w:tc>
          <w:tcPr>
            <w:tcW w:w="850" w:type="dxa"/>
            <w:tcBorders>
              <w:top w:val="single" w:sz="4" w:space="0" w:color="auto"/>
              <w:left w:val="single" w:sz="4" w:space="0" w:color="auto"/>
              <w:bottom w:val="single" w:sz="4" w:space="0" w:color="auto"/>
              <w:right w:val="single" w:sz="4" w:space="0" w:color="auto"/>
            </w:tcBorders>
          </w:tcPr>
          <w:p w14:paraId="5041B51D" w14:textId="6B90805E"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0,527</w:t>
            </w:r>
          </w:p>
        </w:tc>
      </w:tr>
      <w:tr w:rsidR="00AC7326" w:rsidRPr="00D107ED" w14:paraId="544BBCBC" w14:textId="03CDFA46" w:rsidTr="00D107ED">
        <w:trPr>
          <w:trHeight w:val="384"/>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5DD746D" w14:textId="7C712070" w:rsidR="00BD65A9" w:rsidRPr="00D107ED" w:rsidRDefault="00D107ED" w:rsidP="00D107ED">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w:t>
            </w:r>
            <w:r w:rsidR="00D510F7" w:rsidRPr="00D107ED">
              <w:rPr>
                <w:rFonts w:ascii="Times New Roman" w:hAnsi="Times New Roman" w:cs="Times New Roman"/>
                <w:sz w:val="24"/>
                <w:szCs w:val="24"/>
              </w:rPr>
              <w:t>г</w:t>
            </w:r>
            <w:r w:rsidR="00BD65A9" w:rsidRPr="00D107ED">
              <w:rPr>
                <w:rFonts w:ascii="Times New Roman" w:hAnsi="Times New Roman" w:cs="Times New Roman"/>
                <w:sz w:val="24"/>
                <w:szCs w:val="24"/>
              </w:rPr>
              <w:t>иперметроп</w:t>
            </w:r>
            <w:r w:rsidR="00D510F7" w:rsidRPr="00D107E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C8462C"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2D38F840"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17,1%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D988929"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4,6–29,6%</w:t>
            </w:r>
          </w:p>
        </w:tc>
        <w:tc>
          <w:tcPr>
            <w:tcW w:w="851" w:type="dxa"/>
            <w:tcBorders>
              <w:top w:val="single" w:sz="4" w:space="0" w:color="auto"/>
              <w:left w:val="single" w:sz="4" w:space="0" w:color="auto"/>
              <w:bottom w:val="single" w:sz="4" w:space="0" w:color="auto"/>
              <w:right w:val="single" w:sz="4" w:space="0" w:color="auto"/>
            </w:tcBorders>
          </w:tcPr>
          <w:p w14:paraId="5FD2E8E5"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393D94E6"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20,7%</w:t>
            </w:r>
          </w:p>
        </w:tc>
        <w:tc>
          <w:tcPr>
            <w:tcW w:w="1559" w:type="dxa"/>
            <w:tcBorders>
              <w:top w:val="single" w:sz="4" w:space="0" w:color="auto"/>
              <w:left w:val="single" w:sz="4" w:space="0" w:color="auto"/>
              <w:bottom w:val="single" w:sz="4" w:space="0" w:color="auto"/>
              <w:right w:val="single" w:sz="4" w:space="0" w:color="auto"/>
            </w:tcBorders>
          </w:tcPr>
          <w:p w14:paraId="0A861120"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6,0–35,5%</w:t>
            </w:r>
          </w:p>
        </w:tc>
        <w:tc>
          <w:tcPr>
            <w:tcW w:w="851" w:type="dxa"/>
            <w:tcBorders>
              <w:top w:val="single" w:sz="4" w:space="0" w:color="auto"/>
              <w:left w:val="single" w:sz="4" w:space="0" w:color="auto"/>
              <w:bottom w:val="single" w:sz="4" w:space="0" w:color="auto"/>
              <w:right w:val="single" w:sz="4" w:space="0" w:color="auto"/>
            </w:tcBorders>
          </w:tcPr>
          <w:p w14:paraId="0914615F" w14:textId="3C6D7A2B"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0,07</w:t>
            </w:r>
          </w:p>
        </w:tc>
        <w:tc>
          <w:tcPr>
            <w:tcW w:w="850" w:type="dxa"/>
            <w:tcBorders>
              <w:top w:val="single" w:sz="4" w:space="0" w:color="auto"/>
              <w:left w:val="single" w:sz="4" w:space="0" w:color="auto"/>
              <w:bottom w:val="single" w:sz="4" w:space="0" w:color="auto"/>
              <w:right w:val="single" w:sz="4" w:space="0" w:color="auto"/>
            </w:tcBorders>
          </w:tcPr>
          <w:p w14:paraId="1006EFA7" w14:textId="1050B0AC"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0,784</w:t>
            </w:r>
          </w:p>
        </w:tc>
      </w:tr>
      <w:tr w:rsidR="00AC7326" w:rsidRPr="00D107ED" w14:paraId="3578522C" w14:textId="75249130" w:rsidTr="00D107E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8945667" w14:textId="5034AEFA" w:rsidR="00BD65A9" w:rsidRPr="00D107ED" w:rsidRDefault="009E1131" w:rsidP="009D023C">
            <w:pPr>
              <w:spacing w:after="0" w:line="240" w:lineRule="auto"/>
              <w:jc w:val="right"/>
              <w:rPr>
                <w:rFonts w:ascii="Times New Roman" w:hAnsi="Times New Roman" w:cs="Times New Roman"/>
                <w:sz w:val="24"/>
                <w:szCs w:val="24"/>
              </w:rPr>
            </w:pPr>
            <w:r w:rsidRPr="00D107ED">
              <w:rPr>
                <w:rFonts w:ascii="Times New Roman" w:hAnsi="Times New Roman" w:cs="Times New Roman"/>
                <w:sz w:val="24"/>
                <w:szCs w:val="24"/>
              </w:rPr>
              <w:t xml:space="preserve">   </w:t>
            </w:r>
            <w:r w:rsidR="00BD65A9" w:rsidRPr="00D107ED">
              <w:rPr>
                <w:rFonts w:ascii="Times New Roman" w:hAnsi="Times New Roman" w:cs="Times New Roman"/>
                <w:sz w:val="24"/>
                <w:szCs w:val="24"/>
              </w:rPr>
              <w:t>смешанный</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C3B30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12</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07B77533"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34,3%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417E9CA"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18,6–50,0%</w:t>
            </w:r>
          </w:p>
        </w:tc>
        <w:tc>
          <w:tcPr>
            <w:tcW w:w="851" w:type="dxa"/>
            <w:tcBorders>
              <w:top w:val="single" w:sz="4" w:space="0" w:color="auto"/>
              <w:left w:val="single" w:sz="4" w:space="0" w:color="auto"/>
              <w:bottom w:val="single" w:sz="4" w:space="0" w:color="auto"/>
              <w:right w:val="single" w:sz="4" w:space="0" w:color="auto"/>
            </w:tcBorders>
          </w:tcPr>
          <w:p w14:paraId="4470B011"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14:paraId="321F532B"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17,2%</w:t>
            </w:r>
          </w:p>
        </w:tc>
        <w:tc>
          <w:tcPr>
            <w:tcW w:w="1559" w:type="dxa"/>
            <w:tcBorders>
              <w:top w:val="single" w:sz="4" w:space="0" w:color="auto"/>
              <w:left w:val="single" w:sz="4" w:space="0" w:color="auto"/>
              <w:bottom w:val="single" w:sz="4" w:space="0" w:color="auto"/>
              <w:right w:val="single" w:sz="4" w:space="0" w:color="auto"/>
            </w:tcBorders>
          </w:tcPr>
          <w:p w14:paraId="76C66E09" w14:textId="77777777" w:rsidR="00BD65A9" w:rsidRPr="00D107ED" w:rsidRDefault="00BD65A9"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3,5–30,9%</w:t>
            </w:r>
          </w:p>
        </w:tc>
        <w:tc>
          <w:tcPr>
            <w:tcW w:w="851" w:type="dxa"/>
            <w:tcBorders>
              <w:top w:val="single" w:sz="4" w:space="0" w:color="auto"/>
              <w:left w:val="single" w:sz="4" w:space="0" w:color="auto"/>
              <w:bottom w:val="single" w:sz="4" w:space="0" w:color="auto"/>
              <w:right w:val="single" w:sz="4" w:space="0" w:color="auto"/>
            </w:tcBorders>
          </w:tcPr>
          <w:p w14:paraId="00042CB9" w14:textId="70378CC1"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1,874</w:t>
            </w:r>
          </w:p>
        </w:tc>
        <w:tc>
          <w:tcPr>
            <w:tcW w:w="850" w:type="dxa"/>
            <w:tcBorders>
              <w:top w:val="single" w:sz="4" w:space="0" w:color="auto"/>
              <w:left w:val="single" w:sz="4" w:space="0" w:color="auto"/>
              <w:bottom w:val="single" w:sz="4" w:space="0" w:color="auto"/>
              <w:right w:val="single" w:sz="4" w:space="0" w:color="auto"/>
            </w:tcBorders>
          </w:tcPr>
          <w:p w14:paraId="16E2CF22" w14:textId="468A2F40" w:rsidR="00BD65A9" w:rsidRPr="00D107ED" w:rsidRDefault="005475D7" w:rsidP="00762EBC">
            <w:pPr>
              <w:spacing w:after="0" w:line="240" w:lineRule="auto"/>
              <w:jc w:val="center"/>
              <w:rPr>
                <w:rFonts w:ascii="Times New Roman" w:hAnsi="Times New Roman" w:cs="Times New Roman"/>
                <w:sz w:val="24"/>
                <w:szCs w:val="24"/>
              </w:rPr>
            </w:pPr>
            <w:r w:rsidRPr="00D107ED">
              <w:rPr>
                <w:rFonts w:ascii="Times New Roman" w:hAnsi="Times New Roman" w:cs="Times New Roman"/>
                <w:sz w:val="24"/>
                <w:szCs w:val="24"/>
              </w:rPr>
              <w:t>0,171</w:t>
            </w:r>
          </w:p>
        </w:tc>
      </w:tr>
      <w:tr w:rsidR="00BD65A9" w:rsidRPr="00D107ED" w14:paraId="00C77B07" w14:textId="16310606" w:rsidTr="00D107ED">
        <w:trPr>
          <w:trHeight w:val="288"/>
          <w:jc w:val="center"/>
        </w:trPr>
        <w:tc>
          <w:tcPr>
            <w:tcW w:w="9643" w:type="dxa"/>
            <w:gridSpan w:val="9"/>
            <w:tcBorders>
              <w:top w:val="single" w:sz="4" w:space="0" w:color="auto"/>
              <w:left w:val="single" w:sz="4" w:space="0" w:color="auto"/>
              <w:bottom w:val="single" w:sz="4" w:space="0" w:color="auto"/>
              <w:right w:val="single" w:sz="4" w:space="0" w:color="auto"/>
            </w:tcBorders>
            <w:shd w:val="clear" w:color="auto" w:fill="auto"/>
          </w:tcPr>
          <w:p w14:paraId="69932EB5" w14:textId="77777777" w:rsidR="00BD65A9" w:rsidRPr="000770CF" w:rsidRDefault="00BD65A9" w:rsidP="00BD65A9">
            <w:pPr>
              <w:spacing w:after="0" w:line="240" w:lineRule="auto"/>
              <w:rPr>
                <w:rFonts w:ascii="Times New Roman" w:hAnsi="Times New Roman" w:cs="Times New Roman"/>
                <w:sz w:val="28"/>
                <w:szCs w:val="24"/>
              </w:rPr>
            </w:pPr>
            <w:r w:rsidRPr="000770CF">
              <w:rPr>
                <w:rFonts w:ascii="Times New Roman" w:hAnsi="Times New Roman" w:cs="Times New Roman"/>
                <w:sz w:val="28"/>
                <w:szCs w:val="24"/>
              </w:rPr>
              <w:t>Примечание:</w:t>
            </w:r>
          </w:p>
          <w:p w14:paraId="4E73B849" w14:textId="77777777" w:rsidR="00BD65A9" w:rsidRPr="000770CF" w:rsidRDefault="00BD65A9" w:rsidP="00BD65A9">
            <w:pPr>
              <w:spacing w:after="0" w:line="240" w:lineRule="auto"/>
              <w:rPr>
                <w:rFonts w:ascii="Times New Roman" w:hAnsi="Times New Roman" w:cs="Times New Roman"/>
                <w:sz w:val="28"/>
                <w:szCs w:val="24"/>
              </w:rPr>
            </w:pPr>
            <w:r w:rsidRPr="000770CF">
              <w:rPr>
                <w:rFonts w:ascii="Times New Roman" w:hAnsi="Times New Roman" w:cs="Times New Roman"/>
                <w:bCs/>
                <w:sz w:val="28"/>
                <w:szCs w:val="24"/>
                <w:vertAlign w:val="superscript"/>
              </w:rPr>
              <w:t>1</w:t>
            </w:r>
            <w:r w:rsidRPr="000770CF">
              <w:rPr>
                <w:rFonts w:ascii="Times New Roman" w:hAnsi="Times New Roman" w:cs="Times New Roman"/>
                <w:bCs/>
                <w:sz w:val="28"/>
                <w:szCs w:val="24"/>
                <w:lang w:val="en-US"/>
              </w:rPr>
              <w:t>p</w:t>
            </w:r>
            <w:r w:rsidRPr="000770CF">
              <w:rPr>
                <w:rFonts w:ascii="Times New Roman" w:hAnsi="Times New Roman" w:cs="Times New Roman"/>
                <w:bCs/>
                <w:sz w:val="28"/>
                <w:szCs w:val="24"/>
              </w:rPr>
              <w:t>-</w:t>
            </w:r>
            <w:r w:rsidRPr="000770CF">
              <w:rPr>
                <w:rFonts w:ascii="Times New Roman" w:hAnsi="Times New Roman" w:cs="Times New Roman"/>
                <w:bCs/>
                <w:sz w:val="28"/>
                <w:szCs w:val="24"/>
                <w:lang w:val="en-US"/>
              </w:rPr>
              <w:t>value</w:t>
            </w:r>
            <w:r w:rsidRPr="000770CF">
              <w:rPr>
                <w:rFonts w:ascii="Times New Roman" w:hAnsi="Times New Roman" w:cs="Times New Roman"/>
                <w:bCs/>
                <w:sz w:val="28"/>
                <w:szCs w:val="24"/>
              </w:rPr>
              <w:t xml:space="preserve"> - корреляция значима при р&lt;0,05</w:t>
            </w:r>
          </w:p>
          <w:p w14:paraId="48719CE3" w14:textId="77777777" w:rsidR="00BD65A9" w:rsidRPr="000770CF" w:rsidRDefault="00BD65A9" w:rsidP="00BD65A9">
            <w:pPr>
              <w:spacing w:after="0" w:line="240" w:lineRule="auto"/>
              <w:rPr>
                <w:rFonts w:ascii="Times New Roman" w:hAnsi="Times New Roman" w:cs="Times New Roman"/>
                <w:sz w:val="28"/>
                <w:szCs w:val="24"/>
              </w:rPr>
            </w:pPr>
            <w:r w:rsidRPr="000770CF">
              <w:rPr>
                <w:rFonts w:ascii="Times New Roman" w:hAnsi="Times New Roman" w:cs="Times New Roman"/>
                <w:sz w:val="28"/>
                <w:szCs w:val="24"/>
                <w:vertAlign w:val="superscript"/>
              </w:rPr>
              <w:t>2</w:t>
            </w:r>
            <w:r w:rsidRPr="000770CF">
              <w:rPr>
                <w:rFonts w:ascii="Times New Roman" w:hAnsi="Times New Roman" w:cs="Times New Roman"/>
                <w:sz w:val="28"/>
                <w:szCs w:val="24"/>
                <w:lang w:val="en-US"/>
              </w:rPr>
              <w:t>n</w:t>
            </w:r>
            <w:r w:rsidRPr="000770CF">
              <w:rPr>
                <w:rFonts w:ascii="Times New Roman" w:hAnsi="Times New Roman" w:cs="Times New Roman"/>
                <w:sz w:val="28"/>
                <w:szCs w:val="24"/>
              </w:rPr>
              <w:t xml:space="preserve"> – количество;</w:t>
            </w:r>
          </w:p>
          <w:p w14:paraId="71C0D045" w14:textId="499C9E89" w:rsidR="00BD65A9" w:rsidRPr="00D107ED" w:rsidRDefault="00BD65A9" w:rsidP="007B183B">
            <w:pPr>
              <w:spacing w:after="0" w:line="240" w:lineRule="auto"/>
              <w:rPr>
                <w:rFonts w:ascii="Times New Roman" w:hAnsi="Times New Roman" w:cs="Times New Roman"/>
                <w:sz w:val="24"/>
                <w:szCs w:val="24"/>
              </w:rPr>
            </w:pPr>
            <w:r w:rsidRPr="000770CF">
              <w:rPr>
                <w:rFonts w:ascii="Times New Roman" w:hAnsi="Times New Roman" w:cs="Times New Roman"/>
                <w:sz w:val="28"/>
                <w:szCs w:val="24"/>
                <w:vertAlign w:val="superscript"/>
              </w:rPr>
              <w:t>3</w:t>
            </w:r>
            <w:r w:rsidRPr="000770CF">
              <w:rPr>
                <w:rFonts w:ascii="Times New Roman" w:hAnsi="Times New Roman" w:cs="Times New Roman"/>
                <w:sz w:val="28"/>
                <w:szCs w:val="24"/>
              </w:rPr>
              <w:t>ДИ – доверительный интервал</w:t>
            </w:r>
          </w:p>
        </w:tc>
      </w:tr>
    </w:tbl>
    <w:p w14:paraId="7287CFA1" w14:textId="77777777" w:rsidR="006226F4" w:rsidRDefault="006226F4" w:rsidP="005C37DF">
      <w:pPr>
        <w:shd w:val="clear" w:color="auto" w:fill="FFFFFF"/>
        <w:spacing w:after="0" w:line="240" w:lineRule="auto"/>
        <w:ind w:firstLine="709"/>
        <w:jc w:val="both"/>
        <w:rPr>
          <w:rFonts w:ascii="Times New Roman" w:hAnsi="Times New Roman" w:cs="Times New Roman"/>
          <w:color w:val="000000"/>
          <w:spacing w:val="-2"/>
          <w:sz w:val="28"/>
          <w:szCs w:val="28"/>
        </w:rPr>
      </w:pPr>
    </w:p>
    <w:p w14:paraId="63F5220C" w14:textId="5B561A5F" w:rsidR="00374DC5" w:rsidRPr="007D63B7" w:rsidRDefault="0028296F" w:rsidP="005C37DF">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Статистических</w:t>
      </w:r>
      <w:r w:rsidR="00374DC5" w:rsidRPr="004804AA">
        <w:rPr>
          <w:rFonts w:ascii="Times New Roman" w:hAnsi="Times New Roman" w:cs="Times New Roman"/>
          <w:color w:val="000000"/>
          <w:spacing w:val="-2"/>
          <w:sz w:val="28"/>
          <w:szCs w:val="28"/>
        </w:rPr>
        <w:t xml:space="preserve"> различий в распространенности миопии в зависимости от пола нами не зафиксировано (</w:t>
      </w:r>
      <w:r w:rsidR="006F2BDE">
        <w:rPr>
          <w:rFonts w:ascii="Times New Roman" w:hAnsi="Times New Roman" w:cs="Times New Roman"/>
          <w:sz w:val="28"/>
          <w:szCs w:val="28"/>
        </w:rPr>
        <w:t>χ</w:t>
      </w:r>
      <w:r w:rsidR="006F2BDE" w:rsidRPr="002F39ED">
        <w:rPr>
          <w:rFonts w:ascii="Times New Roman" w:hAnsi="Times New Roman" w:cs="Times New Roman"/>
          <w:sz w:val="28"/>
          <w:szCs w:val="28"/>
          <w:vertAlign w:val="superscript"/>
        </w:rPr>
        <w:t>2</w:t>
      </w:r>
      <w:r w:rsidR="006F2BDE">
        <w:rPr>
          <w:rFonts w:ascii="Times New Roman" w:hAnsi="Times New Roman" w:cs="Times New Roman"/>
          <w:sz w:val="28"/>
          <w:szCs w:val="28"/>
          <w:vertAlign w:val="superscript"/>
        </w:rPr>
        <w:t xml:space="preserve"> </w:t>
      </w:r>
      <w:r w:rsidR="006F2BDE">
        <w:rPr>
          <w:rFonts w:ascii="Times New Roman" w:hAnsi="Times New Roman" w:cs="Times New Roman"/>
          <w:color w:val="000000"/>
          <w:spacing w:val="-2"/>
          <w:sz w:val="28"/>
          <w:szCs w:val="28"/>
        </w:rPr>
        <w:t xml:space="preserve">= 0,676; </w:t>
      </w:r>
      <w:r w:rsidR="006F2BDE">
        <w:rPr>
          <w:rFonts w:ascii="Times New Roman" w:hAnsi="Times New Roman" w:cs="Times New Roman"/>
          <w:color w:val="000000"/>
          <w:spacing w:val="-2"/>
          <w:sz w:val="28"/>
          <w:szCs w:val="28"/>
          <w:lang w:val="en-US"/>
        </w:rPr>
        <w:t>p</w:t>
      </w:r>
      <w:r w:rsidR="006F2BDE" w:rsidRPr="006F2BDE">
        <w:rPr>
          <w:rFonts w:ascii="Times New Roman" w:hAnsi="Times New Roman" w:cs="Times New Roman"/>
          <w:color w:val="000000"/>
          <w:spacing w:val="-2"/>
          <w:sz w:val="28"/>
          <w:szCs w:val="28"/>
        </w:rPr>
        <w:t>=0</w:t>
      </w:r>
      <w:r w:rsidR="006F2BDE">
        <w:rPr>
          <w:rFonts w:ascii="Times New Roman" w:hAnsi="Times New Roman" w:cs="Times New Roman"/>
          <w:color w:val="000000"/>
          <w:spacing w:val="-2"/>
          <w:sz w:val="28"/>
          <w:szCs w:val="28"/>
        </w:rPr>
        <w:t>,</w:t>
      </w:r>
      <w:r w:rsidR="006F2BDE" w:rsidRPr="006F2BDE">
        <w:rPr>
          <w:rFonts w:ascii="Times New Roman" w:hAnsi="Times New Roman" w:cs="Times New Roman"/>
          <w:color w:val="000000"/>
          <w:spacing w:val="-2"/>
          <w:sz w:val="28"/>
          <w:szCs w:val="28"/>
        </w:rPr>
        <w:t>411</w:t>
      </w:r>
      <w:r w:rsidR="00374DC5" w:rsidRPr="004804AA">
        <w:rPr>
          <w:rFonts w:ascii="Times New Roman" w:hAnsi="Times New Roman" w:cs="Times New Roman"/>
          <w:color w:val="000000"/>
          <w:spacing w:val="-2"/>
          <w:sz w:val="28"/>
          <w:szCs w:val="28"/>
        </w:rPr>
        <w:t>). Встречаемость миопии среди всех обследованных учащихся мужского пола составила 27,5% (95%;</w:t>
      </w:r>
      <w:r w:rsidR="000F0B45">
        <w:rPr>
          <w:rFonts w:ascii="Times New Roman" w:hAnsi="Times New Roman" w:cs="Times New Roman"/>
          <w:color w:val="000000"/>
          <w:spacing w:val="-2"/>
          <w:sz w:val="28"/>
          <w:szCs w:val="28"/>
        </w:rPr>
        <w:t xml:space="preserve"> </w:t>
      </w:r>
      <w:r w:rsidR="00374DC5" w:rsidRPr="004804AA">
        <w:rPr>
          <w:rFonts w:ascii="Times New Roman" w:hAnsi="Times New Roman" w:cs="Times New Roman"/>
          <w:color w:val="000000"/>
          <w:spacing w:val="-2"/>
          <w:sz w:val="28"/>
          <w:szCs w:val="28"/>
        </w:rPr>
        <w:t>ДИ 24,8–30,2%), среди девушек - 29,1% (95%; ДИ 26,5–31,8%) (Табл.</w:t>
      </w:r>
      <w:r w:rsidR="001437B6" w:rsidRPr="001C5E8A">
        <w:rPr>
          <w:rFonts w:ascii="Times New Roman" w:hAnsi="Times New Roman" w:cs="Times New Roman"/>
          <w:color w:val="000000"/>
          <w:spacing w:val="-2"/>
          <w:sz w:val="28"/>
          <w:szCs w:val="28"/>
        </w:rPr>
        <w:t>11)</w:t>
      </w:r>
      <w:r w:rsidR="00374DC5" w:rsidRPr="004804AA">
        <w:rPr>
          <w:rFonts w:ascii="Times New Roman" w:hAnsi="Times New Roman" w:cs="Times New Roman"/>
          <w:color w:val="000000"/>
          <w:spacing w:val="-2"/>
          <w:sz w:val="28"/>
          <w:szCs w:val="28"/>
        </w:rPr>
        <w:t xml:space="preserve">. Идентичными оказались </w:t>
      </w:r>
      <w:r w:rsidR="007D6300">
        <w:rPr>
          <w:rFonts w:ascii="Times New Roman" w:hAnsi="Times New Roman" w:cs="Times New Roman"/>
          <w:color w:val="000000"/>
          <w:spacing w:val="-2"/>
          <w:sz w:val="28"/>
          <w:szCs w:val="28"/>
        </w:rPr>
        <w:t>п</w:t>
      </w:r>
      <w:r w:rsidR="00374DC5" w:rsidRPr="004804AA">
        <w:rPr>
          <w:rFonts w:ascii="Times New Roman" w:hAnsi="Times New Roman" w:cs="Times New Roman"/>
          <w:color w:val="000000"/>
          <w:spacing w:val="-2"/>
          <w:sz w:val="28"/>
          <w:szCs w:val="28"/>
        </w:rPr>
        <w:t xml:space="preserve">оказатели уровня гиперметропии </w:t>
      </w:r>
      <w:r w:rsidR="005D6D2A" w:rsidRPr="0027264D">
        <w:rPr>
          <w:rFonts w:ascii="Times New Roman" w:hAnsi="Times New Roman" w:cs="Times New Roman"/>
          <w:color w:val="000000"/>
          <w:spacing w:val="-2"/>
          <w:sz w:val="28"/>
          <w:szCs w:val="28"/>
        </w:rPr>
        <w:t>(</w:t>
      </w:r>
      <w:r w:rsidR="0027264D" w:rsidRPr="0027264D">
        <w:rPr>
          <w:rFonts w:ascii="Times New Roman" w:hAnsi="Times New Roman" w:cs="Times New Roman"/>
          <w:sz w:val="28"/>
          <w:szCs w:val="28"/>
        </w:rPr>
        <w:t>χ</w:t>
      </w:r>
      <w:r w:rsidR="007D6300">
        <w:rPr>
          <w:rFonts w:ascii="Times New Roman" w:hAnsi="Times New Roman" w:cs="Times New Roman"/>
          <w:sz w:val="28"/>
          <w:szCs w:val="28"/>
          <w:vertAlign w:val="superscript"/>
        </w:rPr>
        <w:t>2</w:t>
      </w:r>
      <w:r w:rsidR="0027264D" w:rsidRPr="0027264D">
        <w:rPr>
          <w:rFonts w:ascii="Times New Roman" w:hAnsi="Times New Roman" w:cs="Times New Roman"/>
          <w:color w:val="000000"/>
          <w:spacing w:val="-2"/>
          <w:sz w:val="28"/>
          <w:szCs w:val="28"/>
        </w:rPr>
        <w:t>=</w:t>
      </w:r>
      <w:r w:rsidR="0027264D" w:rsidRPr="0027264D">
        <w:rPr>
          <w:rFonts w:ascii="Times New Roman" w:hAnsi="Times New Roman" w:cs="Times New Roman"/>
          <w:bCs/>
          <w:color w:val="000000"/>
          <w:sz w:val="28"/>
          <w:szCs w:val="28"/>
        </w:rPr>
        <w:t>0,019</w:t>
      </w:r>
      <w:r w:rsidR="0027264D">
        <w:rPr>
          <w:rFonts w:ascii="Times New Roman" w:hAnsi="Times New Roman" w:cs="Times New Roman"/>
          <w:color w:val="000000"/>
          <w:spacing w:val="-2"/>
          <w:sz w:val="28"/>
          <w:szCs w:val="28"/>
        </w:rPr>
        <w:t xml:space="preserve">; </w:t>
      </w:r>
      <w:r w:rsidR="005D6D2A">
        <w:rPr>
          <w:rFonts w:ascii="Times New Roman" w:hAnsi="Times New Roman" w:cs="Times New Roman"/>
          <w:color w:val="000000"/>
          <w:spacing w:val="-2"/>
          <w:sz w:val="28"/>
          <w:szCs w:val="28"/>
          <w:lang w:val="en-US"/>
        </w:rPr>
        <w:t>p</w:t>
      </w:r>
      <w:r w:rsidR="005D6D2A" w:rsidRPr="0027264D">
        <w:rPr>
          <w:rFonts w:ascii="Times New Roman" w:hAnsi="Times New Roman" w:cs="Times New Roman"/>
          <w:color w:val="000000"/>
          <w:spacing w:val="-2"/>
          <w:sz w:val="28"/>
          <w:szCs w:val="28"/>
        </w:rPr>
        <w:t>=0</w:t>
      </w:r>
      <w:r w:rsidR="005D6D2A">
        <w:rPr>
          <w:rFonts w:ascii="Times New Roman" w:hAnsi="Times New Roman" w:cs="Times New Roman"/>
          <w:color w:val="000000"/>
          <w:spacing w:val="-2"/>
          <w:sz w:val="28"/>
          <w:szCs w:val="28"/>
        </w:rPr>
        <w:t>,891</w:t>
      </w:r>
      <w:r w:rsidR="005D6D2A" w:rsidRPr="0027264D">
        <w:rPr>
          <w:rFonts w:ascii="Times New Roman" w:hAnsi="Times New Roman" w:cs="Times New Roman"/>
          <w:color w:val="000000"/>
          <w:spacing w:val="-2"/>
          <w:sz w:val="28"/>
          <w:szCs w:val="28"/>
        </w:rPr>
        <w:t xml:space="preserve">) </w:t>
      </w:r>
      <w:r w:rsidR="00374DC5" w:rsidRPr="004804AA">
        <w:rPr>
          <w:rFonts w:ascii="Times New Roman" w:hAnsi="Times New Roman" w:cs="Times New Roman"/>
          <w:color w:val="000000"/>
          <w:spacing w:val="-2"/>
          <w:sz w:val="28"/>
          <w:szCs w:val="28"/>
        </w:rPr>
        <w:t>и астигматизма</w:t>
      </w:r>
      <w:r w:rsidR="005D6D2A" w:rsidRPr="0027264D">
        <w:rPr>
          <w:rFonts w:ascii="Times New Roman" w:hAnsi="Times New Roman" w:cs="Times New Roman"/>
          <w:color w:val="000000"/>
          <w:spacing w:val="-2"/>
          <w:sz w:val="28"/>
          <w:szCs w:val="28"/>
        </w:rPr>
        <w:t xml:space="preserve"> (</w:t>
      </w:r>
      <w:r w:rsidR="0027264D" w:rsidRPr="0027264D">
        <w:rPr>
          <w:rFonts w:ascii="Times New Roman" w:hAnsi="Times New Roman" w:cs="Times New Roman"/>
          <w:sz w:val="28"/>
          <w:szCs w:val="28"/>
        </w:rPr>
        <w:t>χ</w:t>
      </w:r>
      <w:r w:rsidR="0027264D" w:rsidRPr="0027264D">
        <w:rPr>
          <w:rFonts w:ascii="Times New Roman" w:hAnsi="Times New Roman" w:cs="Times New Roman"/>
          <w:sz w:val="28"/>
          <w:szCs w:val="28"/>
          <w:vertAlign w:val="superscript"/>
        </w:rPr>
        <w:t xml:space="preserve">2 </w:t>
      </w:r>
      <w:r w:rsidR="0027264D" w:rsidRPr="0027264D">
        <w:rPr>
          <w:rFonts w:ascii="Times New Roman" w:hAnsi="Times New Roman" w:cs="Times New Roman"/>
          <w:color w:val="000000"/>
          <w:spacing w:val="-2"/>
          <w:sz w:val="28"/>
          <w:szCs w:val="28"/>
        </w:rPr>
        <w:t xml:space="preserve">= </w:t>
      </w:r>
      <w:r w:rsidR="0027264D" w:rsidRPr="0027264D">
        <w:rPr>
          <w:rFonts w:ascii="Times New Roman" w:hAnsi="Times New Roman" w:cs="Times New Roman"/>
          <w:bCs/>
          <w:color w:val="000000"/>
          <w:sz w:val="28"/>
          <w:szCs w:val="28"/>
        </w:rPr>
        <w:t>0,004</w:t>
      </w:r>
      <w:r w:rsidR="0027264D">
        <w:rPr>
          <w:rFonts w:ascii="Times New Roman" w:hAnsi="Times New Roman" w:cs="Times New Roman"/>
          <w:color w:val="000000"/>
          <w:spacing w:val="-2"/>
          <w:sz w:val="28"/>
          <w:szCs w:val="28"/>
        </w:rPr>
        <w:t xml:space="preserve">; </w:t>
      </w:r>
      <w:r w:rsidR="005D6D2A">
        <w:rPr>
          <w:rFonts w:ascii="Times New Roman" w:hAnsi="Times New Roman" w:cs="Times New Roman"/>
          <w:color w:val="000000"/>
          <w:spacing w:val="-2"/>
          <w:sz w:val="28"/>
          <w:szCs w:val="28"/>
          <w:lang w:val="en-US"/>
        </w:rPr>
        <w:t>p</w:t>
      </w:r>
      <w:r w:rsidR="005D6D2A" w:rsidRPr="0027264D">
        <w:rPr>
          <w:rFonts w:ascii="Times New Roman" w:hAnsi="Times New Roman" w:cs="Times New Roman"/>
          <w:color w:val="000000"/>
          <w:spacing w:val="-2"/>
          <w:sz w:val="28"/>
          <w:szCs w:val="28"/>
        </w:rPr>
        <w:t>=0</w:t>
      </w:r>
      <w:r w:rsidR="005D6D2A">
        <w:rPr>
          <w:rFonts w:ascii="Times New Roman" w:hAnsi="Times New Roman" w:cs="Times New Roman"/>
          <w:color w:val="000000"/>
          <w:spacing w:val="-2"/>
          <w:sz w:val="28"/>
          <w:szCs w:val="28"/>
        </w:rPr>
        <w:t>,948</w:t>
      </w:r>
      <w:r w:rsidR="005D6D2A" w:rsidRPr="0027264D">
        <w:rPr>
          <w:rFonts w:ascii="Times New Roman" w:hAnsi="Times New Roman" w:cs="Times New Roman"/>
          <w:color w:val="000000"/>
          <w:spacing w:val="-2"/>
          <w:sz w:val="28"/>
          <w:szCs w:val="28"/>
        </w:rPr>
        <w:t>)</w:t>
      </w:r>
      <w:r w:rsidR="00374DC5" w:rsidRPr="004804AA">
        <w:rPr>
          <w:rFonts w:ascii="Times New Roman" w:hAnsi="Times New Roman" w:cs="Times New Roman"/>
          <w:color w:val="000000"/>
          <w:spacing w:val="-2"/>
          <w:sz w:val="28"/>
          <w:szCs w:val="28"/>
        </w:rPr>
        <w:t xml:space="preserve">. Показатели </w:t>
      </w:r>
      <w:r w:rsidR="00374DC5" w:rsidRPr="004804AA">
        <w:rPr>
          <w:rFonts w:ascii="Times New Roman" w:hAnsi="Times New Roman" w:cs="Times New Roman"/>
          <w:color w:val="000000"/>
          <w:spacing w:val="-2"/>
          <w:sz w:val="28"/>
          <w:szCs w:val="28"/>
          <w:lang w:val="en-US"/>
        </w:rPr>
        <w:t>SER</w:t>
      </w:r>
      <w:r w:rsidR="00374DC5" w:rsidRPr="004804AA">
        <w:rPr>
          <w:rFonts w:ascii="Times New Roman" w:hAnsi="Times New Roman" w:cs="Times New Roman"/>
          <w:color w:val="000000"/>
          <w:spacing w:val="-2"/>
          <w:sz w:val="28"/>
          <w:szCs w:val="28"/>
        </w:rPr>
        <w:t xml:space="preserve"> среди школьников обоих полов также были сопоставимы: у мальчиков -0,517 (медиана -0,125; МКИ -0,875; 0,375), у девочек -0,555 (медиана-0,125; МКИ -1,25; 0,375</w:t>
      </w:r>
      <w:r w:rsidR="00374DC5" w:rsidRPr="00E81FA1">
        <w:rPr>
          <w:rFonts w:ascii="Times New Roman" w:hAnsi="Times New Roman" w:cs="Times New Roman"/>
          <w:color w:val="000000"/>
          <w:spacing w:val="-2"/>
          <w:sz w:val="28"/>
          <w:szCs w:val="28"/>
        </w:rPr>
        <w:t>).</w:t>
      </w:r>
      <w:r w:rsidR="007D63B7" w:rsidRPr="00E81FA1">
        <w:rPr>
          <w:rFonts w:ascii="Times New Roman" w:hAnsi="Times New Roman" w:cs="Times New Roman"/>
          <w:color w:val="000000"/>
          <w:spacing w:val="-2"/>
          <w:sz w:val="28"/>
          <w:szCs w:val="28"/>
        </w:rPr>
        <w:t xml:space="preserve"> </w:t>
      </w:r>
      <w:r w:rsidR="007D63B7" w:rsidRPr="00E81FA1">
        <w:rPr>
          <w:rFonts w:ascii="Times New Roman" w:hAnsi="Times New Roman" w:cs="Times New Roman"/>
          <w:sz w:val="28"/>
          <w:szCs w:val="28"/>
          <w:lang w:val="en-US"/>
        </w:rPr>
        <w:t>[24</w:t>
      </w:r>
      <w:r w:rsidR="007C23F8" w:rsidRPr="00E81FA1">
        <w:rPr>
          <w:rFonts w:ascii="Times New Roman" w:hAnsi="Times New Roman" w:cs="Times New Roman"/>
          <w:sz w:val="28"/>
          <w:szCs w:val="28"/>
          <w:lang w:val="en-US"/>
        </w:rPr>
        <w:t>7</w:t>
      </w:r>
      <w:r w:rsidR="007D63B7" w:rsidRPr="00E81FA1">
        <w:rPr>
          <w:rFonts w:ascii="Times New Roman" w:hAnsi="Times New Roman" w:cs="Times New Roman"/>
          <w:sz w:val="28"/>
          <w:szCs w:val="28"/>
          <w:lang w:val="en-US"/>
        </w:rPr>
        <w:t>]</w:t>
      </w:r>
    </w:p>
    <w:p w14:paraId="4E280BD0" w14:textId="77777777" w:rsidR="00374DC5" w:rsidRPr="004804AA" w:rsidRDefault="00374DC5" w:rsidP="005C37DF">
      <w:pPr>
        <w:shd w:val="clear" w:color="auto" w:fill="FFFFFF"/>
        <w:spacing w:after="0" w:line="240" w:lineRule="auto"/>
        <w:ind w:firstLine="709"/>
        <w:jc w:val="both"/>
        <w:rPr>
          <w:rFonts w:ascii="Times New Roman" w:hAnsi="Times New Roman" w:cs="Times New Roman"/>
          <w:color w:val="000000"/>
          <w:spacing w:val="-2"/>
          <w:sz w:val="28"/>
          <w:szCs w:val="28"/>
        </w:rPr>
      </w:pPr>
    </w:p>
    <w:p w14:paraId="715A0227" w14:textId="76F93F3C" w:rsidR="00374DC5" w:rsidRDefault="00374DC5" w:rsidP="005D5DA6">
      <w:pPr>
        <w:shd w:val="clear" w:color="auto" w:fill="FFFFFF"/>
        <w:spacing w:after="0" w:line="240" w:lineRule="auto"/>
        <w:rPr>
          <w:rFonts w:ascii="Times New Roman" w:hAnsi="Times New Roman" w:cs="Times New Roman"/>
          <w:color w:val="000000"/>
          <w:spacing w:val="-2"/>
          <w:sz w:val="28"/>
          <w:szCs w:val="28"/>
        </w:rPr>
      </w:pPr>
      <w:r w:rsidRPr="004804AA">
        <w:rPr>
          <w:rFonts w:ascii="Times New Roman" w:hAnsi="Times New Roman" w:cs="Times New Roman"/>
          <w:color w:val="000000"/>
          <w:spacing w:val="-2"/>
          <w:sz w:val="28"/>
          <w:szCs w:val="28"/>
        </w:rPr>
        <w:t xml:space="preserve">Таблица </w:t>
      </w:r>
      <w:r w:rsidR="001437B6" w:rsidRPr="001437B6">
        <w:rPr>
          <w:rFonts w:ascii="Times New Roman" w:hAnsi="Times New Roman" w:cs="Times New Roman"/>
          <w:color w:val="000000"/>
          <w:spacing w:val="-2"/>
          <w:sz w:val="28"/>
          <w:szCs w:val="28"/>
        </w:rPr>
        <w:t>11</w:t>
      </w:r>
      <w:r w:rsidR="005D5DA6">
        <w:rPr>
          <w:rFonts w:ascii="Times New Roman" w:hAnsi="Times New Roman" w:cs="Times New Roman"/>
          <w:color w:val="000000"/>
          <w:spacing w:val="-2"/>
          <w:sz w:val="28"/>
          <w:szCs w:val="28"/>
        </w:rPr>
        <w:t xml:space="preserve"> -</w:t>
      </w:r>
      <w:r w:rsidRPr="004804AA">
        <w:rPr>
          <w:rFonts w:ascii="Times New Roman" w:hAnsi="Times New Roman" w:cs="Times New Roman"/>
          <w:color w:val="000000"/>
          <w:spacing w:val="-2"/>
          <w:sz w:val="28"/>
          <w:szCs w:val="28"/>
        </w:rPr>
        <w:t xml:space="preserve"> </w:t>
      </w:r>
      <w:r w:rsidR="00945085">
        <w:rPr>
          <w:rFonts w:ascii="Times New Roman" w:hAnsi="Times New Roman" w:cs="Times New Roman"/>
          <w:color w:val="000000"/>
          <w:spacing w:val="-2"/>
          <w:sz w:val="28"/>
          <w:szCs w:val="28"/>
        </w:rPr>
        <w:t xml:space="preserve">Гендерная </w:t>
      </w:r>
      <w:r w:rsidRPr="004804AA">
        <w:rPr>
          <w:rFonts w:ascii="Times New Roman" w:hAnsi="Times New Roman" w:cs="Times New Roman"/>
          <w:color w:val="000000"/>
          <w:spacing w:val="-2"/>
          <w:sz w:val="28"/>
          <w:szCs w:val="28"/>
        </w:rPr>
        <w:t>структура нарушений рефракции у школьников</w:t>
      </w:r>
    </w:p>
    <w:p w14:paraId="22D4D8E7" w14:textId="77777777" w:rsidR="005D5DA6" w:rsidRPr="004804AA" w:rsidRDefault="005D5DA6" w:rsidP="005D5DA6">
      <w:pPr>
        <w:shd w:val="clear" w:color="auto" w:fill="FFFFFF"/>
        <w:spacing w:after="0" w:line="240" w:lineRule="auto"/>
        <w:rPr>
          <w:rFonts w:ascii="Times New Roman" w:hAnsi="Times New Roman" w:cs="Times New Roman"/>
          <w:color w:val="000000"/>
          <w:spacing w:val="-2"/>
          <w:sz w:val="28"/>
          <w:szCs w:val="28"/>
        </w:rPr>
      </w:pPr>
    </w:p>
    <w:tbl>
      <w:tblPr>
        <w:tblStyle w:val="af0"/>
        <w:tblW w:w="9493" w:type="dxa"/>
        <w:tblLayout w:type="fixed"/>
        <w:tblLook w:val="04A0" w:firstRow="1" w:lastRow="0" w:firstColumn="1" w:lastColumn="0" w:noHBand="0" w:noVBand="1"/>
      </w:tblPr>
      <w:tblGrid>
        <w:gridCol w:w="1696"/>
        <w:gridCol w:w="709"/>
        <w:gridCol w:w="709"/>
        <w:gridCol w:w="1417"/>
        <w:gridCol w:w="709"/>
        <w:gridCol w:w="851"/>
        <w:gridCol w:w="1417"/>
        <w:gridCol w:w="851"/>
        <w:gridCol w:w="1134"/>
      </w:tblGrid>
      <w:tr w:rsidR="003368F8" w:rsidRPr="003368F8" w14:paraId="041E1AB9" w14:textId="439A8C0F" w:rsidTr="000B4B7F">
        <w:tc>
          <w:tcPr>
            <w:tcW w:w="1696" w:type="dxa"/>
            <w:vMerge w:val="restart"/>
          </w:tcPr>
          <w:p w14:paraId="251178F9" w14:textId="77777777" w:rsidR="003368F8" w:rsidRPr="003368F8" w:rsidRDefault="003368F8" w:rsidP="003368F8">
            <w:pPr>
              <w:spacing w:after="0" w:line="240" w:lineRule="auto"/>
              <w:jc w:val="both"/>
              <w:rPr>
                <w:rFonts w:ascii="Times New Roman" w:hAnsi="Times New Roman" w:cs="Times New Roman"/>
                <w:color w:val="000000"/>
                <w:spacing w:val="-2"/>
                <w:sz w:val="24"/>
                <w:szCs w:val="24"/>
              </w:rPr>
            </w:pPr>
            <w:r w:rsidRPr="003368F8">
              <w:rPr>
                <w:rFonts w:ascii="Times New Roman" w:hAnsi="Times New Roman" w:cs="Times New Roman"/>
                <w:sz w:val="24"/>
                <w:szCs w:val="24"/>
              </w:rPr>
              <w:t>Группа</w:t>
            </w:r>
          </w:p>
        </w:tc>
        <w:tc>
          <w:tcPr>
            <w:tcW w:w="2835" w:type="dxa"/>
            <w:gridSpan w:val="3"/>
          </w:tcPr>
          <w:p w14:paraId="2A5AA407" w14:textId="77777777" w:rsidR="003368F8" w:rsidRPr="003368F8" w:rsidRDefault="003368F8" w:rsidP="003368F8">
            <w:pPr>
              <w:spacing w:after="0" w:line="240" w:lineRule="auto"/>
              <w:jc w:val="center"/>
              <w:rPr>
                <w:rFonts w:ascii="Times New Roman" w:hAnsi="Times New Roman" w:cs="Times New Roman"/>
                <w:color w:val="000000"/>
                <w:spacing w:val="-2"/>
                <w:sz w:val="24"/>
                <w:szCs w:val="24"/>
                <w:lang w:val="en-US"/>
              </w:rPr>
            </w:pPr>
            <w:r w:rsidRPr="003368F8">
              <w:rPr>
                <w:rFonts w:ascii="Times New Roman" w:hAnsi="Times New Roman" w:cs="Times New Roman"/>
                <w:color w:val="000000"/>
                <w:spacing w:val="-2"/>
                <w:sz w:val="24"/>
                <w:szCs w:val="24"/>
              </w:rPr>
              <w:t>Мальчики (</w:t>
            </w:r>
            <w:r w:rsidRPr="003368F8">
              <w:rPr>
                <w:rFonts w:ascii="Times New Roman" w:hAnsi="Times New Roman" w:cs="Times New Roman"/>
                <w:color w:val="000000"/>
                <w:spacing w:val="-2"/>
                <w:sz w:val="24"/>
                <w:szCs w:val="24"/>
                <w:lang w:val="en-US"/>
              </w:rPr>
              <w:t>n=1161)</w:t>
            </w:r>
          </w:p>
        </w:tc>
        <w:tc>
          <w:tcPr>
            <w:tcW w:w="2977" w:type="dxa"/>
            <w:gridSpan w:val="3"/>
          </w:tcPr>
          <w:p w14:paraId="72536387" w14:textId="77777777" w:rsidR="003368F8" w:rsidRPr="003368F8" w:rsidRDefault="003368F8" w:rsidP="003368F8">
            <w:pPr>
              <w:spacing w:after="0" w:line="240" w:lineRule="auto"/>
              <w:jc w:val="center"/>
              <w:rPr>
                <w:rFonts w:ascii="Times New Roman" w:hAnsi="Times New Roman" w:cs="Times New Roman"/>
                <w:color w:val="000000"/>
                <w:spacing w:val="-2"/>
                <w:sz w:val="24"/>
                <w:szCs w:val="24"/>
                <w:lang w:val="en-US"/>
              </w:rPr>
            </w:pPr>
            <w:r w:rsidRPr="003368F8">
              <w:rPr>
                <w:rFonts w:ascii="Times New Roman" w:hAnsi="Times New Roman" w:cs="Times New Roman"/>
                <w:color w:val="000000"/>
                <w:spacing w:val="-2"/>
                <w:sz w:val="24"/>
                <w:szCs w:val="24"/>
              </w:rPr>
              <w:t>Девочки</w:t>
            </w:r>
            <w:r w:rsidRPr="003368F8">
              <w:rPr>
                <w:rFonts w:ascii="Times New Roman" w:hAnsi="Times New Roman" w:cs="Times New Roman"/>
                <w:color w:val="000000"/>
                <w:spacing w:val="-2"/>
                <w:sz w:val="24"/>
                <w:szCs w:val="24"/>
                <w:lang w:val="en-US"/>
              </w:rPr>
              <w:t xml:space="preserve"> (n=1132)</w:t>
            </w:r>
          </w:p>
        </w:tc>
        <w:tc>
          <w:tcPr>
            <w:tcW w:w="851" w:type="dxa"/>
            <w:vMerge w:val="restart"/>
            <w:vAlign w:val="center"/>
          </w:tcPr>
          <w:p w14:paraId="27DDA171" w14:textId="02171DA9" w:rsidR="003368F8" w:rsidRPr="003368F8" w:rsidRDefault="003368F8" w:rsidP="003368F8">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sz w:val="28"/>
                <w:szCs w:val="28"/>
              </w:rPr>
              <w:t>χ</w:t>
            </w:r>
            <w:r w:rsidRPr="002F39ED">
              <w:rPr>
                <w:rFonts w:ascii="Times New Roman" w:hAnsi="Times New Roman" w:cs="Times New Roman"/>
                <w:sz w:val="28"/>
                <w:szCs w:val="28"/>
                <w:vertAlign w:val="superscript"/>
              </w:rPr>
              <w:t>2</w:t>
            </w:r>
          </w:p>
        </w:tc>
        <w:tc>
          <w:tcPr>
            <w:tcW w:w="1134" w:type="dxa"/>
            <w:vMerge w:val="restart"/>
            <w:vAlign w:val="center"/>
          </w:tcPr>
          <w:p w14:paraId="1AFC0241" w14:textId="4BD99E2E" w:rsidR="003368F8" w:rsidRPr="003368F8" w:rsidRDefault="003368F8" w:rsidP="003368F8">
            <w:pPr>
              <w:spacing w:after="0" w:line="240" w:lineRule="auto"/>
              <w:jc w:val="center"/>
              <w:rPr>
                <w:rFonts w:ascii="Times New Roman" w:hAnsi="Times New Roman" w:cs="Times New Roman"/>
                <w:color w:val="000000"/>
                <w:spacing w:val="-2"/>
                <w:sz w:val="24"/>
                <w:szCs w:val="24"/>
              </w:rPr>
            </w:pPr>
            <w:r w:rsidRPr="008779D0">
              <w:rPr>
                <w:rFonts w:ascii="Times New Roman" w:hAnsi="Times New Roman" w:cs="Times New Roman"/>
                <w:bCs/>
                <w:sz w:val="24"/>
                <w:szCs w:val="24"/>
                <w:lang w:val="en-US"/>
              </w:rPr>
              <w:t>p</w:t>
            </w:r>
            <w:r>
              <w:rPr>
                <w:rFonts w:ascii="Times New Roman" w:hAnsi="Times New Roman" w:cs="Times New Roman"/>
                <w:bCs/>
                <w:sz w:val="24"/>
                <w:szCs w:val="24"/>
                <w:lang w:val="en-US"/>
              </w:rPr>
              <w:t>-value</w:t>
            </w:r>
            <w:r w:rsidRPr="008779D0">
              <w:rPr>
                <w:rFonts w:ascii="Times New Roman" w:hAnsi="Times New Roman" w:cs="Times New Roman"/>
                <w:bCs/>
                <w:sz w:val="24"/>
                <w:szCs w:val="24"/>
                <w:vertAlign w:val="superscript"/>
                <w:lang w:val="en-US"/>
              </w:rPr>
              <w:t>1</w:t>
            </w:r>
          </w:p>
        </w:tc>
      </w:tr>
      <w:tr w:rsidR="003368F8" w:rsidRPr="003368F8" w14:paraId="01725674" w14:textId="50EF332E" w:rsidTr="000B4B7F">
        <w:tc>
          <w:tcPr>
            <w:tcW w:w="1696" w:type="dxa"/>
            <w:vMerge/>
          </w:tcPr>
          <w:p w14:paraId="11F3D53F" w14:textId="77777777" w:rsidR="003368F8" w:rsidRPr="003368F8" w:rsidRDefault="003368F8" w:rsidP="00E913AF">
            <w:pPr>
              <w:spacing w:after="0" w:line="240" w:lineRule="auto"/>
              <w:jc w:val="both"/>
              <w:rPr>
                <w:rFonts w:ascii="Times New Roman" w:hAnsi="Times New Roman" w:cs="Times New Roman"/>
                <w:color w:val="000000"/>
                <w:spacing w:val="-2"/>
                <w:sz w:val="24"/>
                <w:szCs w:val="24"/>
              </w:rPr>
            </w:pPr>
          </w:p>
        </w:tc>
        <w:tc>
          <w:tcPr>
            <w:tcW w:w="709" w:type="dxa"/>
          </w:tcPr>
          <w:p w14:paraId="5248818A" w14:textId="1622453B" w:rsidR="003368F8" w:rsidRPr="00033F82" w:rsidRDefault="00033F82" w:rsidP="00033F82">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lang w:val="en-US"/>
              </w:rPr>
              <w:t>n</w:t>
            </w:r>
            <w:r>
              <w:rPr>
                <w:rFonts w:ascii="Times New Roman" w:hAnsi="Times New Roman" w:cs="Times New Roman"/>
                <w:color w:val="000000"/>
                <w:spacing w:val="-2"/>
                <w:sz w:val="24"/>
                <w:szCs w:val="24"/>
                <w:vertAlign w:val="superscript"/>
                <w:lang w:val="en-US"/>
              </w:rPr>
              <w:t>2</w:t>
            </w:r>
          </w:p>
        </w:tc>
        <w:tc>
          <w:tcPr>
            <w:tcW w:w="709" w:type="dxa"/>
          </w:tcPr>
          <w:p w14:paraId="429E790E"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w:t>
            </w:r>
          </w:p>
        </w:tc>
        <w:tc>
          <w:tcPr>
            <w:tcW w:w="1417" w:type="dxa"/>
          </w:tcPr>
          <w:p w14:paraId="5496D378" w14:textId="3E319BAE" w:rsidR="003368F8" w:rsidRPr="000B4B7F"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95% ДИ</w:t>
            </w:r>
            <w:r w:rsidR="00033F82">
              <w:rPr>
                <w:rFonts w:ascii="Times New Roman" w:hAnsi="Times New Roman" w:cs="Times New Roman"/>
                <w:color w:val="000000"/>
                <w:spacing w:val="-2"/>
                <w:sz w:val="24"/>
                <w:szCs w:val="24"/>
                <w:vertAlign w:val="superscript"/>
                <w:lang w:val="en-US"/>
              </w:rPr>
              <w:t>3</w:t>
            </w:r>
            <w:r w:rsidR="000B4B7F">
              <w:rPr>
                <w:rFonts w:ascii="Times New Roman" w:hAnsi="Times New Roman" w:cs="Times New Roman"/>
                <w:color w:val="000000"/>
                <w:spacing w:val="-2"/>
                <w:sz w:val="24"/>
                <w:szCs w:val="24"/>
              </w:rPr>
              <w:t>,</w:t>
            </w:r>
            <w:r w:rsidR="000B4B7F">
              <w:rPr>
                <w:rFonts w:ascii="Times New Roman" w:hAnsi="Times New Roman" w:cs="Times New Roman"/>
                <w:color w:val="000000"/>
                <w:spacing w:val="-2"/>
                <w:sz w:val="24"/>
                <w:szCs w:val="24"/>
                <w:vertAlign w:val="superscript"/>
              </w:rPr>
              <w:t xml:space="preserve"> </w:t>
            </w:r>
            <w:r w:rsidR="000B4B7F">
              <w:rPr>
                <w:rFonts w:ascii="Times New Roman" w:hAnsi="Times New Roman" w:cs="Times New Roman"/>
                <w:color w:val="000000"/>
                <w:spacing w:val="-2"/>
                <w:sz w:val="24"/>
                <w:szCs w:val="24"/>
              </w:rPr>
              <w:t>%</w:t>
            </w:r>
          </w:p>
        </w:tc>
        <w:tc>
          <w:tcPr>
            <w:tcW w:w="709" w:type="dxa"/>
          </w:tcPr>
          <w:p w14:paraId="393B8414"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n</w:t>
            </w:r>
          </w:p>
        </w:tc>
        <w:tc>
          <w:tcPr>
            <w:tcW w:w="851" w:type="dxa"/>
          </w:tcPr>
          <w:p w14:paraId="3B46B2CE"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w:t>
            </w:r>
          </w:p>
        </w:tc>
        <w:tc>
          <w:tcPr>
            <w:tcW w:w="1417" w:type="dxa"/>
          </w:tcPr>
          <w:p w14:paraId="224663E0" w14:textId="464F1A6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95% ДИ</w:t>
            </w:r>
            <w:r w:rsidR="000B4B7F">
              <w:rPr>
                <w:rFonts w:ascii="Times New Roman" w:hAnsi="Times New Roman" w:cs="Times New Roman"/>
                <w:color w:val="000000"/>
                <w:spacing w:val="-2"/>
                <w:sz w:val="24"/>
                <w:szCs w:val="24"/>
              </w:rPr>
              <w:t>, %</w:t>
            </w:r>
          </w:p>
        </w:tc>
        <w:tc>
          <w:tcPr>
            <w:tcW w:w="851" w:type="dxa"/>
            <w:vMerge/>
          </w:tcPr>
          <w:p w14:paraId="6B719A6E"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1134" w:type="dxa"/>
            <w:vMerge/>
          </w:tcPr>
          <w:p w14:paraId="038B5510" w14:textId="7C873E65"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r>
      <w:tr w:rsidR="003368F8" w:rsidRPr="003368F8" w14:paraId="5EA9F8CA" w14:textId="134B0921" w:rsidTr="000B4B7F">
        <w:tc>
          <w:tcPr>
            <w:tcW w:w="1696" w:type="dxa"/>
          </w:tcPr>
          <w:p w14:paraId="1A6B5DF6" w14:textId="483B3DE1" w:rsidR="003368F8" w:rsidRPr="003368F8" w:rsidRDefault="003368F8" w:rsidP="00E913AF">
            <w:pPr>
              <w:spacing w:after="0" w:line="240" w:lineRule="auto"/>
              <w:rPr>
                <w:rFonts w:ascii="Times New Roman" w:hAnsi="Times New Roman" w:cs="Times New Roman"/>
                <w:bCs/>
                <w:color w:val="000000"/>
                <w:spacing w:val="-2"/>
                <w:sz w:val="24"/>
                <w:szCs w:val="24"/>
              </w:rPr>
            </w:pPr>
            <w:r w:rsidRPr="003368F8">
              <w:rPr>
                <w:rFonts w:ascii="Times New Roman" w:hAnsi="Times New Roman" w:cs="Times New Roman"/>
                <w:bCs/>
                <w:color w:val="000000"/>
                <w:spacing w:val="-2"/>
                <w:sz w:val="24"/>
                <w:szCs w:val="24"/>
              </w:rPr>
              <w:t>Эмметропия</w:t>
            </w:r>
          </w:p>
        </w:tc>
        <w:tc>
          <w:tcPr>
            <w:tcW w:w="709" w:type="dxa"/>
            <w:vAlign w:val="bottom"/>
          </w:tcPr>
          <w:p w14:paraId="2400543A"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802</w:t>
            </w:r>
          </w:p>
        </w:tc>
        <w:tc>
          <w:tcPr>
            <w:tcW w:w="709" w:type="dxa"/>
            <w:vAlign w:val="bottom"/>
          </w:tcPr>
          <w:p w14:paraId="3BABFA58" w14:textId="742E3D8E"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69,1</w:t>
            </w:r>
          </w:p>
        </w:tc>
        <w:tc>
          <w:tcPr>
            <w:tcW w:w="1417" w:type="dxa"/>
            <w:vAlign w:val="bottom"/>
          </w:tcPr>
          <w:p w14:paraId="4FAFC5D1" w14:textId="58ABF64B"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66,3</w:t>
            </w:r>
            <w:r w:rsidRPr="003368F8">
              <w:rPr>
                <w:rFonts w:ascii="Times New Roman" w:hAnsi="Times New Roman" w:cs="Times New Roman"/>
                <w:color w:val="000000"/>
                <w:sz w:val="24"/>
                <w:szCs w:val="24"/>
                <w:lang w:val="en-US"/>
              </w:rPr>
              <w:t xml:space="preserve"> </w:t>
            </w:r>
            <w:r w:rsidRPr="003368F8">
              <w:rPr>
                <w:rFonts w:ascii="Times New Roman" w:hAnsi="Times New Roman" w:cs="Times New Roman"/>
                <w:color w:val="000000"/>
                <w:sz w:val="24"/>
                <w:szCs w:val="24"/>
              </w:rPr>
              <w:t>–</w:t>
            </w:r>
            <w:r w:rsidRPr="003368F8">
              <w:rPr>
                <w:rFonts w:ascii="Times New Roman" w:hAnsi="Times New Roman" w:cs="Times New Roman"/>
                <w:color w:val="000000"/>
                <w:sz w:val="24"/>
                <w:szCs w:val="24"/>
                <w:lang w:val="en-US"/>
              </w:rPr>
              <w:t xml:space="preserve"> </w:t>
            </w:r>
            <w:r w:rsidRPr="003368F8">
              <w:rPr>
                <w:rFonts w:ascii="Times New Roman" w:hAnsi="Times New Roman" w:cs="Times New Roman"/>
                <w:color w:val="000000"/>
                <w:sz w:val="24"/>
                <w:szCs w:val="24"/>
              </w:rPr>
              <w:t>71,</w:t>
            </w:r>
            <w:r w:rsidRPr="003368F8">
              <w:rPr>
                <w:rFonts w:ascii="Times New Roman" w:hAnsi="Times New Roman" w:cs="Times New Roman"/>
                <w:color w:val="000000"/>
                <w:sz w:val="24"/>
                <w:szCs w:val="24"/>
                <w:lang w:val="en-US"/>
              </w:rPr>
              <w:t>9</w:t>
            </w:r>
          </w:p>
        </w:tc>
        <w:tc>
          <w:tcPr>
            <w:tcW w:w="709" w:type="dxa"/>
            <w:vAlign w:val="bottom"/>
          </w:tcPr>
          <w:p w14:paraId="2544BBCB"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766</w:t>
            </w:r>
          </w:p>
        </w:tc>
        <w:tc>
          <w:tcPr>
            <w:tcW w:w="851" w:type="dxa"/>
            <w:vAlign w:val="bottom"/>
          </w:tcPr>
          <w:p w14:paraId="58E51E8E" w14:textId="3F94EBC5"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67,7</w:t>
            </w:r>
          </w:p>
        </w:tc>
        <w:tc>
          <w:tcPr>
            <w:tcW w:w="1417" w:type="dxa"/>
            <w:vAlign w:val="bottom"/>
          </w:tcPr>
          <w:p w14:paraId="68D2162F" w14:textId="1F43F896"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6</w:t>
            </w:r>
            <w:r w:rsidRPr="003368F8">
              <w:rPr>
                <w:rFonts w:ascii="Times New Roman" w:hAnsi="Times New Roman" w:cs="Times New Roman"/>
                <w:color w:val="000000"/>
                <w:sz w:val="24"/>
                <w:szCs w:val="24"/>
                <w:lang w:val="en-US"/>
              </w:rPr>
              <w:t>5</w:t>
            </w:r>
            <w:r w:rsidRPr="003368F8">
              <w:rPr>
                <w:rFonts w:ascii="Times New Roman" w:hAnsi="Times New Roman" w:cs="Times New Roman"/>
                <w:color w:val="000000"/>
                <w:sz w:val="24"/>
                <w:szCs w:val="24"/>
              </w:rPr>
              <w:t>,</w:t>
            </w:r>
            <w:r w:rsidRPr="003368F8">
              <w:rPr>
                <w:rFonts w:ascii="Times New Roman" w:hAnsi="Times New Roman" w:cs="Times New Roman"/>
                <w:color w:val="000000"/>
                <w:sz w:val="24"/>
                <w:szCs w:val="24"/>
                <w:lang w:val="en-US"/>
              </w:rPr>
              <w:t>0</w:t>
            </w:r>
            <w:r w:rsidRPr="003368F8">
              <w:rPr>
                <w:rFonts w:ascii="Times New Roman" w:hAnsi="Times New Roman" w:cs="Times New Roman"/>
                <w:color w:val="000000"/>
                <w:sz w:val="24"/>
                <w:szCs w:val="24"/>
              </w:rPr>
              <w:t>–70,4</w:t>
            </w:r>
          </w:p>
        </w:tc>
        <w:tc>
          <w:tcPr>
            <w:tcW w:w="851" w:type="dxa"/>
          </w:tcPr>
          <w:p w14:paraId="748E2497" w14:textId="77777777" w:rsidR="003368F8" w:rsidRPr="003368F8" w:rsidRDefault="003368F8" w:rsidP="00E913AF">
            <w:pPr>
              <w:spacing w:after="0" w:line="240" w:lineRule="auto"/>
              <w:jc w:val="center"/>
              <w:rPr>
                <w:rFonts w:ascii="Times New Roman" w:hAnsi="Times New Roman" w:cs="Times New Roman"/>
                <w:color w:val="000000"/>
                <w:sz w:val="24"/>
                <w:szCs w:val="24"/>
              </w:rPr>
            </w:pPr>
          </w:p>
        </w:tc>
        <w:tc>
          <w:tcPr>
            <w:tcW w:w="1134" w:type="dxa"/>
          </w:tcPr>
          <w:p w14:paraId="40A9E0F3" w14:textId="003E63FA" w:rsidR="003368F8" w:rsidRPr="003368F8" w:rsidRDefault="003368F8" w:rsidP="00E913AF">
            <w:pPr>
              <w:spacing w:after="0" w:line="240" w:lineRule="auto"/>
              <w:jc w:val="center"/>
              <w:rPr>
                <w:rFonts w:ascii="Times New Roman" w:hAnsi="Times New Roman" w:cs="Times New Roman"/>
                <w:color w:val="000000"/>
                <w:sz w:val="24"/>
                <w:szCs w:val="24"/>
              </w:rPr>
            </w:pPr>
          </w:p>
        </w:tc>
      </w:tr>
      <w:tr w:rsidR="003368F8" w:rsidRPr="003368F8" w14:paraId="51AAE66D" w14:textId="50279953" w:rsidTr="000B4B7F">
        <w:tc>
          <w:tcPr>
            <w:tcW w:w="1696" w:type="dxa"/>
          </w:tcPr>
          <w:p w14:paraId="39BA56EB" w14:textId="77777777" w:rsidR="003368F8" w:rsidRPr="003368F8" w:rsidRDefault="003368F8" w:rsidP="00E913AF">
            <w:pPr>
              <w:spacing w:after="0" w:line="240" w:lineRule="auto"/>
              <w:rPr>
                <w:rFonts w:ascii="Times New Roman" w:hAnsi="Times New Roman" w:cs="Times New Roman"/>
                <w:bCs/>
                <w:color w:val="000000"/>
                <w:spacing w:val="-2"/>
                <w:sz w:val="24"/>
                <w:szCs w:val="24"/>
              </w:rPr>
            </w:pPr>
            <w:r w:rsidRPr="003368F8">
              <w:rPr>
                <w:rFonts w:ascii="Times New Roman" w:hAnsi="Times New Roman" w:cs="Times New Roman"/>
                <w:bCs/>
                <w:color w:val="000000"/>
                <w:spacing w:val="-2"/>
                <w:sz w:val="24"/>
                <w:szCs w:val="24"/>
              </w:rPr>
              <w:t>Нарушения рефракции</w:t>
            </w:r>
          </w:p>
        </w:tc>
        <w:tc>
          <w:tcPr>
            <w:tcW w:w="709" w:type="dxa"/>
            <w:vAlign w:val="bottom"/>
          </w:tcPr>
          <w:p w14:paraId="3CA540AD"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359</w:t>
            </w:r>
          </w:p>
        </w:tc>
        <w:tc>
          <w:tcPr>
            <w:tcW w:w="709" w:type="dxa"/>
            <w:vAlign w:val="bottom"/>
          </w:tcPr>
          <w:p w14:paraId="2AAEF561" w14:textId="690A4360"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30,9</w:t>
            </w:r>
          </w:p>
        </w:tc>
        <w:tc>
          <w:tcPr>
            <w:tcW w:w="1417" w:type="dxa"/>
            <w:vAlign w:val="bottom"/>
          </w:tcPr>
          <w:p w14:paraId="15085D7D" w14:textId="58148AE3"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28,1–33,</w:t>
            </w:r>
            <w:r w:rsidRPr="003368F8">
              <w:rPr>
                <w:rFonts w:ascii="Times New Roman" w:hAnsi="Times New Roman" w:cs="Times New Roman"/>
                <w:color w:val="000000"/>
                <w:sz w:val="24"/>
                <w:szCs w:val="24"/>
                <w:lang w:val="en-US"/>
              </w:rPr>
              <w:t>7</w:t>
            </w:r>
          </w:p>
        </w:tc>
        <w:tc>
          <w:tcPr>
            <w:tcW w:w="709" w:type="dxa"/>
            <w:vAlign w:val="bottom"/>
          </w:tcPr>
          <w:p w14:paraId="7CF73051"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366</w:t>
            </w:r>
          </w:p>
        </w:tc>
        <w:tc>
          <w:tcPr>
            <w:tcW w:w="851" w:type="dxa"/>
            <w:vAlign w:val="bottom"/>
          </w:tcPr>
          <w:p w14:paraId="32057E33" w14:textId="7850D311"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32,3</w:t>
            </w:r>
          </w:p>
        </w:tc>
        <w:tc>
          <w:tcPr>
            <w:tcW w:w="1417" w:type="dxa"/>
            <w:vAlign w:val="bottom"/>
          </w:tcPr>
          <w:p w14:paraId="17C73E3A" w14:textId="75EB80EC"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29,</w:t>
            </w:r>
            <w:r w:rsidRPr="003368F8">
              <w:rPr>
                <w:rFonts w:ascii="Times New Roman" w:hAnsi="Times New Roman" w:cs="Times New Roman"/>
                <w:color w:val="000000"/>
                <w:sz w:val="24"/>
                <w:szCs w:val="24"/>
                <w:lang w:val="en-US"/>
              </w:rPr>
              <w:t>6</w:t>
            </w:r>
            <w:r w:rsidR="000B4B7F">
              <w:rPr>
                <w:rFonts w:ascii="Times New Roman" w:hAnsi="Times New Roman" w:cs="Times New Roman"/>
                <w:color w:val="000000"/>
                <w:sz w:val="24"/>
                <w:szCs w:val="24"/>
              </w:rPr>
              <w:t>–35,0</w:t>
            </w:r>
          </w:p>
        </w:tc>
        <w:tc>
          <w:tcPr>
            <w:tcW w:w="851" w:type="dxa"/>
          </w:tcPr>
          <w:p w14:paraId="0FD00F20" w14:textId="786BDF5C"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0,527</w:t>
            </w:r>
          </w:p>
        </w:tc>
        <w:tc>
          <w:tcPr>
            <w:tcW w:w="1134" w:type="dxa"/>
          </w:tcPr>
          <w:p w14:paraId="1A31F732" w14:textId="4AAB7DCA"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0,468</w:t>
            </w:r>
          </w:p>
        </w:tc>
      </w:tr>
      <w:tr w:rsidR="003368F8" w:rsidRPr="003368F8" w14:paraId="432507AA" w14:textId="09E4FE2D" w:rsidTr="000B4B7F">
        <w:tc>
          <w:tcPr>
            <w:tcW w:w="1696" w:type="dxa"/>
          </w:tcPr>
          <w:p w14:paraId="2456B5A5" w14:textId="77777777" w:rsidR="003368F8" w:rsidRPr="003368F8" w:rsidRDefault="003368F8" w:rsidP="00E913AF">
            <w:pPr>
              <w:spacing w:after="0" w:line="240" w:lineRule="auto"/>
              <w:rPr>
                <w:rFonts w:ascii="Times New Roman" w:hAnsi="Times New Roman" w:cs="Times New Roman"/>
                <w:bCs/>
                <w:color w:val="000000"/>
                <w:spacing w:val="-2"/>
                <w:sz w:val="24"/>
                <w:szCs w:val="24"/>
              </w:rPr>
            </w:pPr>
            <w:r w:rsidRPr="003368F8">
              <w:rPr>
                <w:rFonts w:ascii="Times New Roman" w:hAnsi="Times New Roman" w:cs="Times New Roman"/>
                <w:bCs/>
                <w:color w:val="000000"/>
                <w:spacing w:val="-2"/>
                <w:sz w:val="24"/>
                <w:szCs w:val="24"/>
              </w:rPr>
              <w:t>Миопия</w:t>
            </w:r>
          </w:p>
        </w:tc>
        <w:tc>
          <w:tcPr>
            <w:tcW w:w="709" w:type="dxa"/>
            <w:vAlign w:val="bottom"/>
          </w:tcPr>
          <w:p w14:paraId="2D8350D0"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319</w:t>
            </w:r>
          </w:p>
        </w:tc>
        <w:tc>
          <w:tcPr>
            <w:tcW w:w="709" w:type="dxa"/>
            <w:vAlign w:val="bottom"/>
          </w:tcPr>
          <w:p w14:paraId="21BFF52F" w14:textId="0B6EA325"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27,5</w:t>
            </w:r>
          </w:p>
        </w:tc>
        <w:tc>
          <w:tcPr>
            <w:tcW w:w="1417" w:type="dxa"/>
            <w:vAlign w:val="bottom"/>
          </w:tcPr>
          <w:p w14:paraId="5C2DD9B3" w14:textId="2721190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24,8–30,</w:t>
            </w:r>
            <w:r w:rsidRPr="003368F8">
              <w:rPr>
                <w:rFonts w:ascii="Times New Roman" w:hAnsi="Times New Roman" w:cs="Times New Roman"/>
                <w:bCs/>
                <w:color w:val="000000"/>
                <w:sz w:val="24"/>
                <w:szCs w:val="24"/>
                <w:lang w:val="en-US"/>
              </w:rPr>
              <w:t>2</w:t>
            </w:r>
          </w:p>
        </w:tc>
        <w:tc>
          <w:tcPr>
            <w:tcW w:w="709" w:type="dxa"/>
            <w:vAlign w:val="bottom"/>
          </w:tcPr>
          <w:p w14:paraId="660588C2"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329</w:t>
            </w:r>
          </w:p>
        </w:tc>
        <w:tc>
          <w:tcPr>
            <w:tcW w:w="851" w:type="dxa"/>
            <w:vAlign w:val="bottom"/>
          </w:tcPr>
          <w:p w14:paraId="7D5C676B" w14:textId="4F331D12"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29,1</w:t>
            </w:r>
          </w:p>
        </w:tc>
        <w:tc>
          <w:tcPr>
            <w:tcW w:w="1417" w:type="dxa"/>
            <w:vAlign w:val="bottom"/>
          </w:tcPr>
          <w:p w14:paraId="5CF8781E" w14:textId="66BDCD86"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26,</w:t>
            </w:r>
            <w:r w:rsidRPr="003368F8">
              <w:rPr>
                <w:rFonts w:ascii="Times New Roman" w:hAnsi="Times New Roman" w:cs="Times New Roman"/>
                <w:bCs/>
                <w:color w:val="000000"/>
                <w:sz w:val="24"/>
                <w:szCs w:val="24"/>
                <w:lang w:val="en-US"/>
              </w:rPr>
              <w:t>5</w:t>
            </w:r>
            <w:r w:rsidRPr="003368F8">
              <w:rPr>
                <w:rFonts w:ascii="Times New Roman" w:hAnsi="Times New Roman" w:cs="Times New Roman"/>
                <w:bCs/>
                <w:color w:val="000000"/>
                <w:sz w:val="24"/>
                <w:szCs w:val="24"/>
              </w:rPr>
              <w:t>–31,</w:t>
            </w:r>
            <w:r w:rsidRPr="003368F8">
              <w:rPr>
                <w:rFonts w:ascii="Times New Roman" w:hAnsi="Times New Roman" w:cs="Times New Roman"/>
                <w:bCs/>
                <w:color w:val="000000"/>
                <w:sz w:val="24"/>
                <w:szCs w:val="24"/>
                <w:lang w:val="en-US"/>
              </w:rPr>
              <w:t>8</w:t>
            </w:r>
          </w:p>
        </w:tc>
        <w:tc>
          <w:tcPr>
            <w:tcW w:w="851" w:type="dxa"/>
          </w:tcPr>
          <w:p w14:paraId="3FB780FD" w14:textId="2812D321" w:rsidR="003368F8" w:rsidRPr="003368F8" w:rsidRDefault="00C10ACF"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0,676</w:t>
            </w:r>
          </w:p>
        </w:tc>
        <w:tc>
          <w:tcPr>
            <w:tcW w:w="1134" w:type="dxa"/>
          </w:tcPr>
          <w:p w14:paraId="30F7C2FD" w14:textId="7F0B4ADA" w:rsidR="003368F8" w:rsidRPr="003368F8" w:rsidRDefault="00C10ACF"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0,411</w:t>
            </w:r>
          </w:p>
        </w:tc>
      </w:tr>
      <w:tr w:rsidR="003368F8" w:rsidRPr="003368F8" w14:paraId="562C6BB3" w14:textId="2C00380E" w:rsidTr="000B4B7F">
        <w:tc>
          <w:tcPr>
            <w:tcW w:w="1696" w:type="dxa"/>
          </w:tcPr>
          <w:p w14:paraId="7EA3ECC1" w14:textId="57A44E04"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слабая </w:t>
            </w:r>
          </w:p>
        </w:tc>
        <w:tc>
          <w:tcPr>
            <w:tcW w:w="709" w:type="dxa"/>
            <w:vAlign w:val="bottom"/>
          </w:tcPr>
          <w:p w14:paraId="71BEACCF"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255</w:t>
            </w:r>
          </w:p>
        </w:tc>
        <w:tc>
          <w:tcPr>
            <w:tcW w:w="709" w:type="dxa"/>
            <w:vAlign w:val="bottom"/>
          </w:tcPr>
          <w:p w14:paraId="3AF8756A" w14:textId="69B57B80"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79,9</w:t>
            </w:r>
          </w:p>
        </w:tc>
        <w:tc>
          <w:tcPr>
            <w:tcW w:w="1417" w:type="dxa"/>
            <w:vAlign w:val="bottom"/>
          </w:tcPr>
          <w:p w14:paraId="68BD32DB" w14:textId="52EDE009"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75,5</w:t>
            </w:r>
            <w:r w:rsidR="000B4B7F">
              <w:rPr>
                <w:rFonts w:ascii="Times New Roman" w:hAnsi="Times New Roman" w:cs="Times New Roman"/>
                <w:color w:val="000000"/>
                <w:sz w:val="24"/>
                <w:szCs w:val="24"/>
              </w:rPr>
              <w:t>–84,3</w:t>
            </w:r>
          </w:p>
        </w:tc>
        <w:tc>
          <w:tcPr>
            <w:tcW w:w="709" w:type="dxa"/>
            <w:vAlign w:val="bottom"/>
          </w:tcPr>
          <w:p w14:paraId="3D54E31C"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258</w:t>
            </w:r>
          </w:p>
        </w:tc>
        <w:tc>
          <w:tcPr>
            <w:tcW w:w="851" w:type="dxa"/>
            <w:vAlign w:val="bottom"/>
          </w:tcPr>
          <w:p w14:paraId="7C99840E" w14:textId="4D955617"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78,4</w:t>
            </w:r>
          </w:p>
        </w:tc>
        <w:tc>
          <w:tcPr>
            <w:tcW w:w="1417" w:type="dxa"/>
            <w:vAlign w:val="bottom"/>
          </w:tcPr>
          <w:p w14:paraId="286C19F4" w14:textId="1A828E2F"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7</w:t>
            </w:r>
            <w:r w:rsidRPr="003368F8">
              <w:rPr>
                <w:rFonts w:ascii="Times New Roman" w:hAnsi="Times New Roman" w:cs="Times New Roman"/>
                <w:color w:val="000000"/>
                <w:sz w:val="24"/>
                <w:szCs w:val="24"/>
                <w:lang w:val="en-US"/>
              </w:rPr>
              <w:t>4</w:t>
            </w:r>
            <w:r w:rsidRPr="003368F8">
              <w:rPr>
                <w:rFonts w:ascii="Times New Roman" w:hAnsi="Times New Roman" w:cs="Times New Roman"/>
                <w:color w:val="000000"/>
                <w:sz w:val="24"/>
                <w:szCs w:val="24"/>
              </w:rPr>
              <w:t>,</w:t>
            </w:r>
            <w:r w:rsidRPr="003368F8">
              <w:rPr>
                <w:rFonts w:ascii="Times New Roman" w:hAnsi="Times New Roman" w:cs="Times New Roman"/>
                <w:color w:val="000000"/>
                <w:sz w:val="24"/>
                <w:szCs w:val="24"/>
                <w:lang w:val="en-US"/>
              </w:rPr>
              <w:t>0</w:t>
            </w:r>
            <w:r w:rsidRPr="003368F8">
              <w:rPr>
                <w:rFonts w:ascii="Times New Roman" w:hAnsi="Times New Roman" w:cs="Times New Roman"/>
                <w:color w:val="000000"/>
                <w:sz w:val="24"/>
                <w:szCs w:val="24"/>
              </w:rPr>
              <w:t>–82,</w:t>
            </w:r>
            <w:r w:rsidRPr="003368F8">
              <w:rPr>
                <w:rFonts w:ascii="Times New Roman" w:hAnsi="Times New Roman" w:cs="Times New Roman"/>
                <w:color w:val="000000"/>
                <w:sz w:val="24"/>
                <w:szCs w:val="24"/>
                <w:lang w:val="en-US"/>
              </w:rPr>
              <w:t>9</w:t>
            </w:r>
          </w:p>
        </w:tc>
        <w:tc>
          <w:tcPr>
            <w:tcW w:w="851" w:type="dxa"/>
          </w:tcPr>
          <w:p w14:paraId="05709651" w14:textId="1E3551D3"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0,320</w:t>
            </w:r>
          </w:p>
        </w:tc>
        <w:tc>
          <w:tcPr>
            <w:tcW w:w="1134" w:type="dxa"/>
          </w:tcPr>
          <w:p w14:paraId="1F734A41" w14:textId="15D717EA"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0,572</w:t>
            </w:r>
          </w:p>
        </w:tc>
      </w:tr>
      <w:tr w:rsidR="003368F8" w:rsidRPr="003368F8" w14:paraId="7DA40964" w14:textId="24F458EF" w:rsidTr="000B4B7F">
        <w:tc>
          <w:tcPr>
            <w:tcW w:w="1696" w:type="dxa"/>
          </w:tcPr>
          <w:p w14:paraId="012C8580" w14:textId="41D443AE"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средняя</w:t>
            </w:r>
          </w:p>
        </w:tc>
        <w:tc>
          <w:tcPr>
            <w:tcW w:w="709" w:type="dxa"/>
            <w:vAlign w:val="bottom"/>
          </w:tcPr>
          <w:p w14:paraId="240A4051"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46</w:t>
            </w:r>
          </w:p>
        </w:tc>
        <w:tc>
          <w:tcPr>
            <w:tcW w:w="709" w:type="dxa"/>
            <w:vAlign w:val="bottom"/>
          </w:tcPr>
          <w:p w14:paraId="38521B79" w14:textId="7A0AD5D0"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14,4</w:t>
            </w:r>
          </w:p>
        </w:tc>
        <w:tc>
          <w:tcPr>
            <w:tcW w:w="1417" w:type="dxa"/>
            <w:vAlign w:val="bottom"/>
          </w:tcPr>
          <w:p w14:paraId="40F4D134" w14:textId="0AB8900A"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10,</w:t>
            </w:r>
            <w:r w:rsidRPr="003368F8">
              <w:rPr>
                <w:rFonts w:ascii="Times New Roman" w:hAnsi="Times New Roman" w:cs="Times New Roman"/>
                <w:color w:val="000000"/>
                <w:sz w:val="24"/>
                <w:szCs w:val="24"/>
                <w:lang w:val="en-US"/>
              </w:rPr>
              <w:t>6</w:t>
            </w:r>
            <w:r w:rsidRPr="003368F8">
              <w:rPr>
                <w:rFonts w:ascii="Times New Roman" w:hAnsi="Times New Roman" w:cs="Times New Roman"/>
                <w:color w:val="000000"/>
                <w:sz w:val="24"/>
                <w:szCs w:val="24"/>
              </w:rPr>
              <w:t>–18,</w:t>
            </w:r>
            <w:r w:rsidRPr="003368F8">
              <w:rPr>
                <w:rFonts w:ascii="Times New Roman" w:hAnsi="Times New Roman" w:cs="Times New Roman"/>
                <w:color w:val="000000"/>
                <w:sz w:val="24"/>
                <w:szCs w:val="24"/>
                <w:lang w:val="en-US"/>
              </w:rPr>
              <w:t>3</w:t>
            </w:r>
          </w:p>
        </w:tc>
        <w:tc>
          <w:tcPr>
            <w:tcW w:w="709" w:type="dxa"/>
            <w:vAlign w:val="bottom"/>
          </w:tcPr>
          <w:p w14:paraId="0B0A8AC4"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60</w:t>
            </w:r>
          </w:p>
        </w:tc>
        <w:tc>
          <w:tcPr>
            <w:tcW w:w="851" w:type="dxa"/>
            <w:vAlign w:val="bottom"/>
          </w:tcPr>
          <w:p w14:paraId="2E7A30A2" w14:textId="30EC677E"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18,2</w:t>
            </w:r>
          </w:p>
        </w:tc>
        <w:tc>
          <w:tcPr>
            <w:tcW w:w="1417" w:type="dxa"/>
            <w:vAlign w:val="bottom"/>
          </w:tcPr>
          <w:p w14:paraId="20A88FDE" w14:textId="1D956842"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14,0–22,</w:t>
            </w:r>
            <w:r w:rsidRPr="003368F8">
              <w:rPr>
                <w:rFonts w:ascii="Times New Roman" w:hAnsi="Times New Roman" w:cs="Times New Roman"/>
                <w:color w:val="000000"/>
                <w:sz w:val="24"/>
                <w:szCs w:val="24"/>
                <w:lang w:val="en-US"/>
              </w:rPr>
              <w:t>4</w:t>
            </w:r>
          </w:p>
        </w:tc>
        <w:tc>
          <w:tcPr>
            <w:tcW w:w="851" w:type="dxa"/>
          </w:tcPr>
          <w:p w14:paraId="6E7C51D9" w14:textId="785DF554"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2,387</w:t>
            </w:r>
          </w:p>
        </w:tc>
        <w:tc>
          <w:tcPr>
            <w:tcW w:w="1134" w:type="dxa"/>
          </w:tcPr>
          <w:p w14:paraId="4D04A0F0" w14:textId="06EC1285" w:rsidR="003368F8" w:rsidRPr="003368F8" w:rsidRDefault="00C10ACF"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0,122</w:t>
            </w:r>
          </w:p>
        </w:tc>
      </w:tr>
      <w:tr w:rsidR="003368F8" w:rsidRPr="003368F8" w14:paraId="4768CA2E" w14:textId="459F0867" w:rsidTr="000B4B7F">
        <w:tc>
          <w:tcPr>
            <w:tcW w:w="1696" w:type="dxa"/>
          </w:tcPr>
          <w:p w14:paraId="1909480D" w14:textId="210A9DB3"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высокая </w:t>
            </w:r>
          </w:p>
        </w:tc>
        <w:tc>
          <w:tcPr>
            <w:tcW w:w="709" w:type="dxa"/>
            <w:vAlign w:val="bottom"/>
          </w:tcPr>
          <w:p w14:paraId="141DE4FB"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18</w:t>
            </w:r>
          </w:p>
        </w:tc>
        <w:tc>
          <w:tcPr>
            <w:tcW w:w="709" w:type="dxa"/>
            <w:vAlign w:val="bottom"/>
          </w:tcPr>
          <w:p w14:paraId="59E624E2" w14:textId="45824B24"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5,6</w:t>
            </w:r>
          </w:p>
        </w:tc>
        <w:tc>
          <w:tcPr>
            <w:tcW w:w="1417" w:type="dxa"/>
            <w:vAlign w:val="bottom"/>
          </w:tcPr>
          <w:p w14:paraId="6D21D8AD" w14:textId="29F8C45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3,</w:t>
            </w:r>
            <w:r w:rsidRPr="003368F8">
              <w:rPr>
                <w:rFonts w:ascii="Times New Roman" w:hAnsi="Times New Roman" w:cs="Times New Roman"/>
                <w:color w:val="000000"/>
                <w:sz w:val="24"/>
                <w:szCs w:val="24"/>
                <w:lang w:val="en-US"/>
              </w:rPr>
              <w:t>1</w:t>
            </w:r>
            <w:r w:rsidR="000B4B7F">
              <w:rPr>
                <w:rFonts w:ascii="Times New Roman" w:hAnsi="Times New Roman" w:cs="Times New Roman"/>
                <w:color w:val="000000"/>
                <w:sz w:val="24"/>
                <w:szCs w:val="24"/>
              </w:rPr>
              <w:t>–8,1</w:t>
            </w:r>
          </w:p>
        </w:tc>
        <w:tc>
          <w:tcPr>
            <w:tcW w:w="709" w:type="dxa"/>
            <w:vAlign w:val="bottom"/>
          </w:tcPr>
          <w:p w14:paraId="4682583D"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11</w:t>
            </w:r>
          </w:p>
        </w:tc>
        <w:tc>
          <w:tcPr>
            <w:tcW w:w="851" w:type="dxa"/>
            <w:vAlign w:val="bottom"/>
          </w:tcPr>
          <w:p w14:paraId="117FEB83" w14:textId="729FCE89"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3,3</w:t>
            </w:r>
          </w:p>
        </w:tc>
        <w:tc>
          <w:tcPr>
            <w:tcW w:w="1417" w:type="dxa"/>
            <w:vAlign w:val="bottom"/>
          </w:tcPr>
          <w:p w14:paraId="737AC1C6" w14:textId="7009D1D3"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w:t>
            </w:r>
            <w:r w:rsidRPr="003368F8">
              <w:rPr>
                <w:rFonts w:ascii="Times New Roman" w:hAnsi="Times New Roman" w:cs="Times New Roman"/>
                <w:color w:val="000000"/>
                <w:sz w:val="24"/>
                <w:szCs w:val="24"/>
                <w:lang w:val="en-US"/>
              </w:rPr>
              <w:t>4</w:t>
            </w:r>
            <w:r w:rsidR="000B4B7F">
              <w:rPr>
                <w:rFonts w:ascii="Times New Roman" w:hAnsi="Times New Roman" w:cs="Times New Roman"/>
                <w:color w:val="000000"/>
                <w:sz w:val="24"/>
                <w:szCs w:val="24"/>
              </w:rPr>
              <w:t>–5,2</w:t>
            </w:r>
          </w:p>
        </w:tc>
        <w:tc>
          <w:tcPr>
            <w:tcW w:w="851" w:type="dxa"/>
          </w:tcPr>
          <w:p w14:paraId="33760CBE" w14:textId="16D17523" w:rsidR="003368F8" w:rsidRPr="003368F8" w:rsidRDefault="000C4EB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1,359</w:t>
            </w:r>
          </w:p>
        </w:tc>
        <w:tc>
          <w:tcPr>
            <w:tcW w:w="1134" w:type="dxa"/>
          </w:tcPr>
          <w:p w14:paraId="011242DF" w14:textId="020D7CB6" w:rsidR="003368F8" w:rsidRPr="003368F8" w:rsidRDefault="000C4EB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0,244</w:t>
            </w:r>
          </w:p>
        </w:tc>
      </w:tr>
      <w:tr w:rsidR="003368F8" w:rsidRPr="003368F8" w14:paraId="6B9C30E6" w14:textId="349C0442" w:rsidTr="000B4B7F">
        <w:trPr>
          <w:trHeight w:val="471"/>
        </w:trPr>
        <w:tc>
          <w:tcPr>
            <w:tcW w:w="1696" w:type="dxa"/>
          </w:tcPr>
          <w:p w14:paraId="1A212D4A" w14:textId="4C02920E" w:rsidR="003368F8" w:rsidRPr="003368F8" w:rsidRDefault="003368F8" w:rsidP="003368F8">
            <w:pPr>
              <w:spacing w:after="0" w:line="240" w:lineRule="auto"/>
              <w:rPr>
                <w:rFonts w:ascii="Times New Roman" w:hAnsi="Times New Roman" w:cs="Times New Roman"/>
                <w:bCs/>
                <w:color w:val="000000"/>
                <w:spacing w:val="-2"/>
                <w:sz w:val="24"/>
                <w:szCs w:val="24"/>
              </w:rPr>
            </w:pPr>
            <w:r w:rsidRPr="003368F8">
              <w:rPr>
                <w:rFonts w:ascii="Times New Roman" w:hAnsi="Times New Roman" w:cs="Times New Roman"/>
                <w:bCs/>
                <w:color w:val="000000"/>
                <w:spacing w:val="-2"/>
                <w:sz w:val="24"/>
                <w:szCs w:val="24"/>
              </w:rPr>
              <w:t>Гиперметроп</w:t>
            </w:r>
            <w:r>
              <w:rPr>
                <w:rFonts w:ascii="Times New Roman" w:hAnsi="Times New Roman" w:cs="Times New Roman"/>
                <w:bCs/>
                <w:color w:val="000000"/>
                <w:spacing w:val="-2"/>
                <w:sz w:val="24"/>
                <w:szCs w:val="24"/>
              </w:rPr>
              <w:t>.</w:t>
            </w:r>
          </w:p>
        </w:tc>
        <w:tc>
          <w:tcPr>
            <w:tcW w:w="709" w:type="dxa"/>
            <w:vAlign w:val="bottom"/>
          </w:tcPr>
          <w:p w14:paraId="05D33CEA"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40</w:t>
            </w:r>
          </w:p>
        </w:tc>
        <w:tc>
          <w:tcPr>
            <w:tcW w:w="709" w:type="dxa"/>
            <w:vAlign w:val="bottom"/>
          </w:tcPr>
          <w:p w14:paraId="13D485FF" w14:textId="5DC4E828"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3,4</w:t>
            </w:r>
          </w:p>
        </w:tc>
        <w:tc>
          <w:tcPr>
            <w:tcW w:w="1417" w:type="dxa"/>
            <w:vAlign w:val="bottom"/>
          </w:tcPr>
          <w:p w14:paraId="5B2548D3" w14:textId="479122D5"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2,3–4,</w:t>
            </w:r>
            <w:r w:rsidRPr="003368F8">
              <w:rPr>
                <w:rFonts w:ascii="Times New Roman" w:hAnsi="Times New Roman" w:cs="Times New Roman"/>
                <w:bCs/>
                <w:color w:val="000000"/>
                <w:sz w:val="24"/>
                <w:szCs w:val="24"/>
                <w:lang w:val="en-US"/>
              </w:rPr>
              <w:t>5</w:t>
            </w:r>
          </w:p>
        </w:tc>
        <w:tc>
          <w:tcPr>
            <w:tcW w:w="709" w:type="dxa"/>
            <w:vAlign w:val="bottom"/>
          </w:tcPr>
          <w:p w14:paraId="4067A18A"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37</w:t>
            </w:r>
          </w:p>
        </w:tc>
        <w:tc>
          <w:tcPr>
            <w:tcW w:w="851" w:type="dxa"/>
            <w:vAlign w:val="bottom"/>
          </w:tcPr>
          <w:p w14:paraId="62AD11A2" w14:textId="1D6BE609"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3,3</w:t>
            </w:r>
          </w:p>
        </w:tc>
        <w:tc>
          <w:tcPr>
            <w:tcW w:w="1417" w:type="dxa"/>
            <w:vAlign w:val="bottom"/>
          </w:tcPr>
          <w:p w14:paraId="248A6046" w14:textId="3BA052EF"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2,</w:t>
            </w:r>
            <w:r w:rsidRPr="003368F8">
              <w:rPr>
                <w:rFonts w:ascii="Times New Roman" w:hAnsi="Times New Roman" w:cs="Times New Roman"/>
                <w:bCs/>
                <w:color w:val="000000"/>
                <w:sz w:val="24"/>
                <w:szCs w:val="24"/>
                <w:lang w:val="en-US"/>
              </w:rPr>
              <w:t>3</w:t>
            </w:r>
            <w:r w:rsidR="000B4B7F">
              <w:rPr>
                <w:rFonts w:ascii="Times New Roman" w:hAnsi="Times New Roman" w:cs="Times New Roman"/>
                <w:bCs/>
                <w:color w:val="000000"/>
                <w:sz w:val="24"/>
                <w:szCs w:val="24"/>
              </w:rPr>
              <w:t>–4,3</w:t>
            </w:r>
          </w:p>
        </w:tc>
        <w:tc>
          <w:tcPr>
            <w:tcW w:w="851" w:type="dxa"/>
          </w:tcPr>
          <w:p w14:paraId="19DA74A5" w14:textId="0315C983" w:rsidR="003368F8" w:rsidRPr="003368F8" w:rsidRDefault="00F309D3"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0,019</w:t>
            </w:r>
          </w:p>
        </w:tc>
        <w:tc>
          <w:tcPr>
            <w:tcW w:w="1134" w:type="dxa"/>
          </w:tcPr>
          <w:p w14:paraId="605C2800" w14:textId="09995A64" w:rsidR="003368F8" w:rsidRPr="003368F8" w:rsidRDefault="00F309D3"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0,891</w:t>
            </w:r>
          </w:p>
        </w:tc>
      </w:tr>
      <w:tr w:rsidR="003368F8" w:rsidRPr="003368F8" w14:paraId="60253228" w14:textId="4A776D0A" w:rsidTr="000B4B7F">
        <w:tc>
          <w:tcPr>
            <w:tcW w:w="1696" w:type="dxa"/>
          </w:tcPr>
          <w:p w14:paraId="620CCEBB" w14:textId="42DFDF8A"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слабая </w:t>
            </w:r>
          </w:p>
        </w:tc>
        <w:tc>
          <w:tcPr>
            <w:tcW w:w="709" w:type="dxa"/>
            <w:vAlign w:val="bottom"/>
          </w:tcPr>
          <w:p w14:paraId="2063BA6C"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35</w:t>
            </w:r>
          </w:p>
        </w:tc>
        <w:tc>
          <w:tcPr>
            <w:tcW w:w="709" w:type="dxa"/>
            <w:vAlign w:val="bottom"/>
          </w:tcPr>
          <w:p w14:paraId="2CF37696" w14:textId="6732DE5F"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87,5</w:t>
            </w:r>
          </w:p>
        </w:tc>
        <w:tc>
          <w:tcPr>
            <w:tcW w:w="1417" w:type="dxa"/>
            <w:vAlign w:val="bottom"/>
          </w:tcPr>
          <w:p w14:paraId="1319188F" w14:textId="0A1A1B54"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77,</w:t>
            </w:r>
            <w:r w:rsidRPr="003368F8">
              <w:rPr>
                <w:rFonts w:ascii="Times New Roman" w:hAnsi="Times New Roman" w:cs="Times New Roman"/>
                <w:color w:val="000000"/>
                <w:sz w:val="24"/>
                <w:szCs w:val="24"/>
                <w:lang w:val="en-US"/>
              </w:rPr>
              <w:t>3</w:t>
            </w:r>
            <w:r w:rsidRPr="003368F8">
              <w:rPr>
                <w:rFonts w:ascii="Times New Roman" w:hAnsi="Times New Roman" w:cs="Times New Roman"/>
                <w:color w:val="000000"/>
                <w:sz w:val="24"/>
                <w:szCs w:val="24"/>
              </w:rPr>
              <w:t>–97,</w:t>
            </w:r>
            <w:r w:rsidRPr="003368F8">
              <w:rPr>
                <w:rFonts w:ascii="Times New Roman" w:hAnsi="Times New Roman" w:cs="Times New Roman"/>
                <w:color w:val="000000"/>
                <w:sz w:val="24"/>
                <w:szCs w:val="24"/>
                <w:lang w:val="en-US"/>
              </w:rPr>
              <w:t>8</w:t>
            </w:r>
          </w:p>
        </w:tc>
        <w:tc>
          <w:tcPr>
            <w:tcW w:w="709" w:type="dxa"/>
            <w:vAlign w:val="bottom"/>
          </w:tcPr>
          <w:p w14:paraId="44CFE50A"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32</w:t>
            </w:r>
          </w:p>
        </w:tc>
        <w:tc>
          <w:tcPr>
            <w:tcW w:w="851" w:type="dxa"/>
            <w:vAlign w:val="bottom"/>
          </w:tcPr>
          <w:p w14:paraId="76928839" w14:textId="1B8694FF"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86,5</w:t>
            </w:r>
          </w:p>
        </w:tc>
        <w:tc>
          <w:tcPr>
            <w:tcW w:w="1417" w:type="dxa"/>
            <w:vAlign w:val="bottom"/>
          </w:tcPr>
          <w:p w14:paraId="6E80D982" w14:textId="76D539A6" w:rsidR="003368F8" w:rsidRPr="003368F8" w:rsidRDefault="003368F8" w:rsidP="000B4B7F">
            <w:pPr>
              <w:spacing w:after="0" w:line="240" w:lineRule="auto"/>
              <w:jc w:val="center"/>
              <w:rPr>
                <w:rFonts w:ascii="Times New Roman" w:hAnsi="Times New Roman" w:cs="Times New Roman"/>
                <w:color w:val="000000"/>
                <w:spacing w:val="-2"/>
                <w:sz w:val="24"/>
                <w:szCs w:val="24"/>
                <w:lang w:val="en-US"/>
              </w:rPr>
            </w:pPr>
            <w:r w:rsidRPr="003368F8">
              <w:rPr>
                <w:rFonts w:ascii="Times New Roman" w:hAnsi="Times New Roman" w:cs="Times New Roman"/>
                <w:color w:val="000000"/>
                <w:sz w:val="24"/>
                <w:szCs w:val="24"/>
              </w:rPr>
              <w:t>75,</w:t>
            </w:r>
            <w:r w:rsidRPr="003368F8">
              <w:rPr>
                <w:rFonts w:ascii="Times New Roman" w:hAnsi="Times New Roman" w:cs="Times New Roman"/>
                <w:color w:val="000000"/>
                <w:sz w:val="24"/>
                <w:szCs w:val="24"/>
                <w:lang w:val="en-US"/>
              </w:rPr>
              <w:t>5</w:t>
            </w:r>
            <w:r w:rsidRPr="003368F8">
              <w:rPr>
                <w:rFonts w:ascii="Times New Roman" w:hAnsi="Times New Roman" w:cs="Times New Roman"/>
                <w:color w:val="000000"/>
                <w:sz w:val="24"/>
                <w:szCs w:val="24"/>
              </w:rPr>
              <w:t>–97,5</w:t>
            </w:r>
          </w:p>
        </w:tc>
        <w:tc>
          <w:tcPr>
            <w:tcW w:w="851" w:type="dxa"/>
          </w:tcPr>
          <w:p w14:paraId="2A7634B8" w14:textId="5CD41B10" w:rsidR="003368F8" w:rsidRPr="003368F8" w:rsidRDefault="004B7954"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0,030</w:t>
            </w:r>
          </w:p>
        </w:tc>
        <w:tc>
          <w:tcPr>
            <w:tcW w:w="1134" w:type="dxa"/>
          </w:tcPr>
          <w:p w14:paraId="629F037B" w14:textId="39929B3E" w:rsidR="003368F8" w:rsidRPr="003368F8" w:rsidRDefault="004B7954"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0,861</w:t>
            </w:r>
          </w:p>
        </w:tc>
      </w:tr>
      <w:tr w:rsidR="003368F8" w:rsidRPr="003368F8" w14:paraId="73777C45" w14:textId="09556047" w:rsidTr="000B4B7F">
        <w:tc>
          <w:tcPr>
            <w:tcW w:w="1696" w:type="dxa"/>
          </w:tcPr>
          <w:p w14:paraId="0E0211F5" w14:textId="1D1AC9E1"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средняя</w:t>
            </w:r>
          </w:p>
        </w:tc>
        <w:tc>
          <w:tcPr>
            <w:tcW w:w="709" w:type="dxa"/>
            <w:vAlign w:val="bottom"/>
          </w:tcPr>
          <w:p w14:paraId="0077AD4A"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5</w:t>
            </w:r>
          </w:p>
        </w:tc>
        <w:tc>
          <w:tcPr>
            <w:tcW w:w="709" w:type="dxa"/>
            <w:vAlign w:val="bottom"/>
          </w:tcPr>
          <w:p w14:paraId="0A3F95BA" w14:textId="320B4359"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12,5</w:t>
            </w:r>
          </w:p>
        </w:tc>
        <w:tc>
          <w:tcPr>
            <w:tcW w:w="1417" w:type="dxa"/>
            <w:vAlign w:val="bottom"/>
          </w:tcPr>
          <w:p w14:paraId="445FA9A2" w14:textId="269709DC"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2,25–22,</w:t>
            </w:r>
            <w:r w:rsidRPr="003368F8">
              <w:rPr>
                <w:rFonts w:ascii="Times New Roman" w:hAnsi="Times New Roman" w:cs="Times New Roman"/>
                <w:color w:val="000000"/>
                <w:sz w:val="24"/>
                <w:szCs w:val="24"/>
                <w:lang w:val="en-US"/>
              </w:rPr>
              <w:t>8</w:t>
            </w:r>
          </w:p>
        </w:tc>
        <w:tc>
          <w:tcPr>
            <w:tcW w:w="709" w:type="dxa"/>
            <w:vAlign w:val="bottom"/>
          </w:tcPr>
          <w:p w14:paraId="24FB7F83"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5</w:t>
            </w:r>
          </w:p>
        </w:tc>
        <w:tc>
          <w:tcPr>
            <w:tcW w:w="851" w:type="dxa"/>
            <w:vAlign w:val="bottom"/>
          </w:tcPr>
          <w:p w14:paraId="5F5783AE" w14:textId="73A12D82"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13,5</w:t>
            </w:r>
          </w:p>
        </w:tc>
        <w:tc>
          <w:tcPr>
            <w:tcW w:w="1417" w:type="dxa"/>
            <w:vAlign w:val="bottom"/>
          </w:tcPr>
          <w:p w14:paraId="3B6381CD" w14:textId="576D84DD"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w:t>
            </w:r>
            <w:r w:rsidRPr="003368F8">
              <w:rPr>
                <w:rFonts w:ascii="Times New Roman" w:hAnsi="Times New Roman" w:cs="Times New Roman"/>
                <w:color w:val="000000"/>
                <w:sz w:val="24"/>
                <w:szCs w:val="24"/>
                <w:lang w:val="en-US"/>
              </w:rPr>
              <w:t>5</w:t>
            </w:r>
            <w:r w:rsidR="000B4B7F">
              <w:rPr>
                <w:rFonts w:ascii="Times New Roman" w:hAnsi="Times New Roman" w:cs="Times New Roman"/>
                <w:color w:val="000000"/>
                <w:sz w:val="24"/>
                <w:szCs w:val="24"/>
              </w:rPr>
              <w:t>–24,5</w:t>
            </w:r>
          </w:p>
        </w:tc>
        <w:tc>
          <w:tcPr>
            <w:tcW w:w="851" w:type="dxa"/>
          </w:tcPr>
          <w:p w14:paraId="5EC3AA3F" w14:textId="4A5E01DA" w:rsidR="003368F8" w:rsidRPr="003368F8" w:rsidRDefault="007266A0"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0,005</w:t>
            </w:r>
          </w:p>
        </w:tc>
        <w:tc>
          <w:tcPr>
            <w:tcW w:w="1134" w:type="dxa"/>
          </w:tcPr>
          <w:p w14:paraId="2B5B280F" w14:textId="785BCDE6" w:rsidR="003368F8" w:rsidRPr="003368F8" w:rsidRDefault="007266A0"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0,942</w:t>
            </w:r>
          </w:p>
        </w:tc>
      </w:tr>
      <w:tr w:rsidR="003368F8" w:rsidRPr="003368F8" w14:paraId="26BF50EB" w14:textId="631C9DFD" w:rsidTr="000B4B7F">
        <w:tc>
          <w:tcPr>
            <w:tcW w:w="1696" w:type="dxa"/>
          </w:tcPr>
          <w:p w14:paraId="49E76B5C" w14:textId="77777777" w:rsidR="003368F8" w:rsidRPr="003368F8" w:rsidRDefault="003368F8" w:rsidP="00E913AF">
            <w:pPr>
              <w:spacing w:after="0" w:line="240" w:lineRule="auto"/>
              <w:rPr>
                <w:rFonts w:ascii="Times New Roman" w:hAnsi="Times New Roman" w:cs="Times New Roman"/>
                <w:bCs/>
                <w:color w:val="000000"/>
                <w:spacing w:val="-2"/>
                <w:sz w:val="24"/>
                <w:szCs w:val="24"/>
              </w:rPr>
            </w:pPr>
            <w:r w:rsidRPr="003368F8">
              <w:rPr>
                <w:rFonts w:ascii="Times New Roman" w:hAnsi="Times New Roman" w:cs="Times New Roman"/>
                <w:bCs/>
                <w:color w:val="000000"/>
                <w:spacing w:val="-2"/>
                <w:sz w:val="24"/>
                <w:szCs w:val="24"/>
              </w:rPr>
              <w:t>Астигматизм</w:t>
            </w:r>
          </w:p>
        </w:tc>
        <w:tc>
          <w:tcPr>
            <w:tcW w:w="709" w:type="dxa"/>
            <w:vAlign w:val="bottom"/>
          </w:tcPr>
          <w:p w14:paraId="4E0E91D8"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33</w:t>
            </w:r>
          </w:p>
        </w:tc>
        <w:tc>
          <w:tcPr>
            <w:tcW w:w="709" w:type="dxa"/>
            <w:vAlign w:val="bottom"/>
          </w:tcPr>
          <w:p w14:paraId="1FFDFB1D" w14:textId="6E41FD73"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2,8</w:t>
            </w:r>
          </w:p>
        </w:tc>
        <w:tc>
          <w:tcPr>
            <w:tcW w:w="1417" w:type="dxa"/>
            <w:vAlign w:val="bottom"/>
          </w:tcPr>
          <w:p w14:paraId="6D9753BC" w14:textId="0B61F413"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1,8–3,</w:t>
            </w:r>
            <w:r w:rsidRPr="003368F8">
              <w:rPr>
                <w:rFonts w:ascii="Times New Roman" w:hAnsi="Times New Roman" w:cs="Times New Roman"/>
                <w:bCs/>
                <w:color w:val="000000"/>
                <w:sz w:val="24"/>
                <w:szCs w:val="24"/>
                <w:lang w:val="en-US"/>
              </w:rPr>
              <w:t>8</w:t>
            </w:r>
          </w:p>
        </w:tc>
        <w:tc>
          <w:tcPr>
            <w:tcW w:w="709" w:type="dxa"/>
            <w:vAlign w:val="bottom"/>
          </w:tcPr>
          <w:p w14:paraId="61744915"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31</w:t>
            </w:r>
          </w:p>
        </w:tc>
        <w:tc>
          <w:tcPr>
            <w:tcW w:w="851" w:type="dxa"/>
            <w:vAlign w:val="bottom"/>
          </w:tcPr>
          <w:p w14:paraId="45249926" w14:textId="223F19BA"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bCs/>
                <w:color w:val="000000"/>
                <w:sz w:val="24"/>
                <w:szCs w:val="24"/>
              </w:rPr>
              <w:t>2,7</w:t>
            </w:r>
          </w:p>
        </w:tc>
        <w:tc>
          <w:tcPr>
            <w:tcW w:w="1417" w:type="dxa"/>
            <w:vAlign w:val="bottom"/>
          </w:tcPr>
          <w:p w14:paraId="28141D93" w14:textId="4D32A930"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bCs/>
                <w:color w:val="000000"/>
                <w:sz w:val="24"/>
                <w:szCs w:val="24"/>
              </w:rPr>
              <w:t>1,</w:t>
            </w:r>
            <w:r w:rsidRPr="003368F8">
              <w:rPr>
                <w:rFonts w:ascii="Times New Roman" w:hAnsi="Times New Roman" w:cs="Times New Roman"/>
                <w:bCs/>
                <w:color w:val="000000"/>
                <w:sz w:val="24"/>
                <w:szCs w:val="24"/>
                <w:lang w:val="en-US"/>
              </w:rPr>
              <w:t>8</w:t>
            </w:r>
            <w:r w:rsidR="000B4B7F">
              <w:rPr>
                <w:rFonts w:ascii="Times New Roman" w:hAnsi="Times New Roman" w:cs="Times New Roman"/>
                <w:bCs/>
                <w:color w:val="000000"/>
                <w:sz w:val="24"/>
                <w:szCs w:val="24"/>
              </w:rPr>
              <w:t>–3,6</w:t>
            </w:r>
          </w:p>
        </w:tc>
        <w:tc>
          <w:tcPr>
            <w:tcW w:w="851" w:type="dxa"/>
          </w:tcPr>
          <w:p w14:paraId="75F52F7F" w14:textId="6C46F152" w:rsidR="003368F8" w:rsidRPr="003368F8" w:rsidRDefault="001C1779"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0,004</w:t>
            </w:r>
          </w:p>
        </w:tc>
        <w:tc>
          <w:tcPr>
            <w:tcW w:w="1134" w:type="dxa"/>
          </w:tcPr>
          <w:p w14:paraId="5BE5EB3E" w14:textId="05EF3F8C" w:rsidR="003368F8" w:rsidRPr="003368F8" w:rsidRDefault="001C1779" w:rsidP="00E913AF">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0,948</w:t>
            </w:r>
          </w:p>
        </w:tc>
      </w:tr>
      <w:tr w:rsidR="003368F8" w:rsidRPr="003368F8" w14:paraId="22392C7E" w14:textId="1E7E9ECA" w:rsidTr="000B4B7F">
        <w:tc>
          <w:tcPr>
            <w:tcW w:w="1696" w:type="dxa"/>
          </w:tcPr>
          <w:p w14:paraId="149009E9" w14:textId="774C139F"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слабый </w:t>
            </w:r>
          </w:p>
        </w:tc>
        <w:tc>
          <w:tcPr>
            <w:tcW w:w="709" w:type="dxa"/>
            <w:vAlign w:val="bottom"/>
          </w:tcPr>
          <w:p w14:paraId="74D8EE82"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20</w:t>
            </w:r>
          </w:p>
        </w:tc>
        <w:tc>
          <w:tcPr>
            <w:tcW w:w="709" w:type="dxa"/>
            <w:vAlign w:val="bottom"/>
          </w:tcPr>
          <w:p w14:paraId="4142DA47" w14:textId="74A50A01"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60,6</w:t>
            </w:r>
          </w:p>
        </w:tc>
        <w:tc>
          <w:tcPr>
            <w:tcW w:w="1417" w:type="dxa"/>
            <w:vAlign w:val="bottom"/>
          </w:tcPr>
          <w:p w14:paraId="3CBCA2BF" w14:textId="47DD2464"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43,9–77,</w:t>
            </w:r>
            <w:r w:rsidRPr="003368F8">
              <w:rPr>
                <w:rFonts w:ascii="Times New Roman" w:hAnsi="Times New Roman" w:cs="Times New Roman"/>
                <w:color w:val="000000"/>
                <w:sz w:val="24"/>
                <w:szCs w:val="24"/>
                <w:lang w:val="en-US"/>
              </w:rPr>
              <w:t>3</w:t>
            </w:r>
          </w:p>
        </w:tc>
        <w:tc>
          <w:tcPr>
            <w:tcW w:w="709" w:type="dxa"/>
            <w:vAlign w:val="bottom"/>
          </w:tcPr>
          <w:p w14:paraId="2BBC41C5"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27</w:t>
            </w:r>
          </w:p>
        </w:tc>
        <w:tc>
          <w:tcPr>
            <w:tcW w:w="851" w:type="dxa"/>
            <w:vAlign w:val="bottom"/>
          </w:tcPr>
          <w:p w14:paraId="7033E7DF" w14:textId="69CAC7E3"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87,1</w:t>
            </w:r>
          </w:p>
        </w:tc>
        <w:tc>
          <w:tcPr>
            <w:tcW w:w="1417" w:type="dxa"/>
            <w:vAlign w:val="bottom"/>
          </w:tcPr>
          <w:p w14:paraId="125356E4" w14:textId="2B917154"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75,3–98,9</w:t>
            </w:r>
          </w:p>
        </w:tc>
        <w:tc>
          <w:tcPr>
            <w:tcW w:w="851" w:type="dxa"/>
          </w:tcPr>
          <w:p w14:paraId="64FFD9F1" w14:textId="698E638F" w:rsidR="003368F8" w:rsidRPr="003368F8" w:rsidRDefault="006633B4"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1,349</w:t>
            </w:r>
          </w:p>
        </w:tc>
        <w:tc>
          <w:tcPr>
            <w:tcW w:w="1134" w:type="dxa"/>
          </w:tcPr>
          <w:p w14:paraId="7A9E691F" w14:textId="53A92C37" w:rsidR="003368F8" w:rsidRPr="003368F8" w:rsidRDefault="006633B4"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0,245</w:t>
            </w:r>
          </w:p>
        </w:tc>
      </w:tr>
      <w:tr w:rsidR="003368F8" w:rsidRPr="003368F8" w14:paraId="7B5745CF" w14:textId="2A33BDE1" w:rsidTr="000B4B7F">
        <w:tc>
          <w:tcPr>
            <w:tcW w:w="1696" w:type="dxa"/>
          </w:tcPr>
          <w:p w14:paraId="066C9214" w14:textId="70A387AE"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  высокий</w:t>
            </w:r>
          </w:p>
        </w:tc>
        <w:tc>
          <w:tcPr>
            <w:tcW w:w="709" w:type="dxa"/>
            <w:vAlign w:val="bottom"/>
          </w:tcPr>
          <w:p w14:paraId="0E2CB481"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13</w:t>
            </w:r>
          </w:p>
        </w:tc>
        <w:tc>
          <w:tcPr>
            <w:tcW w:w="709" w:type="dxa"/>
            <w:vAlign w:val="bottom"/>
          </w:tcPr>
          <w:p w14:paraId="641564EB" w14:textId="430EDC41"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39,4</w:t>
            </w:r>
          </w:p>
        </w:tc>
        <w:tc>
          <w:tcPr>
            <w:tcW w:w="1417" w:type="dxa"/>
            <w:vAlign w:val="bottom"/>
          </w:tcPr>
          <w:p w14:paraId="23CD8415" w14:textId="09C9DF9B"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22,7–56,</w:t>
            </w:r>
            <w:r w:rsidRPr="003368F8">
              <w:rPr>
                <w:rFonts w:ascii="Times New Roman" w:hAnsi="Times New Roman" w:cs="Times New Roman"/>
                <w:color w:val="000000"/>
                <w:sz w:val="24"/>
                <w:szCs w:val="24"/>
                <w:lang w:val="en-US"/>
              </w:rPr>
              <w:t>1</w:t>
            </w:r>
          </w:p>
        </w:tc>
        <w:tc>
          <w:tcPr>
            <w:tcW w:w="709" w:type="dxa"/>
            <w:vAlign w:val="bottom"/>
          </w:tcPr>
          <w:p w14:paraId="1E50E502"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4</w:t>
            </w:r>
          </w:p>
        </w:tc>
        <w:tc>
          <w:tcPr>
            <w:tcW w:w="851" w:type="dxa"/>
            <w:vAlign w:val="bottom"/>
          </w:tcPr>
          <w:p w14:paraId="206E4D3A" w14:textId="33DD25D4"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12,9</w:t>
            </w:r>
          </w:p>
        </w:tc>
        <w:tc>
          <w:tcPr>
            <w:tcW w:w="1417" w:type="dxa"/>
            <w:vAlign w:val="bottom"/>
          </w:tcPr>
          <w:p w14:paraId="42957932" w14:textId="1ABCEA1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1,1–24,</w:t>
            </w:r>
            <w:r w:rsidR="000B4B7F">
              <w:rPr>
                <w:rFonts w:ascii="Times New Roman" w:hAnsi="Times New Roman" w:cs="Times New Roman"/>
                <w:color w:val="000000"/>
                <w:sz w:val="24"/>
                <w:szCs w:val="24"/>
              </w:rPr>
              <w:t>7</w:t>
            </w:r>
          </w:p>
        </w:tc>
        <w:tc>
          <w:tcPr>
            <w:tcW w:w="851" w:type="dxa"/>
          </w:tcPr>
          <w:p w14:paraId="5BADDB92" w14:textId="3C08B5E3" w:rsidR="003368F8" w:rsidRPr="003368F8" w:rsidRDefault="009E72D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4,317</w:t>
            </w:r>
          </w:p>
        </w:tc>
        <w:tc>
          <w:tcPr>
            <w:tcW w:w="1134" w:type="dxa"/>
          </w:tcPr>
          <w:p w14:paraId="1E081EB5" w14:textId="295E5EB5" w:rsidR="003368F8" w:rsidRPr="003368F8" w:rsidRDefault="009E72D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0,066</w:t>
            </w:r>
          </w:p>
        </w:tc>
      </w:tr>
      <w:tr w:rsidR="003368F8" w:rsidRPr="003368F8" w14:paraId="60975DC5" w14:textId="388EC18C" w:rsidTr="000B4B7F">
        <w:tc>
          <w:tcPr>
            <w:tcW w:w="1696" w:type="dxa"/>
          </w:tcPr>
          <w:p w14:paraId="5E1DFD73" w14:textId="45B78722" w:rsidR="003368F8" w:rsidRPr="003368F8" w:rsidRDefault="003368F8" w:rsidP="00704F53">
            <w:pPr>
              <w:spacing w:after="0" w:line="240" w:lineRule="auto"/>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 xml:space="preserve">по </w:t>
            </w:r>
            <w:r w:rsidR="00704F53">
              <w:rPr>
                <w:rFonts w:ascii="Times New Roman" w:hAnsi="Times New Roman" w:cs="Times New Roman"/>
                <w:color w:val="000000"/>
                <w:spacing w:val="-2"/>
                <w:sz w:val="24"/>
                <w:szCs w:val="24"/>
              </w:rPr>
              <w:t>виду</w:t>
            </w:r>
            <w:r w:rsidRPr="003368F8">
              <w:rPr>
                <w:rFonts w:ascii="Times New Roman" w:hAnsi="Times New Roman" w:cs="Times New Roman"/>
                <w:color w:val="000000"/>
                <w:spacing w:val="-2"/>
                <w:sz w:val="24"/>
                <w:szCs w:val="24"/>
              </w:rPr>
              <w:t>:</w:t>
            </w:r>
          </w:p>
        </w:tc>
        <w:tc>
          <w:tcPr>
            <w:tcW w:w="709" w:type="dxa"/>
            <w:vAlign w:val="bottom"/>
          </w:tcPr>
          <w:p w14:paraId="3F910A4E"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 </w:t>
            </w:r>
          </w:p>
        </w:tc>
        <w:tc>
          <w:tcPr>
            <w:tcW w:w="709" w:type="dxa"/>
            <w:vAlign w:val="bottom"/>
          </w:tcPr>
          <w:p w14:paraId="3A4530E5"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1417" w:type="dxa"/>
            <w:vAlign w:val="bottom"/>
          </w:tcPr>
          <w:p w14:paraId="0B71A3E0"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709" w:type="dxa"/>
            <w:vAlign w:val="bottom"/>
          </w:tcPr>
          <w:p w14:paraId="21A88452"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851" w:type="dxa"/>
            <w:vAlign w:val="bottom"/>
          </w:tcPr>
          <w:p w14:paraId="58E8FD41"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1417" w:type="dxa"/>
            <w:vAlign w:val="bottom"/>
          </w:tcPr>
          <w:p w14:paraId="7D487AAE"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851" w:type="dxa"/>
          </w:tcPr>
          <w:p w14:paraId="5C07D258"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c>
          <w:tcPr>
            <w:tcW w:w="1134" w:type="dxa"/>
          </w:tcPr>
          <w:p w14:paraId="57A3EFC0" w14:textId="37CD5A23" w:rsidR="003368F8" w:rsidRPr="003368F8" w:rsidRDefault="003368F8" w:rsidP="00E913AF">
            <w:pPr>
              <w:spacing w:after="0" w:line="240" w:lineRule="auto"/>
              <w:jc w:val="center"/>
              <w:rPr>
                <w:rFonts w:ascii="Times New Roman" w:hAnsi="Times New Roman" w:cs="Times New Roman"/>
                <w:color w:val="000000"/>
                <w:spacing w:val="-2"/>
                <w:sz w:val="24"/>
                <w:szCs w:val="24"/>
              </w:rPr>
            </w:pPr>
          </w:p>
        </w:tc>
      </w:tr>
      <w:tr w:rsidR="003368F8" w:rsidRPr="003368F8" w14:paraId="18B919A3" w14:textId="47317510" w:rsidTr="000B4B7F">
        <w:tc>
          <w:tcPr>
            <w:tcW w:w="1696" w:type="dxa"/>
          </w:tcPr>
          <w:p w14:paraId="29F53273" w14:textId="77777777"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миопический</w:t>
            </w:r>
          </w:p>
        </w:tc>
        <w:tc>
          <w:tcPr>
            <w:tcW w:w="709" w:type="dxa"/>
            <w:vAlign w:val="bottom"/>
          </w:tcPr>
          <w:p w14:paraId="3E9D1E20"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21</w:t>
            </w:r>
          </w:p>
        </w:tc>
        <w:tc>
          <w:tcPr>
            <w:tcW w:w="709" w:type="dxa"/>
            <w:vAlign w:val="bottom"/>
          </w:tcPr>
          <w:p w14:paraId="2C997BE1" w14:textId="114F39BF"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63,6</w:t>
            </w:r>
          </w:p>
        </w:tc>
        <w:tc>
          <w:tcPr>
            <w:tcW w:w="1417" w:type="dxa"/>
            <w:vAlign w:val="bottom"/>
          </w:tcPr>
          <w:p w14:paraId="173240CE" w14:textId="678BD50D"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47,</w:t>
            </w:r>
            <w:r w:rsidRPr="003368F8">
              <w:rPr>
                <w:rFonts w:ascii="Times New Roman" w:hAnsi="Times New Roman" w:cs="Times New Roman"/>
                <w:color w:val="000000"/>
                <w:sz w:val="24"/>
                <w:szCs w:val="24"/>
                <w:lang w:val="en-US"/>
              </w:rPr>
              <w:t>2</w:t>
            </w:r>
            <w:r w:rsidR="000B4B7F">
              <w:rPr>
                <w:rFonts w:ascii="Times New Roman" w:hAnsi="Times New Roman" w:cs="Times New Roman"/>
                <w:color w:val="000000"/>
                <w:sz w:val="24"/>
                <w:szCs w:val="24"/>
              </w:rPr>
              <w:t>–80,0</w:t>
            </w:r>
          </w:p>
        </w:tc>
        <w:tc>
          <w:tcPr>
            <w:tcW w:w="709" w:type="dxa"/>
            <w:vAlign w:val="bottom"/>
          </w:tcPr>
          <w:p w14:paraId="7DECDF0C"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14</w:t>
            </w:r>
          </w:p>
        </w:tc>
        <w:tc>
          <w:tcPr>
            <w:tcW w:w="851" w:type="dxa"/>
            <w:vAlign w:val="bottom"/>
          </w:tcPr>
          <w:p w14:paraId="0335C2C1" w14:textId="30E9E052"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45,2</w:t>
            </w:r>
          </w:p>
        </w:tc>
        <w:tc>
          <w:tcPr>
            <w:tcW w:w="1417" w:type="dxa"/>
            <w:vAlign w:val="bottom"/>
          </w:tcPr>
          <w:p w14:paraId="407D0F19" w14:textId="5C6D47D3" w:rsidR="003368F8" w:rsidRPr="003368F8" w:rsidRDefault="003368F8" w:rsidP="000B4B7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27,</w:t>
            </w:r>
            <w:r w:rsidRPr="003368F8">
              <w:rPr>
                <w:rFonts w:ascii="Times New Roman" w:hAnsi="Times New Roman" w:cs="Times New Roman"/>
                <w:color w:val="000000"/>
                <w:sz w:val="24"/>
                <w:szCs w:val="24"/>
                <w:lang w:val="en-US"/>
              </w:rPr>
              <w:t>7</w:t>
            </w:r>
            <w:r w:rsidRPr="003368F8">
              <w:rPr>
                <w:rFonts w:ascii="Times New Roman" w:hAnsi="Times New Roman" w:cs="Times New Roman"/>
                <w:color w:val="000000"/>
                <w:sz w:val="24"/>
                <w:szCs w:val="24"/>
              </w:rPr>
              <w:t>–62,7</w:t>
            </w:r>
          </w:p>
        </w:tc>
        <w:tc>
          <w:tcPr>
            <w:tcW w:w="851" w:type="dxa"/>
          </w:tcPr>
          <w:p w14:paraId="0B0A7100" w14:textId="58970422" w:rsidR="003368F8" w:rsidRPr="003368F8" w:rsidRDefault="009E72D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1,073</w:t>
            </w:r>
          </w:p>
        </w:tc>
        <w:tc>
          <w:tcPr>
            <w:tcW w:w="1134" w:type="dxa"/>
          </w:tcPr>
          <w:p w14:paraId="4F64B842" w14:textId="39759DE9" w:rsidR="003368F8" w:rsidRPr="003368F8" w:rsidRDefault="009E72DB"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0,300</w:t>
            </w:r>
          </w:p>
        </w:tc>
      </w:tr>
      <w:tr w:rsidR="003368F8" w:rsidRPr="003368F8" w14:paraId="43BB0864" w14:textId="65FDA6D3" w:rsidTr="000B4B7F">
        <w:tc>
          <w:tcPr>
            <w:tcW w:w="1696" w:type="dxa"/>
          </w:tcPr>
          <w:p w14:paraId="10194DBF" w14:textId="749782BB" w:rsidR="003368F8" w:rsidRPr="003368F8" w:rsidRDefault="003368F8" w:rsidP="00704F53">
            <w:pPr>
              <w:spacing w:after="0" w:line="240" w:lineRule="auto"/>
              <w:jc w:val="right"/>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г</w:t>
            </w:r>
            <w:r w:rsidRPr="003368F8">
              <w:rPr>
                <w:rFonts w:ascii="Times New Roman" w:hAnsi="Times New Roman" w:cs="Times New Roman"/>
                <w:color w:val="000000"/>
                <w:spacing w:val="-2"/>
                <w:sz w:val="24"/>
                <w:szCs w:val="24"/>
              </w:rPr>
              <w:t>иперметроп</w:t>
            </w:r>
            <w:r>
              <w:rPr>
                <w:rFonts w:ascii="Times New Roman" w:hAnsi="Times New Roman" w:cs="Times New Roman"/>
                <w:color w:val="000000"/>
                <w:spacing w:val="-2"/>
                <w:sz w:val="24"/>
                <w:szCs w:val="24"/>
              </w:rPr>
              <w:t>.</w:t>
            </w:r>
          </w:p>
        </w:tc>
        <w:tc>
          <w:tcPr>
            <w:tcW w:w="709" w:type="dxa"/>
            <w:vAlign w:val="bottom"/>
          </w:tcPr>
          <w:p w14:paraId="35C84F76"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4</w:t>
            </w:r>
          </w:p>
        </w:tc>
        <w:tc>
          <w:tcPr>
            <w:tcW w:w="709" w:type="dxa"/>
            <w:vAlign w:val="bottom"/>
          </w:tcPr>
          <w:p w14:paraId="609D28BF" w14:textId="358BC7A2"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12,1</w:t>
            </w:r>
          </w:p>
        </w:tc>
        <w:tc>
          <w:tcPr>
            <w:tcW w:w="1417" w:type="dxa"/>
            <w:vAlign w:val="bottom"/>
          </w:tcPr>
          <w:p w14:paraId="08312126" w14:textId="17AD29C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lang w:val="en-US"/>
              </w:rPr>
              <w:t>1</w:t>
            </w:r>
            <w:r w:rsidRPr="003368F8">
              <w:rPr>
                <w:rFonts w:ascii="Times New Roman" w:hAnsi="Times New Roman" w:cs="Times New Roman"/>
                <w:color w:val="000000"/>
                <w:sz w:val="24"/>
                <w:szCs w:val="24"/>
              </w:rPr>
              <w:t>,</w:t>
            </w:r>
            <w:r w:rsidRPr="003368F8">
              <w:rPr>
                <w:rFonts w:ascii="Times New Roman" w:hAnsi="Times New Roman" w:cs="Times New Roman"/>
                <w:color w:val="000000"/>
                <w:sz w:val="24"/>
                <w:szCs w:val="24"/>
                <w:lang w:val="en-US"/>
              </w:rPr>
              <w:t>0</w:t>
            </w:r>
            <w:r w:rsidR="000B4B7F">
              <w:rPr>
                <w:rFonts w:ascii="Times New Roman" w:hAnsi="Times New Roman" w:cs="Times New Roman"/>
                <w:color w:val="000000"/>
                <w:sz w:val="24"/>
                <w:szCs w:val="24"/>
              </w:rPr>
              <w:t>–23,2</w:t>
            </w:r>
          </w:p>
        </w:tc>
        <w:tc>
          <w:tcPr>
            <w:tcW w:w="709" w:type="dxa"/>
            <w:vAlign w:val="bottom"/>
          </w:tcPr>
          <w:p w14:paraId="5FD168A6"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w:t>
            </w:r>
          </w:p>
        </w:tc>
        <w:tc>
          <w:tcPr>
            <w:tcW w:w="851" w:type="dxa"/>
            <w:vAlign w:val="bottom"/>
          </w:tcPr>
          <w:p w14:paraId="7FA88AD5" w14:textId="5CD6330F"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25,8</w:t>
            </w:r>
          </w:p>
        </w:tc>
        <w:tc>
          <w:tcPr>
            <w:tcW w:w="1417" w:type="dxa"/>
            <w:vAlign w:val="bottom"/>
          </w:tcPr>
          <w:p w14:paraId="7FE3081C" w14:textId="4E4EB36D"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10,4–41,2</w:t>
            </w:r>
          </w:p>
        </w:tc>
        <w:tc>
          <w:tcPr>
            <w:tcW w:w="851" w:type="dxa"/>
          </w:tcPr>
          <w:p w14:paraId="7F474D00" w14:textId="06A571CF" w:rsidR="003368F8" w:rsidRPr="003368F8" w:rsidRDefault="009F0B28"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0,883</w:t>
            </w:r>
          </w:p>
        </w:tc>
        <w:tc>
          <w:tcPr>
            <w:tcW w:w="1134" w:type="dxa"/>
          </w:tcPr>
          <w:p w14:paraId="4EF5C73D" w14:textId="092BC3FB" w:rsidR="003368F8" w:rsidRPr="003368F8" w:rsidRDefault="009F0B28"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0,347</w:t>
            </w:r>
          </w:p>
        </w:tc>
      </w:tr>
      <w:tr w:rsidR="003368F8" w:rsidRPr="003368F8" w14:paraId="236287F3" w14:textId="45E96027" w:rsidTr="000B4B7F">
        <w:tc>
          <w:tcPr>
            <w:tcW w:w="1696" w:type="dxa"/>
          </w:tcPr>
          <w:p w14:paraId="793DC5A8" w14:textId="77777777" w:rsidR="003368F8" w:rsidRPr="003368F8" w:rsidRDefault="003368F8" w:rsidP="00704F53">
            <w:pPr>
              <w:spacing w:after="0" w:line="240" w:lineRule="auto"/>
              <w:jc w:val="right"/>
              <w:rPr>
                <w:rFonts w:ascii="Times New Roman" w:hAnsi="Times New Roman" w:cs="Times New Roman"/>
                <w:color w:val="000000"/>
                <w:spacing w:val="-2"/>
                <w:sz w:val="24"/>
                <w:szCs w:val="24"/>
              </w:rPr>
            </w:pPr>
            <w:r w:rsidRPr="003368F8">
              <w:rPr>
                <w:rFonts w:ascii="Times New Roman" w:hAnsi="Times New Roman" w:cs="Times New Roman"/>
                <w:color w:val="000000"/>
                <w:spacing w:val="-2"/>
                <w:sz w:val="24"/>
                <w:szCs w:val="24"/>
              </w:rPr>
              <w:t>смешанный</w:t>
            </w:r>
          </w:p>
        </w:tc>
        <w:tc>
          <w:tcPr>
            <w:tcW w:w="709" w:type="dxa"/>
            <w:vAlign w:val="bottom"/>
          </w:tcPr>
          <w:p w14:paraId="51D4BC5C"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8</w:t>
            </w:r>
          </w:p>
        </w:tc>
        <w:tc>
          <w:tcPr>
            <w:tcW w:w="709" w:type="dxa"/>
            <w:vAlign w:val="bottom"/>
          </w:tcPr>
          <w:p w14:paraId="694AF8D9" w14:textId="2D45570C"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24,2</w:t>
            </w:r>
          </w:p>
        </w:tc>
        <w:tc>
          <w:tcPr>
            <w:tcW w:w="1417" w:type="dxa"/>
            <w:vAlign w:val="bottom"/>
          </w:tcPr>
          <w:p w14:paraId="7C399E74" w14:textId="50BCC06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9,</w:t>
            </w:r>
            <w:r w:rsidRPr="003368F8">
              <w:rPr>
                <w:rFonts w:ascii="Times New Roman" w:hAnsi="Times New Roman" w:cs="Times New Roman"/>
                <w:color w:val="000000"/>
                <w:sz w:val="24"/>
                <w:szCs w:val="24"/>
                <w:lang w:val="en-US"/>
              </w:rPr>
              <w:t>6</w:t>
            </w:r>
            <w:r w:rsidR="000B4B7F">
              <w:rPr>
                <w:rFonts w:ascii="Times New Roman" w:hAnsi="Times New Roman" w:cs="Times New Roman"/>
                <w:color w:val="000000"/>
                <w:sz w:val="24"/>
                <w:szCs w:val="24"/>
              </w:rPr>
              <w:t>–38,8</w:t>
            </w:r>
          </w:p>
        </w:tc>
        <w:tc>
          <w:tcPr>
            <w:tcW w:w="709" w:type="dxa"/>
            <w:vAlign w:val="bottom"/>
          </w:tcPr>
          <w:p w14:paraId="4980D17C" w14:textId="77777777"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9</w:t>
            </w:r>
          </w:p>
        </w:tc>
        <w:tc>
          <w:tcPr>
            <w:tcW w:w="851" w:type="dxa"/>
            <w:vAlign w:val="bottom"/>
          </w:tcPr>
          <w:p w14:paraId="6DF159EF" w14:textId="46AE140C" w:rsidR="003368F8" w:rsidRPr="003368F8" w:rsidRDefault="000B4B7F" w:rsidP="00E913AF">
            <w:pPr>
              <w:spacing w:after="0" w:line="240" w:lineRule="auto"/>
              <w:jc w:val="center"/>
              <w:rPr>
                <w:rFonts w:ascii="Times New Roman" w:hAnsi="Times New Roman" w:cs="Times New Roman"/>
                <w:color w:val="000000"/>
                <w:spacing w:val="-2"/>
                <w:sz w:val="24"/>
                <w:szCs w:val="24"/>
              </w:rPr>
            </w:pPr>
            <w:r>
              <w:rPr>
                <w:rFonts w:ascii="Times New Roman" w:hAnsi="Times New Roman" w:cs="Times New Roman"/>
                <w:color w:val="000000"/>
                <w:sz w:val="24"/>
                <w:szCs w:val="24"/>
              </w:rPr>
              <w:t>29,0</w:t>
            </w:r>
          </w:p>
        </w:tc>
        <w:tc>
          <w:tcPr>
            <w:tcW w:w="1417" w:type="dxa"/>
            <w:vAlign w:val="bottom"/>
          </w:tcPr>
          <w:p w14:paraId="5F14287F" w14:textId="3C463158" w:rsidR="003368F8" w:rsidRPr="003368F8" w:rsidRDefault="003368F8" w:rsidP="00E913AF">
            <w:pPr>
              <w:spacing w:after="0" w:line="240" w:lineRule="auto"/>
              <w:jc w:val="center"/>
              <w:rPr>
                <w:rFonts w:ascii="Times New Roman" w:hAnsi="Times New Roman" w:cs="Times New Roman"/>
                <w:color w:val="000000"/>
                <w:spacing w:val="-2"/>
                <w:sz w:val="24"/>
                <w:szCs w:val="24"/>
              </w:rPr>
            </w:pPr>
            <w:r w:rsidRPr="003368F8">
              <w:rPr>
                <w:rFonts w:ascii="Times New Roman" w:hAnsi="Times New Roman" w:cs="Times New Roman"/>
                <w:color w:val="000000"/>
                <w:sz w:val="24"/>
                <w:szCs w:val="24"/>
              </w:rPr>
              <w:t>13,0–4</w:t>
            </w:r>
            <w:r w:rsidRPr="003368F8">
              <w:rPr>
                <w:rFonts w:ascii="Times New Roman" w:hAnsi="Times New Roman" w:cs="Times New Roman"/>
                <w:color w:val="000000"/>
                <w:sz w:val="24"/>
                <w:szCs w:val="24"/>
                <w:lang w:val="en-US"/>
              </w:rPr>
              <w:t>5</w:t>
            </w:r>
            <w:r w:rsidRPr="003368F8">
              <w:rPr>
                <w:rFonts w:ascii="Times New Roman" w:hAnsi="Times New Roman" w:cs="Times New Roman"/>
                <w:color w:val="000000"/>
                <w:sz w:val="24"/>
                <w:szCs w:val="24"/>
              </w:rPr>
              <w:t>,</w:t>
            </w:r>
            <w:r w:rsidRPr="003368F8">
              <w:rPr>
                <w:rFonts w:ascii="Times New Roman" w:hAnsi="Times New Roman" w:cs="Times New Roman"/>
                <w:color w:val="000000"/>
                <w:sz w:val="24"/>
                <w:szCs w:val="24"/>
                <w:lang w:val="en-US"/>
              </w:rPr>
              <w:t>0</w:t>
            </w:r>
          </w:p>
        </w:tc>
        <w:tc>
          <w:tcPr>
            <w:tcW w:w="851" w:type="dxa"/>
          </w:tcPr>
          <w:p w14:paraId="615D4053" w14:textId="67A0F020" w:rsidR="003368F8" w:rsidRPr="003368F8" w:rsidRDefault="00897F37"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0,113</w:t>
            </w:r>
          </w:p>
        </w:tc>
        <w:tc>
          <w:tcPr>
            <w:tcW w:w="1134" w:type="dxa"/>
          </w:tcPr>
          <w:p w14:paraId="251A8EB6" w14:textId="5E3C2E78" w:rsidR="003368F8" w:rsidRPr="003368F8" w:rsidRDefault="00897F37" w:rsidP="00E913A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0,737</w:t>
            </w:r>
          </w:p>
        </w:tc>
      </w:tr>
      <w:tr w:rsidR="00D64A1F" w:rsidRPr="003368F8" w14:paraId="15EA78F5" w14:textId="06E1AE18" w:rsidTr="000B4B7F">
        <w:tc>
          <w:tcPr>
            <w:tcW w:w="9493" w:type="dxa"/>
            <w:gridSpan w:val="9"/>
          </w:tcPr>
          <w:p w14:paraId="4F1CA54F" w14:textId="77777777" w:rsidR="00D64A1F" w:rsidRDefault="00D64A1F" w:rsidP="00033F82">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61642660" w14:textId="5A210B63" w:rsidR="005165CC" w:rsidRPr="005165CC" w:rsidRDefault="00D64A1F" w:rsidP="00033F82">
            <w:pPr>
              <w:spacing w:after="0" w:line="240" w:lineRule="auto"/>
              <w:rPr>
                <w:rFonts w:ascii="Times New Roman" w:hAnsi="Times New Roman" w:cs="Times New Roman"/>
                <w:bCs/>
                <w:sz w:val="28"/>
                <w:szCs w:val="28"/>
              </w:rPr>
            </w:pPr>
            <w:r w:rsidRPr="00CA167A">
              <w:rPr>
                <w:rFonts w:ascii="Times New Roman" w:hAnsi="Times New Roman" w:cs="Times New Roman"/>
                <w:bCs/>
                <w:sz w:val="28"/>
                <w:szCs w:val="28"/>
                <w:vertAlign w:val="superscript"/>
              </w:rPr>
              <w:t>1</w:t>
            </w:r>
            <w:r w:rsidRPr="00CA167A">
              <w:rPr>
                <w:rFonts w:ascii="Times New Roman" w:hAnsi="Times New Roman" w:cs="Times New Roman"/>
                <w:bCs/>
                <w:sz w:val="28"/>
                <w:szCs w:val="28"/>
                <w:lang w:val="en-US"/>
              </w:rPr>
              <w:t>p</w:t>
            </w:r>
            <w:r w:rsidRPr="00CA167A">
              <w:rPr>
                <w:rFonts w:ascii="Times New Roman" w:hAnsi="Times New Roman" w:cs="Times New Roman"/>
                <w:bCs/>
                <w:sz w:val="28"/>
                <w:szCs w:val="28"/>
              </w:rPr>
              <w:t>-</w:t>
            </w:r>
            <w:r w:rsidRPr="00CA167A">
              <w:rPr>
                <w:rFonts w:ascii="Times New Roman" w:hAnsi="Times New Roman" w:cs="Times New Roman"/>
                <w:bCs/>
                <w:sz w:val="28"/>
                <w:szCs w:val="28"/>
                <w:lang w:val="en-US"/>
              </w:rPr>
              <w:t>value</w:t>
            </w:r>
            <w:r w:rsidRPr="00CA167A">
              <w:rPr>
                <w:rFonts w:ascii="Times New Roman" w:hAnsi="Times New Roman" w:cs="Times New Roman"/>
                <w:bCs/>
                <w:sz w:val="28"/>
                <w:szCs w:val="28"/>
              </w:rPr>
              <w:t xml:space="preserve"> - корр</w:t>
            </w:r>
            <w:r>
              <w:rPr>
                <w:rFonts w:ascii="Times New Roman" w:hAnsi="Times New Roman" w:cs="Times New Roman"/>
                <w:bCs/>
                <w:sz w:val="28"/>
                <w:szCs w:val="28"/>
              </w:rPr>
              <w:t>еляция значима при р&lt;0,05</w:t>
            </w:r>
          </w:p>
          <w:p w14:paraId="7D6AE713" w14:textId="77777777" w:rsidR="00D64A1F" w:rsidRDefault="00D64A1F" w:rsidP="00033F82">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lastRenderedPageBreak/>
              <w:t>2</w:t>
            </w:r>
            <w:r w:rsidRPr="006647EC">
              <w:rPr>
                <w:rFonts w:ascii="Times New Roman" w:hAnsi="Times New Roman" w:cs="Times New Roman"/>
                <w:sz w:val="28"/>
                <w:szCs w:val="28"/>
                <w:lang w:val="en-US"/>
              </w:rPr>
              <w:t>n</w:t>
            </w:r>
            <w:r w:rsidRPr="006647EC">
              <w:rPr>
                <w:rFonts w:ascii="Times New Roman" w:hAnsi="Times New Roman" w:cs="Times New Roman"/>
                <w:sz w:val="28"/>
                <w:szCs w:val="28"/>
              </w:rPr>
              <w:t xml:space="preserve"> – количество</w:t>
            </w:r>
            <w:r>
              <w:rPr>
                <w:rFonts w:ascii="Times New Roman" w:hAnsi="Times New Roman" w:cs="Times New Roman"/>
                <w:sz w:val="28"/>
                <w:szCs w:val="28"/>
              </w:rPr>
              <w:t>;</w:t>
            </w:r>
          </w:p>
          <w:p w14:paraId="1AE07742" w14:textId="092FC1DC" w:rsidR="00D64A1F" w:rsidRPr="003368F8" w:rsidRDefault="00D64A1F" w:rsidP="00466AC0">
            <w:pPr>
              <w:spacing w:after="0" w:line="240" w:lineRule="auto"/>
              <w:rPr>
                <w:rFonts w:ascii="Times New Roman" w:hAnsi="Times New Roman" w:cs="Times New Roman"/>
                <w:sz w:val="24"/>
                <w:szCs w:val="24"/>
              </w:rPr>
            </w:pPr>
            <w:r>
              <w:rPr>
                <w:rFonts w:ascii="Times New Roman" w:hAnsi="Times New Roman" w:cs="Times New Roman"/>
                <w:sz w:val="28"/>
                <w:szCs w:val="28"/>
                <w:vertAlign w:val="superscript"/>
              </w:rPr>
              <w:t>3</w:t>
            </w:r>
            <w:r>
              <w:rPr>
                <w:rFonts w:ascii="Times New Roman" w:hAnsi="Times New Roman" w:cs="Times New Roman"/>
                <w:sz w:val="28"/>
                <w:szCs w:val="28"/>
              </w:rPr>
              <w:t>ДИ – доверительный интервал</w:t>
            </w:r>
          </w:p>
        </w:tc>
      </w:tr>
    </w:tbl>
    <w:p w14:paraId="06AB314F" w14:textId="77777777" w:rsidR="00B37CEC" w:rsidRDefault="00B37CEC" w:rsidP="005C37DF">
      <w:pPr>
        <w:spacing w:after="0" w:line="240" w:lineRule="auto"/>
        <w:ind w:firstLine="709"/>
        <w:jc w:val="both"/>
        <w:rPr>
          <w:rFonts w:ascii="Times New Roman" w:hAnsi="Times New Roman" w:cs="Times New Roman"/>
          <w:sz w:val="28"/>
          <w:szCs w:val="28"/>
        </w:rPr>
      </w:pPr>
    </w:p>
    <w:p w14:paraId="160639C4" w14:textId="6DD79756" w:rsidR="00374DC5"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Наиболее значимые различия в распространенности и структуре аномалий рефракции были отмечены при сравнении данных детей разного уровня обучения и возраста. Среди всех учеников 1 классов (769 детей) рефракционные нарушения выявлены у 171 ребенка (22,2%), что на треть меньше, чем в общей выборке (31,6%). Частота встречаемости миопии среди первоклассников была равна 17,5%, а гиперметропии 4,7%. Среди детей с близорукостью миопия слабой степени была зарегистрирована у 87,4%, средней степени – 11,1%, высокой степени – 1,5% (рис</w:t>
      </w:r>
      <w:r w:rsidR="00144377">
        <w:rPr>
          <w:rFonts w:ascii="Times New Roman" w:hAnsi="Times New Roman" w:cs="Times New Roman"/>
          <w:sz w:val="28"/>
          <w:szCs w:val="28"/>
        </w:rPr>
        <w:t>унок</w:t>
      </w:r>
      <w:r w:rsidRPr="004804AA">
        <w:rPr>
          <w:rFonts w:ascii="Times New Roman" w:hAnsi="Times New Roman" w:cs="Times New Roman"/>
          <w:sz w:val="28"/>
          <w:szCs w:val="28"/>
        </w:rPr>
        <w:t xml:space="preserve"> </w:t>
      </w:r>
      <w:r w:rsidR="007263F7">
        <w:rPr>
          <w:rFonts w:ascii="Times New Roman" w:hAnsi="Times New Roman" w:cs="Times New Roman"/>
          <w:sz w:val="28"/>
          <w:szCs w:val="28"/>
        </w:rPr>
        <w:t>9</w:t>
      </w:r>
      <w:r w:rsidRPr="004804AA">
        <w:rPr>
          <w:rFonts w:ascii="Times New Roman" w:hAnsi="Times New Roman" w:cs="Times New Roman"/>
          <w:sz w:val="28"/>
          <w:szCs w:val="28"/>
        </w:rPr>
        <w:t xml:space="preserve">). Из всех дальнозорких первоклассников гиперметропия слабой степени встречалась у 91,7%, средней – у 8,3%. </w:t>
      </w:r>
    </w:p>
    <w:p w14:paraId="3276BF59" w14:textId="77777777" w:rsidR="007B3ADB" w:rsidRDefault="007B3ADB" w:rsidP="005C37DF">
      <w:pPr>
        <w:spacing w:after="0" w:line="240" w:lineRule="auto"/>
        <w:ind w:firstLine="709"/>
        <w:jc w:val="both"/>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7B3ADB" w14:paraId="110E4D48" w14:textId="77777777" w:rsidTr="002836C4">
        <w:tc>
          <w:tcPr>
            <w:tcW w:w="9345" w:type="dxa"/>
            <w:gridSpan w:val="3"/>
          </w:tcPr>
          <w:p w14:paraId="57EBEDCA" w14:textId="23DEABD8" w:rsidR="007B3ADB" w:rsidRDefault="007B3ADB" w:rsidP="005C37D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734062" wp14:editId="5079AAF2">
                  <wp:extent cx="5752488" cy="249301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9913"/>
                          <a:stretch/>
                        </pic:blipFill>
                        <pic:spPr bwMode="auto">
                          <a:xfrm>
                            <a:off x="0" y="0"/>
                            <a:ext cx="5763150" cy="2497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3ADB" w14:paraId="07C14AAA" w14:textId="77777777" w:rsidTr="002836C4">
        <w:tc>
          <w:tcPr>
            <w:tcW w:w="3115" w:type="dxa"/>
          </w:tcPr>
          <w:p w14:paraId="6CB77009" w14:textId="669FDA5B" w:rsidR="007B3ADB" w:rsidRPr="007B3ADB" w:rsidRDefault="007B3ADB" w:rsidP="000615AE">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3115" w:type="dxa"/>
          </w:tcPr>
          <w:p w14:paraId="545201E7" w14:textId="1D88CA19" w:rsidR="007B3ADB" w:rsidRPr="007B3ADB" w:rsidRDefault="007B3ADB" w:rsidP="000615AE">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3115" w:type="dxa"/>
          </w:tcPr>
          <w:p w14:paraId="691FE5D7" w14:textId="23BDF049" w:rsidR="007B3ADB" w:rsidRPr="007B3ADB" w:rsidRDefault="007B3ADB" w:rsidP="000615AE">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7B3ADB" w14:paraId="6901FB46" w14:textId="77777777" w:rsidTr="002836C4">
        <w:tc>
          <w:tcPr>
            <w:tcW w:w="9345" w:type="dxa"/>
            <w:gridSpan w:val="3"/>
          </w:tcPr>
          <w:p w14:paraId="77439856" w14:textId="77777777" w:rsidR="000615AE" w:rsidRDefault="000615AE" w:rsidP="007B3ADB">
            <w:pPr>
              <w:spacing w:after="0" w:line="240" w:lineRule="auto"/>
              <w:jc w:val="center"/>
              <w:rPr>
                <w:rFonts w:ascii="Times New Roman" w:hAnsi="Times New Roman" w:cs="Times New Roman"/>
                <w:sz w:val="28"/>
                <w:szCs w:val="28"/>
              </w:rPr>
            </w:pPr>
          </w:p>
          <w:p w14:paraId="526ADF36" w14:textId="5A0D98B4" w:rsidR="007B3ADB" w:rsidRPr="007B3ADB" w:rsidRDefault="007B3ADB" w:rsidP="007B3A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 1-ые классы; </w:t>
            </w:r>
            <w:r>
              <w:rPr>
                <w:rFonts w:ascii="Times New Roman" w:hAnsi="Times New Roman" w:cs="Times New Roman"/>
                <w:sz w:val="28"/>
                <w:szCs w:val="28"/>
                <w:lang w:val="en-US"/>
              </w:rPr>
              <w:t>b</w:t>
            </w:r>
            <w:r>
              <w:rPr>
                <w:rFonts w:ascii="Times New Roman" w:hAnsi="Times New Roman" w:cs="Times New Roman"/>
                <w:sz w:val="28"/>
                <w:szCs w:val="28"/>
              </w:rPr>
              <w:t xml:space="preserve"> – 5-ые классы; с – 9-ые классы</w:t>
            </w:r>
          </w:p>
        </w:tc>
      </w:tr>
    </w:tbl>
    <w:p w14:paraId="5D53AEF4" w14:textId="77777777" w:rsidR="007B3ADB" w:rsidRPr="004804AA" w:rsidRDefault="007B3ADB" w:rsidP="005C37DF">
      <w:pPr>
        <w:spacing w:after="0" w:line="240" w:lineRule="auto"/>
        <w:ind w:firstLine="709"/>
        <w:jc w:val="both"/>
        <w:rPr>
          <w:rFonts w:ascii="Times New Roman" w:hAnsi="Times New Roman" w:cs="Times New Roman"/>
          <w:sz w:val="28"/>
          <w:szCs w:val="28"/>
        </w:rPr>
      </w:pPr>
    </w:p>
    <w:p w14:paraId="23E0ED66" w14:textId="65679671" w:rsidR="00374DC5" w:rsidRDefault="004C68BB" w:rsidP="005D5DA6">
      <w:pPr>
        <w:spacing w:after="0" w:line="240" w:lineRule="auto"/>
        <w:ind w:firstLine="709"/>
        <w:jc w:val="center"/>
        <w:rPr>
          <w:rFonts w:ascii="Times New Roman" w:hAnsi="Times New Roman" w:cs="Times New Roman"/>
          <w:sz w:val="28"/>
          <w:szCs w:val="28"/>
        </w:rPr>
      </w:pPr>
      <w:r w:rsidRPr="004C68BB">
        <w:rPr>
          <w:rFonts w:ascii="Times New Roman" w:hAnsi="Times New Roman" w:cs="Times New Roman"/>
          <w:sz w:val="28"/>
          <w:szCs w:val="28"/>
        </w:rPr>
        <w:t xml:space="preserve">Рисунок </w:t>
      </w:r>
      <w:r w:rsidR="007263F7">
        <w:rPr>
          <w:rFonts w:ascii="Times New Roman" w:hAnsi="Times New Roman" w:cs="Times New Roman"/>
          <w:sz w:val="28"/>
          <w:szCs w:val="28"/>
        </w:rPr>
        <w:t>9</w:t>
      </w:r>
      <w:r>
        <w:rPr>
          <w:rFonts w:ascii="Times New Roman" w:hAnsi="Times New Roman" w:cs="Times New Roman"/>
          <w:sz w:val="28"/>
          <w:szCs w:val="28"/>
        </w:rPr>
        <w:t xml:space="preserve"> -</w:t>
      </w:r>
      <w:r w:rsidR="007B3ADB">
        <w:rPr>
          <w:rFonts w:ascii="Times New Roman" w:hAnsi="Times New Roman" w:cs="Times New Roman"/>
          <w:sz w:val="28"/>
          <w:szCs w:val="28"/>
        </w:rPr>
        <w:t xml:space="preserve"> Структура миопии среди учащихся разных уровней</w:t>
      </w:r>
      <w:r w:rsidRPr="004C68BB">
        <w:rPr>
          <w:rFonts w:ascii="Times New Roman" w:hAnsi="Times New Roman" w:cs="Times New Roman"/>
          <w:sz w:val="28"/>
          <w:szCs w:val="28"/>
        </w:rPr>
        <w:t xml:space="preserve"> обучения</w:t>
      </w:r>
      <w:r w:rsidR="007B3ADB">
        <w:rPr>
          <w:rFonts w:ascii="Times New Roman" w:hAnsi="Times New Roman" w:cs="Times New Roman"/>
          <w:sz w:val="28"/>
          <w:szCs w:val="28"/>
        </w:rPr>
        <w:t xml:space="preserve"> (классов)</w:t>
      </w:r>
    </w:p>
    <w:p w14:paraId="049210A0" w14:textId="77777777" w:rsidR="005D5DA6" w:rsidRDefault="005D5DA6" w:rsidP="005C37DF">
      <w:pPr>
        <w:spacing w:after="0" w:line="240" w:lineRule="auto"/>
        <w:ind w:firstLine="709"/>
        <w:jc w:val="both"/>
        <w:rPr>
          <w:rFonts w:ascii="Times New Roman" w:hAnsi="Times New Roman" w:cs="Times New Roman"/>
          <w:sz w:val="28"/>
          <w:szCs w:val="28"/>
        </w:rPr>
      </w:pPr>
    </w:p>
    <w:p w14:paraId="351800E5" w14:textId="4AF2A7E3" w:rsidR="00C726CE" w:rsidRDefault="007D0BE1" w:rsidP="00C726CE">
      <w:pPr>
        <w:spacing w:after="0" w:line="240" w:lineRule="auto"/>
        <w:ind w:firstLine="709"/>
        <w:jc w:val="both"/>
        <w:rPr>
          <w:rFonts w:ascii="Times New Roman" w:hAnsi="Times New Roman" w:cs="Times New Roman"/>
          <w:sz w:val="28"/>
          <w:szCs w:val="28"/>
        </w:rPr>
      </w:pPr>
      <w:r w:rsidRPr="007D0BE1">
        <w:rPr>
          <w:rFonts w:ascii="Times New Roman" w:hAnsi="Times New Roman" w:cs="Times New Roman"/>
          <w:sz w:val="28"/>
          <w:szCs w:val="28"/>
        </w:rPr>
        <w:t>Среди учащихся первых классов общеобразовательных школ нарушения рефракции встречались у 23,5% детей, в гимназических школах – у 20,8%</w:t>
      </w:r>
      <w:r w:rsidR="00DA0A6B">
        <w:rPr>
          <w:rFonts w:ascii="Times New Roman" w:hAnsi="Times New Roman" w:cs="Times New Roman"/>
          <w:sz w:val="28"/>
          <w:szCs w:val="28"/>
        </w:rPr>
        <w:t xml:space="preserve"> </w:t>
      </w:r>
      <w:r w:rsidR="00DA0A6B" w:rsidRPr="00DA0A6B">
        <w:rPr>
          <w:rFonts w:ascii="Times New Roman" w:hAnsi="Times New Roman" w:cs="Times New Roman"/>
          <w:sz w:val="28"/>
          <w:szCs w:val="28"/>
        </w:rPr>
        <w:t>(χ2=0,806; p=0,369)</w:t>
      </w:r>
      <w:r w:rsidRPr="007D0BE1">
        <w:rPr>
          <w:rFonts w:ascii="Times New Roman" w:hAnsi="Times New Roman" w:cs="Times New Roman"/>
          <w:sz w:val="28"/>
          <w:szCs w:val="28"/>
        </w:rPr>
        <w:t>. Миопия в обычных и гимназических школах у первоклассников была выявлена в 17,4% и 17,7% случаев соответственно</w:t>
      </w:r>
      <w:r w:rsidR="00DA0A6B" w:rsidRPr="00DA0A6B">
        <w:rPr>
          <w:rFonts w:ascii="Times New Roman" w:hAnsi="Times New Roman" w:cs="Times New Roman"/>
          <w:sz w:val="28"/>
          <w:szCs w:val="28"/>
        </w:rPr>
        <w:t xml:space="preserve"> </w:t>
      </w:r>
      <w:r w:rsidR="00DA0A6B" w:rsidRPr="0027264D">
        <w:rPr>
          <w:rFonts w:ascii="Times New Roman" w:hAnsi="Times New Roman" w:cs="Times New Roman"/>
          <w:color w:val="000000"/>
          <w:spacing w:val="-2"/>
          <w:sz w:val="28"/>
          <w:szCs w:val="28"/>
        </w:rPr>
        <w:t>(</w:t>
      </w:r>
      <w:r w:rsidR="00DA0A6B" w:rsidRPr="0027264D">
        <w:rPr>
          <w:rFonts w:ascii="Times New Roman" w:hAnsi="Times New Roman" w:cs="Times New Roman"/>
          <w:sz w:val="28"/>
          <w:szCs w:val="28"/>
        </w:rPr>
        <w:t>χ</w:t>
      </w:r>
      <w:r w:rsidR="00DA0A6B">
        <w:rPr>
          <w:rFonts w:ascii="Times New Roman" w:hAnsi="Times New Roman" w:cs="Times New Roman"/>
          <w:sz w:val="28"/>
          <w:szCs w:val="28"/>
          <w:vertAlign w:val="superscript"/>
        </w:rPr>
        <w:t>2</w:t>
      </w:r>
      <w:r w:rsidR="00DA0A6B" w:rsidRPr="0027264D">
        <w:rPr>
          <w:rFonts w:ascii="Times New Roman" w:hAnsi="Times New Roman" w:cs="Times New Roman"/>
          <w:color w:val="000000"/>
          <w:spacing w:val="-2"/>
          <w:sz w:val="28"/>
          <w:szCs w:val="28"/>
        </w:rPr>
        <w:t>=</w:t>
      </w:r>
      <w:r w:rsidR="00DA0A6B" w:rsidRPr="0027264D">
        <w:rPr>
          <w:rFonts w:ascii="Times New Roman" w:hAnsi="Times New Roman" w:cs="Times New Roman"/>
          <w:bCs/>
          <w:color w:val="000000"/>
          <w:sz w:val="28"/>
          <w:szCs w:val="28"/>
        </w:rPr>
        <w:t>0,0</w:t>
      </w:r>
      <w:r w:rsidR="00DA0A6B" w:rsidRPr="00DA0A6B">
        <w:rPr>
          <w:rFonts w:ascii="Times New Roman" w:hAnsi="Times New Roman" w:cs="Times New Roman"/>
          <w:bCs/>
          <w:color w:val="000000"/>
          <w:sz w:val="28"/>
          <w:szCs w:val="28"/>
        </w:rPr>
        <w:t>10</w:t>
      </w:r>
      <w:r w:rsidR="00DA0A6B">
        <w:rPr>
          <w:rFonts w:ascii="Times New Roman" w:hAnsi="Times New Roman" w:cs="Times New Roman"/>
          <w:color w:val="000000"/>
          <w:spacing w:val="-2"/>
          <w:sz w:val="28"/>
          <w:szCs w:val="28"/>
        </w:rPr>
        <w:t xml:space="preserve">; </w:t>
      </w:r>
      <w:r w:rsidR="00DA0A6B">
        <w:rPr>
          <w:rFonts w:ascii="Times New Roman" w:hAnsi="Times New Roman" w:cs="Times New Roman"/>
          <w:color w:val="000000"/>
          <w:spacing w:val="-2"/>
          <w:sz w:val="28"/>
          <w:szCs w:val="28"/>
          <w:lang w:val="en-US"/>
        </w:rPr>
        <w:t>p</w:t>
      </w:r>
      <w:r w:rsidR="00DA0A6B" w:rsidRPr="0027264D">
        <w:rPr>
          <w:rFonts w:ascii="Times New Roman" w:hAnsi="Times New Roman" w:cs="Times New Roman"/>
          <w:color w:val="000000"/>
          <w:spacing w:val="-2"/>
          <w:sz w:val="28"/>
          <w:szCs w:val="28"/>
        </w:rPr>
        <w:t>=0</w:t>
      </w:r>
      <w:r w:rsidR="00DA0A6B">
        <w:rPr>
          <w:rFonts w:ascii="Times New Roman" w:hAnsi="Times New Roman" w:cs="Times New Roman"/>
          <w:color w:val="000000"/>
          <w:spacing w:val="-2"/>
          <w:sz w:val="28"/>
          <w:szCs w:val="28"/>
        </w:rPr>
        <w:t>,</w:t>
      </w:r>
      <w:r w:rsidR="00DA0A6B" w:rsidRPr="00DA0A6B">
        <w:rPr>
          <w:rFonts w:ascii="Times New Roman" w:hAnsi="Times New Roman" w:cs="Times New Roman"/>
          <w:color w:val="000000"/>
          <w:spacing w:val="-2"/>
          <w:sz w:val="28"/>
          <w:szCs w:val="28"/>
        </w:rPr>
        <w:t>918</w:t>
      </w:r>
      <w:r w:rsidR="00DA0A6B" w:rsidRPr="0027264D">
        <w:rPr>
          <w:rFonts w:ascii="Times New Roman" w:hAnsi="Times New Roman" w:cs="Times New Roman"/>
          <w:color w:val="000000"/>
          <w:spacing w:val="-2"/>
          <w:sz w:val="28"/>
          <w:szCs w:val="28"/>
        </w:rPr>
        <w:t>)</w:t>
      </w:r>
      <w:r w:rsidRPr="007D0BE1">
        <w:rPr>
          <w:rFonts w:ascii="Times New Roman" w:hAnsi="Times New Roman" w:cs="Times New Roman"/>
          <w:sz w:val="28"/>
          <w:szCs w:val="28"/>
        </w:rPr>
        <w:t>. Аналогично на начальном уровне обучения нами не выявлено статистически значимых различий в уровне гиперметропии (6,1% и 3,1%</w:t>
      </w:r>
      <w:r w:rsidR="00DA0A6B">
        <w:rPr>
          <w:rFonts w:ascii="Times New Roman" w:hAnsi="Times New Roman" w:cs="Times New Roman"/>
          <w:sz w:val="28"/>
          <w:szCs w:val="28"/>
        </w:rPr>
        <w:t xml:space="preserve">, </w:t>
      </w:r>
      <w:r w:rsidR="00DA0A6B" w:rsidRPr="0027264D">
        <w:rPr>
          <w:rFonts w:ascii="Times New Roman" w:hAnsi="Times New Roman" w:cs="Times New Roman"/>
          <w:color w:val="000000"/>
          <w:spacing w:val="-2"/>
          <w:sz w:val="28"/>
          <w:szCs w:val="28"/>
        </w:rPr>
        <w:t>(</w:t>
      </w:r>
      <w:r w:rsidR="00DA0A6B" w:rsidRPr="0027264D">
        <w:rPr>
          <w:rFonts w:ascii="Times New Roman" w:hAnsi="Times New Roman" w:cs="Times New Roman"/>
          <w:sz w:val="28"/>
          <w:szCs w:val="28"/>
        </w:rPr>
        <w:t>χ</w:t>
      </w:r>
      <w:r w:rsidR="00DA0A6B">
        <w:rPr>
          <w:rFonts w:ascii="Times New Roman" w:hAnsi="Times New Roman" w:cs="Times New Roman"/>
          <w:sz w:val="28"/>
          <w:szCs w:val="28"/>
          <w:vertAlign w:val="superscript"/>
        </w:rPr>
        <w:t>2</w:t>
      </w:r>
      <w:r w:rsidR="00DA0A6B" w:rsidRPr="0027264D">
        <w:rPr>
          <w:rFonts w:ascii="Times New Roman" w:hAnsi="Times New Roman" w:cs="Times New Roman"/>
          <w:color w:val="000000"/>
          <w:spacing w:val="-2"/>
          <w:sz w:val="28"/>
          <w:szCs w:val="28"/>
        </w:rPr>
        <w:t>=</w:t>
      </w:r>
      <w:r w:rsidR="00DA0A6B">
        <w:rPr>
          <w:rFonts w:ascii="Times New Roman" w:hAnsi="Times New Roman" w:cs="Times New Roman"/>
          <w:color w:val="000000"/>
          <w:spacing w:val="-2"/>
          <w:sz w:val="28"/>
          <w:szCs w:val="28"/>
        </w:rPr>
        <w:t>3</w:t>
      </w:r>
      <w:r w:rsidR="00DA0A6B" w:rsidRPr="0027264D">
        <w:rPr>
          <w:rFonts w:ascii="Times New Roman" w:hAnsi="Times New Roman" w:cs="Times New Roman"/>
          <w:bCs/>
          <w:color w:val="000000"/>
          <w:sz w:val="28"/>
          <w:szCs w:val="28"/>
        </w:rPr>
        <w:t>,</w:t>
      </w:r>
      <w:r w:rsidR="00DA0A6B">
        <w:rPr>
          <w:rFonts w:ascii="Times New Roman" w:hAnsi="Times New Roman" w:cs="Times New Roman"/>
          <w:bCs/>
          <w:color w:val="000000"/>
          <w:sz w:val="28"/>
          <w:szCs w:val="28"/>
        </w:rPr>
        <w:t>765</w:t>
      </w:r>
      <w:r w:rsidR="00DA0A6B">
        <w:rPr>
          <w:rFonts w:ascii="Times New Roman" w:hAnsi="Times New Roman" w:cs="Times New Roman"/>
          <w:color w:val="000000"/>
          <w:spacing w:val="-2"/>
          <w:sz w:val="28"/>
          <w:szCs w:val="28"/>
        </w:rPr>
        <w:t xml:space="preserve">; </w:t>
      </w:r>
      <w:r w:rsidR="00DA0A6B">
        <w:rPr>
          <w:rFonts w:ascii="Times New Roman" w:hAnsi="Times New Roman" w:cs="Times New Roman"/>
          <w:color w:val="000000"/>
          <w:spacing w:val="-2"/>
          <w:sz w:val="28"/>
          <w:szCs w:val="28"/>
          <w:lang w:val="en-US"/>
        </w:rPr>
        <w:t>p</w:t>
      </w:r>
      <w:r w:rsidR="00DA0A6B" w:rsidRPr="0027264D">
        <w:rPr>
          <w:rFonts w:ascii="Times New Roman" w:hAnsi="Times New Roman" w:cs="Times New Roman"/>
          <w:color w:val="000000"/>
          <w:spacing w:val="-2"/>
          <w:sz w:val="28"/>
          <w:szCs w:val="28"/>
        </w:rPr>
        <w:t>=0</w:t>
      </w:r>
      <w:r w:rsidR="00DA0A6B">
        <w:rPr>
          <w:rFonts w:ascii="Times New Roman" w:hAnsi="Times New Roman" w:cs="Times New Roman"/>
          <w:color w:val="000000"/>
          <w:spacing w:val="-2"/>
          <w:sz w:val="28"/>
          <w:szCs w:val="28"/>
        </w:rPr>
        <w:t>,052</w:t>
      </w:r>
      <w:r w:rsidR="00DA0A6B" w:rsidRPr="0027264D">
        <w:rPr>
          <w:rFonts w:ascii="Times New Roman" w:hAnsi="Times New Roman" w:cs="Times New Roman"/>
          <w:color w:val="000000"/>
          <w:spacing w:val="-2"/>
          <w:sz w:val="28"/>
          <w:szCs w:val="28"/>
        </w:rPr>
        <w:t>)</w:t>
      </w:r>
      <w:r w:rsidRPr="007D0BE1">
        <w:rPr>
          <w:rFonts w:ascii="Times New Roman" w:hAnsi="Times New Roman" w:cs="Times New Roman"/>
          <w:sz w:val="28"/>
          <w:szCs w:val="28"/>
        </w:rPr>
        <w:t>) и астигматизма (2,4% и 2,0%</w:t>
      </w:r>
      <w:r w:rsidR="00DA0A6B">
        <w:rPr>
          <w:rFonts w:ascii="Times New Roman" w:hAnsi="Times New Roman" w:cs="Times New Roman"/>
          <w:sz w:val="28"/>
          <w:szCs w:val="28"/>
        </w:rPr>
        <w:t xml:space="preserve"> </w:t>
      </w:r>
      <w:r w:rsidR="00DA0A6B" w:rsidRPr="0027264D">
        <w:rPr>
          <w:rFonts w:ascii="Times New Roman" w:hAnsi="Times New Roman" w:cs="Times New Roman"/>
          <w:color w:val="000000"/>
          <w:spacing w:val="-2"/>
          <w:sz w:val="28"/>
          <w:szCs w:val="28"/>
        </w:rPr>
        <w:t>(</w:t>
      </w:r>
      <w:r w:rsidR="00DA0A6B" w:rsidRPr="0027264D">
        <w:rPr>
          <w:rFonts w:ascii="Times New Roman" w:hAnsi="Times New Roman" w:cs="Times New Roman"/>
          <w:sz w:val="28"/>
          <w:szCs w:val="28"/>
        </w:rPr>
        <w:t>χ</w:t>
      </w:r>
      <w:r w:rsidR="00DA0A6B">
        <w:rPr>
          <w:rFonts w:ascii="Times New Roman" w:hAnsi="Times New Roman" w:cs="Times New Roman"/>
          <w:sz w:val="28"/>
          <w:szCs w:val="28"/>
          <w:vertAlign w:val="superscript"/>
        </w:rPr>
        <w:t>2</w:t>
      </w:r>
      <w:r w:rsidR="00DA0A6B" w:rsidRPr="0027264D">
        <w:rPr>
          <w:rFonts w:ascii="Times New Roman" w:hAnsi="Times New Roman" w:cs="Times New Roman"/>
          <w:color w:val="000000"/>
          <w:spacing w:val="-2"/>
          <w:sz w:val="28"/>
          <w:szCs w:val="28"/>
        </w:rPr>
        <w:t>=</w:t>
      </w:r>
      <w:r w:rsidR="00DA0A6B" w:rsidRPr="0027264D">
        <w:rPr>
          <w:rFonts w:ascii="Times New Roman" w:hAnsi="Times New Roman" w:cs="Times New Roman"/>
          <w:bCs/>
          <w:color w:val="000000"/>
          <w:sz w:val="28"/>
          <w:szCs w:val="28"/>
        </w:rPr>
        <w:t>0,0</w:t>
      </w:r>
      <w:r w:rsidR="00DA0A6B">
        <w:rPr>
          <w:rFonts w:ascii="Times New Roman" w:hAnsi="Times New Roman" w:cs="Times New Roman"/>
          <w:bCs/>
          <w:color w:val="000000"/>
          <w:sz w:val="28"/>
          <w:szCs w:val="28"/>
        </w:rPr>
        <w:t>58</w:t>
      </w:r>
      <w:r w:rsidR="00DA0A6B">
        <w:rPr>
          <w:rFonts w:ascii="Times New Roman" w:hAnsi="Times New Roman" w:cs="Times New Roman"/>
          <w:color w:val="000000"/>
          <w:spacing w:val="-2"/>
          <w:sz w:val="28"/>
          <w:szCs w:val="28"/>
        </w:rPr>
        <w:t xml:space="preserve">; </w:t>
      </w:r>
      <w:r w:rsidR="00DA0A6B">
        <w:rPr>
          <w:rFonts w:ascii="Times New Roman" w:hAnsi="Times New Roman" w:cs="Times New Roman"/>
          <w:color w:val="000000"/>
          <w:spacing w:val="-2"/>
          <w:sz w:val="28"/>
          <w:szCs w:val="28"/>
          <w:lang w:val="en-US"/>
        </w:rPr>
        <w:t>p</w:t>
      </w:r>
      <w:r w:rsidR="00DA0A6B" w:rsidRPr="0027264D">
        <w:rPr>
          <w:rFonts w:ascii="Times New Roman" w:hAnsi="Times New Roman" w:cs="Times New Roman"/>
          <w:color w:val="000000"/>
          <w:spacing w:val="-2"/>
          <w:sz w:val="28"/>
          <w:szCs w:val="28"/>
        </w:rPr>
        <w:t>=0</w:t>
      </w:r>
      <w:r w:rsidR="00DA0A6B">
        <w:rPr>
          <w:rFonts w:ascii="Times New Roman" w:hAnsi="Times New Roman" w:cs="Times New Roman"/>
          <w:color w:val="000000"/>
          <w:spacing w:val="-2"/>
          <w:sz w:val="28"/>
          <w:szCs w:val="28"/>
        </w:rPr>
        <w:t>,809</w:t>
      </w:r>
      <w:r w:rsidR="00DA0A6B" w:rsidRPr="0027264D">
        <w:rPr>
          <w:rFonts w:ascii="Times New Roman" w:hAnsi="Times New Roman" w:cs="Times New Roman"/>
          <w:color w:val="000000"/>
          <w:spacing w:val="-2"/>
          <w:sz w:val="28"/>
          <w:szCs w:val="28"/>
        </w:rPr>
        <w:t>)</w:t>
      </w:r>
      <w:r w:rsidRPr="007D0BE1">
        <w:rPr>
          <w:rFonts w:ascii="Times New Roman" w:hAnsi="Times New Roman" w:cs="Times New Roman"/>
          <w:sz w:val="28"/>
          <w:szCs w:val="28"/>
        </w:rPr>
        <w:t xml:space="preserve">). </w:t>
      </w:r>
      <w:r w:rsidR="00A51142" w:rsidRPr="00A51142">
        <w:rPr>
          <w:rFonts w:ascii="Times New Roman" w:hAnsi="Times New Roman" w:cs="Times New Roman"/>
          <w:sz w:val="28"/>
          <w:szCs w:val="28"/>
        </w:rPr>
        <w:t>Таким образом, можно говорить об идентичности показателей рефракции среди первоклассников вне зависимости от уровня академической нагрузки</w:t>
      </w:r>
    </w:p>
    <w:p w14:paraId="57C2AFB9" w14:textId="77777777" w:rsidR="00C726CE" w:rsidRDefault="00C726CE">
      <w:pPr>
        <w:spacing w:after="160" w:line="259" w:lineRule="auto"/>
        <w:rPr>
          <w:rFonts w:ascii="Times New Roman" w:hAnsi="Times New Roman" w:cs="Times New Roman"/>
          <w:sz w:val="28"/>
          <w:szCs w:val="28"/>
        </w:rPr>
        <w:sectPr w:rsidR="00C726CE" w:rsidSect="00DE6F47">
          <w:footerReference w:type="default" r:id="rId20"/>
          <w:pgSz w:w="11906" w:h="16838"/>
          <w:pgMar w:top="1134" w:right="850" w:bottom="1134" w:left="1701" w:header="708" w:footer="708" w:gutter="0"/>
          <w:cols w:space="708"/>
          <w:titlePg/>
          <w:docGrid w:linePitch="360"/>
        </w:sectPr>
      </w:pPr>
      <w:r>
        <w:rPr>
          <w:rFonts w:ascii="Times New Roman" w:hAnsi="Times New Roman" w:cs="Times New Roman"/>
          <w:sz w:val="28"/>
          <w:szCs w:val="28"/>
        </w:rPr>
        <w:br w:type="page"/>
      </w:r>
    </w:p>
    <w:p w14:paraId="1316072D" w14:textId="2623A0C9" w:rsidR="00BE292E" w:rsidRPr="004804AA" w:rsidRDefault="00BE292E" w:rsidP="00BE292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lastRenderedPageBreak/>
        <w:t xml:space="preserve">Таблица </w:t>
      </w:r>
      <w:r w:rsidRPr="001437B6">
        <w:rPr>
          <w:rFonts w:ascii="Times New Roman" w:hAnsi="Times New Roman" w:cs="Times New Roman"/>
          <w:sz w:val="28"/>
          <w:szCs w:val="28"/>
        </w:rPr>
        <w:t>12</w:t>
      </w:r>
      <w:r>
        <w:rPr>
          <w:rFonts w:ascii="Times New Roman" w:hAnsi="Times New Roman" w:cs="Times New Roman"/>
          <w:sz w:val="28"/>
          <w:szCs w:val="28"/>
        </w:rPr>
        <w:t xml:space="preserve"> -</w:t>
      </w:r>
      <w:r w:rsidRPr="004804AA">
        <w:rPr>
          <w:rFonts w:ascii="Times New Roman" w:hAnsi="Times New Roman" w:cs="Times New Roman"/>
          <w:sz w:val="28"/>
          <w:szCs w:val="28"/>
        </w:rPr>
        <w:t xml:space="preserve"> Структура и распространенность </w:t>
      </w:r>
      <w:r>
        <w:rPr>
          <w:rFonts w:ascii="Times New Roman" w:hAnsi="Times New Roman" w:cs="Times New Roman"/>
          <w:sz w:val="28"/>
          <w:szCs w:val="28"/>
        </w:rPr>
        <w:t xml:space="preserve">всех видов </w:t>
      </w:r>
      <w:r w:rsidRPr="004804AA">
        <w:rPr>
          <w:rFonts w:ascii="Times New Roman" w:hAnsi="Times New Roman" w:cs="Times New Roman"/>
          <w:sz w:val="28"/>
          <w:szCs w:val="28"/>
        </w:rPr>
        <w:t xml:space="preserve">нарушений рефракции среди учащихся </w:t>
      </w:r>
      <w:r>
        <w:rPr>
          <w:rFonts w:ascii="Times New Roman" w:hAnsi="Times New Roman" w:cs="Times New Roman"/>
          <w:sz w:val="28"/>
          <w:szCs w:val="28"/>
        </w:rPr>
        <w:t xml:space="preserve">1, 5 и 9 классов </w:t>
      </w:r>
      <w:r w:rsidRPr="004804AA">
        <w:rPr>
          <w:rFonts w:ascii="Times New Roman" w:hAnsi="Times New Roman" w:cs="Times New Roman"/>
          <w:sz w:val="28"/>
          <w:szCs w:val="28"/>
        </w:rPr>
        <w:t xml:space="preserve">общеобразовательных </w:t>
      </w:r>
      <w:r w:rsidR="002E7378" w:rsidRPr="004804AA">
        <w:rPr>
          <w:rFonts w:ascii="Times New Roman" w:hAnsi="Times New Roman" w:cs="Times New Roman"/>
          <w:sz w:val="28"/>
          <w:szCs w:val="28"/>
        </w:rPr>
        <w:t xml:space="preserve">школ </w:t>
      </w:r>
      <w:r w:rsidRPr="004804AA">
        <w:rPr>
          <w:rFonts w:ascii="Times New Roman" w:hAnsi="Times New Roman" w:cs="Times New Roman"/>
          <w:sz w:val="28"/>
          <w:szCs w:val="28"/>
        </w:rPr>
        <w:t>(</w:t>
      </w:r>
      <w:r w:rsidR="00EC687D">
        <w:rPr>
          <w:rFonts w:ascii="Times New Roman" w:hAnsi="Times New Roman" w:cs="Times New Roman"/>
          <w:sz w:val="28"/>
          <w:szCs w:val="28"/>
          <w:lang w:val="en-US"/>
        </w:rPr>
        <w:t>N</w:t>
      </w:r>
      <w:r w:rsidRPr="004804AA">
        <w:rPr>
          <w:rFonts w:ascii="Times New Roman" w:hAnsi="Times New Roman" w:cs="Times New Roman"/>
          <w:sz w:val="28"/>
          <w:szCs w:val="28"/>
        </w:rPr>
        <w:t xml:space="preserve"> = 1231)</w:t>
      </w:r>
      <w:r>
        <w:rPr>
          <w:rFonts w:ascii="Times New Roman" w:hAnsi="Times New Roman" w:cs="Times New Roman"/>
          <w:sz w:val="28"/>
          <w:szCs w:val="28"/>
        </w:rPr>
        <w:t xml:space="preserve"> </w:t>
      </w:r>
    </w:p>
    <w:p w14:paraId="7636FCA4" w14:textId="77777777" w:rsidR="00C726CE" w:rsidRDefault="00C726CE" w:rsidP="00C726CE">
      <w:pPr>
        <w:spacing w:after="0" w:line="240" w:lineRule="auto"/>
        <w:ind w:firstLine="709"/>
        <w:jc w:val="both"/>
        <w:rPr>
          <w:rFonts w:ascii="Times New Roman" w:hAnsi="Times New Roman" w:cs="Times New Roman"/>
          <w:sz w:val="28"/>
          <w:szCs w:val="28"/>
        </w:rPr>
      </w:pPr>
    </w:p>
    <w:tbl>
      <w:tblPr>
        <w:tblW w:w="13745" w:type="dxa"/>
        <w:jc w:val="center"/>
        <w:tblLayout w:type="fixed"/>
        <w:tblLook w:val="04A0" w:firstRow="1" w:lastRow="0" w:firstColumn="1" w:lastColumn="0" w:noHBand="0" w:noVBand="1"/>
      </w:tblPr>
      <w:tblGrid>
        <w:gridCol w:w="1696"/>
        <w:gridCol w:w="851"/>
        <w:gridCol w:w="992"/>
        <w:gridCol w:w="1559"/>
        <w:gridCol w:w="709"/>
        <w:gridCol w:w="992"/>
        <w:gridCol w:w="1560"/>
        <w:gridCol w:w="850"/>
        <w:gridCol w:w="851"/>
        <w:gridCol w:w="1701"/>
        <w:gridCol w:w="992"/>
        <w:gridCol w:w="992"/>
      </w:tblGrid>
      <w:tr w:rsidR="007200F2" w:rsidRPr="00AF08B4" w14:paraId="15F5416E" w14:textId="3482B3A2" w:rsidTr="00AD7CDC">
        <w:trPr>
          <w:trHeight w:val="301"/>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5490C78E" w14:textId="69B1A84F" w:rsidR="007200F2" w:rsidRPr="00AF08B4" w:rsidRDefault="007200F2" w:rsidP="00AD7CDC">
            <w:pPr>
              <w:spacing w:after="0" w:line="240" w:lineRule="auto"/>
              <w:jc w:val="center"/>
              <w:rPr>
                <w:rFonts w:ascii="Times New Roman" w:hAnsi="Times New Roman" w:cs="Times New Roman"/>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D51A0F" w14:textId="64583910"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lang w:val="en-US"/>
              </w:rPr>
              <w:t>1</w:t>
            </w:r>
            <w:r w:rsidRPr="00AF08B4">
              <w:rPr>
                <w:rFonts w:ascii="Times New Roman" w:hAnsi="Times New Roman" w:cs="Times New Roman"/>
                <w:bCs/>
              </w:rPr>
              <w:t>-ые</w:t>
            </w:r>
            <w:r w:rsidRPr="00AF08B4">
              <w:rPr>
                <w:rFonts w:ascii="Times New Roman" w:hAnsi="Times New Roman" w:cs="Times New Roman"/>
                <w:bCs/>
                <w:lang w:val="en-US"/>
              </w:rPr>
              <w:t xml:space="preserve"> </w:t>
            </w:r>
            <w:r w:rsidRPr="00AF08B4">
              <w:rPr>
                <w:rFonts w:ascii="Times New Roman" w:hAnsi="Times New Roman" w:cs="Times New Roman"/>
                <w:bCs/>
              </w:rPr>
              <w:t xml:space="preserve">классы </w:t>
            </w:r>
            <w:r w:rsidRPr="00AF08B4">
              <w:rPr>
                <w:rFonts w:ascii="Times New Roman" w:hAnsi="Times New Roman" w:cs="Times New Roman"/>
              </w:rPr>
              <w:t>(</w:t>
            </w:r>
            <w:r w:rsidRPr="00AF08B4">
              <w:rPr>
                <w:rFonts w:ascii="Times New Roman" w:hAnsi="Times New Roman" w:cs="Times New Roman"/>
                <w:lang w:val="en-US"/>
              </w:rPr>
              <w:t>n</w:t>
            </w:r>
            <w:r w:rsidRPr="00AF08B4">
              <w:rPr>
                <w:rFonts w:ascii="Times New Roman" w:hAnsi="Times New Roman" w:cs="Times New Roman"/>
              </w:rPr>
              <w:t xml:space="preserve"> = 413)</w:t>
            </w: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175D27F6" w14:textId="27920A4F"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 xml:space="preserve">5-ые классы </w:t>
            </w:r>
            <w:r w:rsidRPr="00AF08B4">
              <w:rPr>
                <w:rFonts w:ascii="Times New Roman" w:hAnsi="Times New Roman" w:cs="Times New Roman"/>
              </w:rPr>
              <w:t>(</w:t>
            </w:r>
            <w:r w:rsidRPr="00AF08B4">
              <w:rPr>
                <w:rFonts w:ascii="Times New Roman" w:hAnsi="Times New Roman" w:cs="Times New Roman"/>
                <w:lang w:val="en-US"/>
              </w:rPr>
              <w:t>n</w:t>
            </w:r>
            <w:r w:rsidRPr="00AF08B4">
              <w:rPr>
                <w:rFonts w:ascii="Times New Roman" w:hAnsi="Times New Roman" w:cs="Times New Roman"/>
              </w:rPr>
              <w:t xml:space="preserve"> = 402)</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4ED930C" w14:textId="28A236F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9-ые классы</w:t>
            </w:r>
            <w:r w:rsidRPr="00AF08B4">
              <w:rPr>
                <w:rFonts w:ascii="Times New Roman" w:hAnsi="Times New Roman" w:cs="Times New Roman"/>
              </w:rPr>
              <w:t xml:space="preserve"> (</w:t>
            </w:r>
            <w:r w:rsidRPr="00AF08B4">
              <w:rPr>
                <w:rFonts w:ascii="Times New Roman" w:hAnsi="Times New Roman" w:cs="Times New Roman"/>
                <w:lang w:val="en-US"/>
              </w:rPr>
              <w:t>n</w:t>
            </w:r>
            <w:r w:rsidRPr="00AF08B4">
              <w:rPr>
                <w:rFonts w:ascii="Times New Roman" w:hAnsi="Times New Roman" w:cs="Times New Roman"/>
              </w:rPr>
              <w:t xml:space="preserve"> = 416)</w:t>
            </w:r>
          </w:p>
        </w:tc>
        <w:tc>
          <w:tcPr>
            <w:tcW w:w="992" w:type="dxa"/>
            <w:vMerge w:val="restart"/>
            <w:tcBorders>
              <w:top w:val="single" w:sz="4" w:space="0" w:color="auto"/>
              <w:left w:val="single" w:sz="4" w:space="0" w:color="auto"/>
              <w:right w:val="single" w:sz="4" w:space="0" w:color="auto"/>
            </w:tcBorders>
            <w:vAlign w:val="center"/>
          </w:tcPr>
          <w:p w14:paraId="367C65D4" w14:textId="0A60F4B1"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rPr>
              <w:t>χ</w:t>
            </w:r>
            <w:r w:rsidRPr="00AF08B4">
              <w:rPr>
                <w:rFonts w:ascii="Times New Roman" w:hAnsi="Times New Roman" w:cs="Times New Roman"/>
                <w:vertAlign w:val="superscript"/>
              </w:rPr>
              <w:t>2</w:t>
            </w:r>
          </w:p>
        </w:tc>
        <w:tc>
          <w:tcPr>
            <w:tcW w:w="992" w:type="dxa"/>
            <w:vMerge w:val="restart"/>
            <w:tcBorders>
              <w:top w:val="single" w:sz="4" w:space="0" w:color="auto"/>
              <w:left w:val="single" w:sz="4" w:space="0" w:color="auto"/>
              <w:right w:val="single" w:sz="4" w:space="0" w:color="auto"/>
            </w:tcBorders>
            <w:vAlign w:val="center"/>
          </w:tcPr>
          <w:p w14:paraId="15322E83" w14:textId="4497D503"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lang w:val="en-US"/>
              </w:rPr>
              <w:t>p-value</w:t>
            </w:r>
            <w:r w:rsidRPr="00AF08B4">
              <w:rPr>
                <w:rFonts w:ascii="Times New Roman" w:hAnsi="Times New Roman" w:cs="Times New Roman"/>
                <w:bCs/>
                <w:vertAlign w:val="superscript"/>
                <w:lang w:val="en-US"/>
              </w:rPr>
              <w:t>1</w:t>
            </w:r>
          </w:p>
        </w:tc>
      </w:tr>
      <w:tr w:rsidR="007200F2" w:rsidRPr="00AF08B4" w14:paraId="50A8CB09" w14:textId="412F1734" w:rsidTr="00AD7CDC">
        <w:trPr>
          <w:trHeight w:val="301"/>
          <w:jc w:val="center"/>
        </w:trPr>
        <w:tc>
          <w:tcPr>
            <w:tcW w:w="1696" w:type="dxa"/>
            <w:vMerge/>
            <w:tcBorders>
              <w:left w:val="single" w:sz="4" w:space="0" w:color="auto"/>
              <w:bottom w:val="single" w:sz="4" w:space="0" w:color="auto"/>
              <w:right w:val="single" w:sz="4" w:space="0" w:color="auto"/>
            </w:tcBorders>
            <w:shd w:val="clear" w:color="auto" w:fill="auto"/>
            <w:noWrap/>
            <w:vAlign w:val="center"/>
            <w:hideMark/>
          </w:tcPr>
          <w:p w14:paraId="7CDBC41E" w14:textId="77777777" w:rsidR="007200F2" w:rsidRPr="00AF08B4" w:rsidRDefault="007200F2" w:rsidP="00AD7CDC">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FA4B8" w14:textId="7777777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ED707" w14:textId="7777777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3DE179" w14:textId="20C8074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color w:val="000000"/>
                <w:spacing w:val="-2"/>
              </w:rPr>
              <w:t>95% ДИ</w:t>
            </w:r>
            <w:r w:rsidRPr="00AF08B4">
              <w:rPr>
                <w:rFonts w:ascii="Times New Roman" w:hAnsi="Times New Roman" w:cs="Times New Roman"/>
                <w:color w:val="000000"/>
                <w:spacing w:val="-2"/>
                <w:vertAlign w:val="superscript"/>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6BD327" w14:textId="1872F07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n</w:t>
            </w:r>
          </w:p>
        </w:tc>
        <w:tc>
          <w:tcPr>
            <w:tcW w:w="992" w:type="dxa"/>
            <w:tcBorders>
              <w:top w:val="single" w:sz="4" w:space="0" w:color="auto"/>
              <w:left w:val="single" w:sz="4" w:space="0" w:color="auto"/>
              <w:bottom w:val="single" w:sz="4" w:space="0" w:color="auto"/>
              <w:right w:val="single" w:sz="4" w:space="0" w:color="auto"/>
            </w:tcBorders>
            <w:vAlign w:val="center"/>
          </w:tcPr>
          <w:p w14:paraId="53904E11" w14:textId="7777777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6C69A3" w14:textId="417765DD"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color w:val="000000"/>
                <w:spacing w:val="-2"/>
              </w:rPr>
              <w:t>95% ДИ</w:t>
            </w:r>
            <w:r w:rsidRPr="00AF08B4">
              <w:rPr>
                <w:rFonts w:ascii="Times New Roman" w:hAnsi="Times New Roman" w:cs="Times New Roman"/>
                <w:color w:val="000000"/>
                <w:spacing w:val="-2"/>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620FC647" w14:textId="292EEA5C"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n</w:t>
            </w:r>
          </w:p>
        </w:tc>
        <w:tc>
          <w:tcPr>
            <w:tcW w:w="851" w:type="dxa"/>
            <w:tcBorders>
              <w:top w:val="single" w:sz="4" w:space="0" w:color="auto"/>
              <w:left w:val="single" w:sz="4" w:space="0" w:color="auto"/>
              <w:bottom w:val="single" w:sz="4" w:space="0" w:color="auto"/>
              <w:right w:val="single" w:sz="4" w:space="0" w:color="auto"/>
            </w:tcBorders>
            <w:vAlign w:val="center"/>
          </w:tcPr>
          <w:p w14:paraId="12368569" w14:textId="77777777"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vAlign w:val="center"/>
          </w:tcPr>
          <w:p w14:paraId="11DF4265" w14:textId="1C8B9A24" w:rsidR="007200F2" w:rsidRPr="00AF08B4" w:rsidRDefault="007200F2" w:rsidP="00AD7CDC">
            <w:pPr>
              <w:spacing w:after="0" w:line="240" w:lineRule="auto"/>
              <w:jc w:val="center"/>
              <w:rPr>
                <w:rFonts w:ascii="Times New Roman" w:hAnsi="Times New Roman" w:cs="Times New Roman"/>
                <w:bCs/>
              </w:rPr>
            </w:pPr>
            <w:r w:rsidRPr="00AF08B4">
              <w:rPr>
                <w:rFonts w:ascii="Times New Roman" w:hAnsi="Times New Roman" w:cs="Times New Roman"/>
                <w:color w:val="000000"/>
                <w:spacing w:val="-2"/>
              </w:rPr>
              <w:t>95% ДИ</w:t>
            </w:r>
            <w:r w:rsidRPr="00AF08B4">
              <w:rPr>
                <w:rFonts w:ascii="Times New Roman" w:hAnsi="Times New Roman" w:cs="Times New Roman"/>
                <w:color w:val="000000"/>
                <w:spacing w:val="-2"/>
                <w:vertAlign w:val="superscript"/>
                <w:lang w:val="en-US"/>
              </w:rPr>
              <w:t>2</w:t>
            </w:r>
          </w:p>
        </w:tc>
        <w:tc>
          <w:tcPr>
            <w:tcW w:w="992" w:type="dxa"/>
            <w:vMerge/>
            <w:tcBorders>
              <w:left w:val="single" w:sz="4" w:space="0" w:color="auto"/>
              <w:bottom w:val="single" w:sz="4" w:space="0" w:color="auto"/>
              <w:right w:val="single" w:sz="4" w:space="0" w:color="auto"/>
            </w:tcBorders>
            <w:vAlign w:val="center"/>
          </w:tcPr>
          <w:p w14:paraId="111C4CDE" w14:textId="60BE1FBB" w:rsidR="007200F2" w:rsidRPr="00AF08B4" w:rsidRDefault="007200F2" w:rsidP="00AD7CDC">
            <w:pPr>
              <w:spacing w:after="0" w:line="240" w:lineRule="auto"/>
              <w:jc w:val="center"/>
              <w:rPr>
                <w:rFonts w:ascii="Times New Roman" w:hAnsi="Times New Roman" w:cs="Times New Roman"/>
                <w:bCs/>
              </w:rPr>
            </w:pPr>
          </w:p>
        </w:tc>
        <w:tc>
          <w:tcPr>
            <w:tcW w:w="992" w:type="dxa"/>
            <w:vMerge/>
            <w:tcBorders>
              <w:left w:val="single" w:sz="4" w:space="0" w:color="auto"/>
              <w:bottom w:val="single" w:sz="4" w:space="0" w:color="auto"/>
              <w:right w:val="single" w:sz="4" w:space="0" w:color="auto"/>
            </w:tcBorders>
            <w:vAlign w:val="center"/>
          </w:tcPr>
          <w:p w14:paraId="469A07E6" w14:textId="77777777" w:rsidR="007200F2" w:rsidRPr="00AF08B4" w:rsidRDefault="007200F2" w:rsidP="00AD7CDC">
            <w:pPr>
              <w:spacing w:after="0" w:line="240" w:lineRule="auto"/>
              <w:jc w:val="center"/>
              <w:rPr>
                <w:rFonts w:ascii="Times New Roman" w:hAnsi="Times New Roman" w:cs="Times New Roman"/>
                <w:bCs/>
              </w:rPr>
            </w:pPr>
          </w:p>
        </w:tc>
      </w:tr>
      <w:tr w:rsidR="00AF08B4" w:rsidRPr="00AF08B4" w14:paraId="040AADB1" w14:textId="1E2DCC83" w:rsidTr="00B11E00">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F374" w14:textId="77777777" w:rsidR="00AF08B4" w:rsidRPr="00AF08B4" w:rsidRDefault="00AF08B4" w:rsidP="00B11E00">
            <w:pPr>
              <w:spacing w:after="0" w:line="240" w:lineRule="auto"/>
              <w:rPr>
                <w:rFonts w:ascii="Times New Roman" w:hAnsi="Times New Roman" w:cs="Times New Roman"/>
                <w:bCs/>
                <w:color w:val="000000"/>
                <w:spacing w:val="-2"/>
              </w:rPr>
            </w:pPr>
            <w:r w:rsidRPr="00AF08B4">
              <w:rPr>
                <w:rFonts w:ascii="Times New Roman" w:hAnsi="Times New Roman" w:cs="Times New Roman"/>
                <w:bCs/>
                <w:color w:val="000000"/>
                <w:spacing w:val="-2"/>
              </w:rPr>
              <w:t>Эмметропия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AB83"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1C2E4" w14:textId="3D7731D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172D2E" w14:textId="37815CE4" w:rsidR="00AF08B4" w:rsidRPr="00AF08B4" w:rsidRDefault="00AF08B4" w:rsidP="00AD7CDC">
            <w:pPr>
              <w:spacing w:after="0" w:line="240" w:lineRule="auto"/>
              <w:jc w:val="center"/>
              <w:rPr>
                <w:rFonts w:ascii="Times New Roman" w:eastAsia="Times New Roman" w:hAnsi="Times New Roman" w:cs="Times New Roman"/>
                <w:color w:val="000000"/>
              </w:rPr>
            </w:pPr>
            <w:r w:rsidRPr="00AF08B4">
              <w:rPr>
                <w:rFonts w:ascii="Times New Roman" w:hAnsi="Times New Roman" w:cs="Times New Roman"/>
              </w:rPr>
              <w:t>72,41-80,59%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E79DF" w14:textId="1C0E7BB8"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288</w:t>
            </w:r>
          </w:p>
        </w:tc>
        <w:tc>
          <w:tcPr>
            <w:tcW w:w="992" w:type="dxa"/>
            <w:tcBorders>
              <w:top w:val="single" w:sz="4" w:space="0" w:color="auto"/>
              <w:left w:val="single" w:sz="4" w:space="0" w:color="auto"/>
              <w:bottom w:val="single" w:sz="4" w:space="0" w:color="auto"/>
              <w:right w:val="single" w:sz="4" w:space="0" w:color="auto"/>
            </w:tcBorders>
            <w:vAlign w:val="center"/>
          </w:tcPr>
          <w:p w14:paraId="11A64013"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2E1FB9" w14:textId="785BF0D3"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67,19-76,01%</w:t>
            </w:r>
          </w:p>
        </w:tc>
        <w:tc>
          <w:tcPr>
            <w:tcW w:w="850" w:type="dxa"/>
            <w:tcBorders>
              <w:top w:val="single" w:sz="4" w:space="0" w:color="auto"/>
              <w:left w:val="single" w:sz="4" w:space="0" w:color="auto"/>
              <w:bottom w:val="single" w:sz="4" w:space="0" w:color="auto"/>
              <w:right w:val="single" w:sz="4" w:space="0" w:color="auto"/>
            </w:tcBorders>
            <w:vAlign w:val="center"/>
          </w:tcPr>
          <w:p w14:paraId="31F4C722" w14:textId="72AB39C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242</w:t>
            </w:r>
          </w:p>
        </w:tc>
        <w:tc>
          <w:tcPr>
            <w:tcW w:w="851" w:type="dxa"/>
            <w:tcBorders>
              <w:top w:val="single" w:sz="4" w:space="0" w:color="auto"/>
              <w:left w:val="single" w:sz="4" w:space="0" w:color="auto"/>
              <w:bottom w:val="single" w:sz="4" w:space="0" w:color="auto"/>
              <w:right w:val="single" w:sz="4" w:space="0" w:color="auto"/>
            </w:tcBorders>
            <w:vAlign w:val="center"/>
          </w:tcPr>
          <w:p w14:paraId="16883FF7"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58,2%</w:t>
            </w:r>
          </w:p>
        </w:tc>
        <w:tc>
          <w:tcPr>
            <w:tcW w:w="1701" w:type="dxa"/>
            <w:tcBorders>
              <w:top w:val="single" w:sz="4" w:space="0" w:color="auto"/>
              <w:left w:val="single" w:sz="4" w:space="0" w:color="auto"/>
              <w:bottom w:val="single" w:sz="4" w:space="0" w:color="auto"/>
              <w:right w:val="single" w:sz="4" w:space="0" w:color="auto"/>
            </w:tcBorders>
            <w:vAlign w:val="center"/>
          </w:tcPr>
          <w:p w14:paraId="31E17D4F" w14:textId="2632206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53,46-62,94%</w:t>
            </w:r>
          </w:p>
        </w:tc>
        <w:tc>
          <w:tcPr>
            <w:tcW w:w="992" w:type="dxa"/>
            <w:tcBorders>
              <w:top w:val="single" w:sz="4" w:space="0" w:color="auto"/>
              <w:left w:val="single" w:sz="4" w:space="0" w:color="auto"/>
              <w:bottom w:val="single" w:sz="4" w:space="0" w:color="auto"/>
              <w:right w:val="single" w:sz="4" w:space="0" w:color="auto"/>
            </w:tcBorders>
            <w:vAlign w:val="center"/>
          </w:tcPr>
          <w:p w14:paraId="53AF0F64" w14:textId="7DD97101" w:rsidR="00AF08B4" w:rsidRPr="00AF08B4" w:rsidRDefault="00AF08B4" w:rsidP="00AD7CD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5E0B7BC7" w14:textId="77777777" w:rsidR="00AF08B4" w:rsidRPr="00AF08B4" w:rsidRDefault="00AF08B4" w:rsidP="00AD7CDC">
            <w:pPr>
              <w:spacing w:after="0" w:line="240" w:lineRule="auto"/>
              <w:jc w:val="center"/>
              <w:rPr>
                <w:rFonts w:ascii="Times New Roman" w:hAnsi="Times New Roman" w:cs="Times New Roman"/>
              </w:rPr>
            </w:pPr>
          </w:p>
        </w:tc>
      </w:tr>
      <w:tr w:rsidR="00AF08B4" w:rsidRPr="00AF08B4" w14:paraId="3098DB31" w14:textId="7998785A" w:rsidTr="00B11E00">
        <w:trPr>
          <w:trHeight w:val="57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6134E" w14:textId="77777777" w:rsidR="00AF08B4" w:rsidRPr="00AF08B4" w:rsidRDefault="00AF08B4" w:rsidP="00B11E00">
            <w:pPr>
              <w:spacing w:after="0" w:line="240" w:lineRule="auto"/>
              <w:rPr>
                <w:rFonts w:ascii="Times New Roman" w:hAnsi="Times New Roman" w:cs="Times New Roman"/>
                <w:bCs/>
                <w:color w:val="000000"/>
                <w:spacing w:val="-2"/>
              </w:rPr>
            </w:pPr>
            <w:r w:rsidRPr="00AF08B4">
              <w:rPr>
                <w:rFonts w:ascii="Times New Roman" w:hAnsi="Times New Roman" w:cs="Times New Roman"/>
                <w:bCs/>
                <w:color w:val="000000"/>
                <w:spacing w:val="-2"/>
              </w:rPr>
              <w:t>Нарушения рефракции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F4D0F"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C1B5B" w14:textId="20BFD23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CF8A34" w14:textId="78D56F6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19,41-27,59%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242E8" w14:textId="73C174A0"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114</w:t>
            </w:r>
          </w:p>
        </w:tc>
        <w:tc>
          <w:tcPr>
            <w:tcW w:w="992" w:type="dxa"/>
            <w:tcBorders>
              <w:top w:val="single" w:sz="4" w:space="0" w:color="auto"/>
              <w:left w:val="single" w:sz="4" w:space="0" w:color="auto"/>
              <w:bottom w:val="single" w:sz="4" w:space="0" w:color="auto"/>
              <w:right w:val="single" w:sz="4" w:space="0" w:color="auto"/>
            </w:tcBorders>
            <w:vAlign w:val="center"/>
          </w:tcPr>
          <w:p w14:paraId="314D97BF"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28,4%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950917" w14:textId="7A32CCC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23,99-32,81%</w:t>
            </w:r>
          </w:p>
        </w:tc>
        <w:tc>
          <w:tcPr>
            <w:tcW w:w="850" w:type="dxa"/>
            <w:tcBorders>
              <w:top w:val="single" w:sz="4" w:space="0" w:color="auto"/>
              <w:left w:val="single" w:sz="4" w:space="0" w:color="auto"/>
              <w:bottom w:val="single" w:sz="4" w:space="0" w:color="auto"/>
              <w:right w:val="single" w:sz="4" w:space="0" w:color="auto"/>
            </w:tcBorders>
            <w:vAlign w:val="center"/>
          </w:tcPr>
          <w:p w14:paraId="08C34F95" w14:textId="2BC667D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174</w:t>
            </w:r>
          </w:p>
        </w:tc>
        <w:tc>
          <w:tcPr>
            <w:tcW w:w="851" w:type="dxa"/>
            <w:tcBorders>
              <w:top w:val="single" w:sz="4" w:space="0" w:color="auto"/>
              <w:left w:val="single" w:sz="4" w:space="0" w:color="auto"/>
              <w:bottom w:val="single" w:sz="4" w:space="0" w:color="auto"/>
              <w:right w:val="single" w:sz="4" w:space="0" w:color="auto"/>
            </w:tcBorders>
            <w:vAlign w:val="center"/>
          </w:tcPr>
          <w:p w14:paraId="47D0CEC3"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41,8%</w:t>
            </w:r>
          </w:p>
        </w:tc>
        <w:tc>
          <w:tcPr>
            <w:tcW w:w="1701" w:type="dxa"/>
            <w:tcBorders>
              <w:top w:val="single" w:sz="4" w:space="0" w:color="auto"/>
              <w:left w:val="single" w:sz="4" w:space="0" w:color="auto"/>
              <w:bottom w:val="single" w:sz="4" w:space="0" w:color="auto"/>
              <w:right w:val="single" w:sz="4" w:space="0" w:color="auto"/>
            </w:tcBorders>
            <w:vAlign w:val="center"/>
          </w:tcPr>
          <w:p w14:paraId="01FB26EA" w14:textId="6C11185B"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37,06-46,54%</w:t>
            </w:r>
          </w:p>
        </w:tc>
        <w:tc>
          <w:tcPr>
            <w:tcW w:w="992" w:type="dxa"/>
            <w:tcBorders>
              <w:top w:val="single" w:sz="4" w:space="0" w:color="auto"/>
              <w:left w:val="single" w:sz="4" w:space="0" w:color="auto"/>
              <w:bottom w:val="single" w:sz="4" w:space="0" w:color="auto"/>
              <w:right w:val="single" w:sz="4" w:space="0" w:color="auto"/>
            </w:tcBorders>
            <w:vAlign w:val="center"/>
          </w:tcPr>
          <w:p w14:paraId="3D7BFA20" w14:textId="4D6F216C"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34,796</w:t>
            </w:r>
          </w:p>
        </w:tc>
        <w:tc>
          <w:tcPr>
            <w:tcW w:w="992" w:type="dxa"/>
            <w:tcBorders>
              <w:top w:val="single" w:sz="4" w:space="0" w:color="auto"/>
              <w:left w:val="single" w:sz="4" w:space="0" w:color="auto"/>
              <w:bottom w:val="single" w:sz="4" w:space="0" w:color="auto"/>
              <w:right w:val="single" w:sz="4" w:space="0" w:color="auto"/>
            </w:tcBorders>
            <w:vAlign w:val="center"/>
          </w:tcPr>
          <w:p w14:paraId="694E0696" w14:textId="2E6042BC"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&lt;0,001</w:t>
            </w:r>
          </w:p>
        </w:tc>
      </w:tr>
      <w:tr w:rsidR="00AF08B4" w:rsidRPr="00AF08B4" w14:paraId="201AA4A8" w14:textId="715F85ED" w:rsidTr="00B11E00">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DC429" w14:textId="5F92C3ED" w:rsidR="00AF08B4" w:rsidRPr="00AF08B4" w:rsidRDefault="00AF08B4" w:rsidP="00B11E00">
            <w:pPr>
              <w:spacing w:after="0" w:line="240" w:lineRule="auto"/>
              <w:rPr>
                <w:rFonts w:ascii="Times New Roman" w:hAnsi="Times New Roman" w:cs="Times New Roman"/>
                <w:bCs/>
                <w:color w:val="000000"/>
                <w:spacing w:val="-2"/>
              </w:rPr>
            </w:pPr>
            <w:r w:rsidRPr="00AF08B4">
              <w:rPr>
                <w:rFonts w:ascii="Times New Roman" w:hAnsi="Times New Roman" w:cs="Times New Roman"/>
                <w:bCs/>
                <w:color w:val="000000"/>
                <w:spacing w:val="-2"/>
              </w:rPr>
              <w:t>Миопия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FB3F2C"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35293" w14:textId="79F0119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266D7E" w14:textId="2F1F43F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13,74-21,06%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3B834" w14:textId="35A2547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105</w:t>
            </w:r>
          </w:p>
        </w:tc>
        <w:tc>
          <w:tcPr>
            <w:tcW w:w="992" w:type="dxa"/>
            <w:tcBorders>
              <w:top w:val="single" w:sz="4" w:space="0" w:color="auto"/>
              <w:left w:val="single" w:sz="4" w:space="0" w:color="auto"/>
              <w:bottom w:val="single" w:sz="4" w:space="0" w:color="auto"/>
              <w:right w:val="single" w:sz="4" w:space="0" w:color="auto"/>
            </w:tcBorders>
            <w:vAlign w:val="center"/>
          </w:tcPr>
          <w:p w14:paraId="006E84D3"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C2255B" w14:textId="09E5FCE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21,81-30,39%</w:t>
            </w:r>
          </w:p>
        </w:tc>
        <w:tc>
          <w:tcPr>
            <w:tcW w:w="850" w:type="dxa"/>
            <w:tcBorders>
              <w:top w:val="single" w:sz="4" w:space="0" w:color="auto"/>
              <w:left w:val="single" w:sz="4" w:space="0" w:color="auto"/>
              <w:bottom w:val="single" w:sz="4" w:space="0" w:color="auto"/>
              <w:right w:val="single" w:sz="4" w:space="0" w:color="auto"/>
            </w:tcBorders>
            <w:vAlign w:val="center"/>
          </w:tcPr>
          <w:p w14:paraId="2AEA55A4" w14:textId="4939244B"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162</w:t>
            </w:r>
          </w:p>
        </w:tc>
        <w:tc>
          <w:tcPr>
            <w:tcW w:w="851" w:type="dxa"/>
            <w:tcBorders>
              <w:top w:val="single" w:sz="4" w:space="0" w:color="auto"/>
              <w:left w:val="single" w:sz="4" w:space="0" w:color="auto"/>
              <w:bottom w:val="single" w:sz="4" w:space="0" w:color="auto"/>
              <w:right w:val="single" w:sz="4" w:space="0" w:color="auto"/>
            </w:tcBorders>
            <w:vAlign w:val="center"/>
          </w:tcPr>
          <w:p w14:paraId="7AE436E3"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38,94%</w:t>
            </w:r>
          </w:p>
        </w:tc>
        <w:tc>
          <w:tcPr>
            <w:tcW w:w="1701" w:type="dxa"/>
            <w:tcBorders>
              <w:top w:val="single" w:sz="4" w:space="0" w:color="auto"/>
              <w:left w:val="single" w:sz="4" w:space="0" w:color="auto"/>
              <w:bottom w:val="single" w:sz="4" w:space="0" w:color="auto"/>
              <w:right w:val="single" w:sz="4" w:space="0" w:color="auto"/>
            </w:tcBorders>
            <w:vAlign w:val="center"/>
          </w:tcPr>
          <w:p w14:paraId="65F8AEE9" w14:textId="66E0433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34,25-43,63%</w:t>
            </w:r>
          </w:p>
        </w:tc>
        <w:tc>
          <w:tcPr>
            <w:tcW w:w="992" w:type="dxa"/>
            <w:tcBorders>
              <w:top w:val="single" w:sz="4" w:space="0" w:color="auto"/>
              <w:left w:val="single" w:sz="4" w:space="0" w:color="auto"/>
              <w:bottom w:val="single" w:sz="4" w:space="0" w:color="auto"/>
              <w:right w:val="single" w:sz="4" w:space="0" w:color="auto"/>
            </w:tcBorders>
            <w:vAlign w:val="center"/>
          </w:tcPr>
          <w:p w14:paraId="60DDF9B2" w14:textId="50D2FD0A"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15,659</w:t>
            </w:r>
          </w:p>
        </w:tc>
        <w:tc>
          <w:tcPr>
            <w:tcW w:w="992" w:type="dxa"/>
            <w:tcBorders>
              <w:top w:val="single" w:sz="4" w:space="0" w:color="auto"/>
              <w:left w:val="single" w:sz="4" w:space="0" w:color="auto"/>
              <w:bottom w:val="single" w:sz="4" w:space="0" w:color="auto"/>
              <w:right w:val="single" w:sz="4" w:space="0" w:color="auto"/>
            </w:tcBorders>
            <w:vAlign w:val="center"/>
          </w:tcPr>
          <w:p w14:paraId="78A1C257" w14:textId="555726CD"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&lt;0,001</w:t>
            </w:r>
          </w:p>
        </w:tc>
      </w:tr>
      <w:tr w:rsidR="00AF08B4" w:rsidRPr="00AF08B4" w14:paraId="45A3FA12" w14:textId="70A97D83"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B7867" w14:textId="0D0A329C"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слабая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B6EA2C"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28343" w14:textId="09DEF17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2E18E3" w14:textId="5D803A1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81,64-96,16%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25CAF" w14:textId="2B46D36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89</w:t>
            </w:r>
          </w:p>
        </w:tc>
        <w:tc>
          <w:tcPr>
            <w:tcW w:w="992" w:type="dxa"/>
            <w:tcBorders>
              <w:top w:val="single" w:sz="4" w:space="0" w:color="auto"/>
              <w:left w:val="single" w:sz="4" w:space="0" w:color="auto"/>
              <w:bottom w:val="single" w:sz="4" w:space="0" w:color="auto"/>
              <w:right w:val="single" w:sz="4" w:space="0" w:color="auto"/>
            </w:tcBorders>
            <w:vAlign w:val="center"/>
          </w:tcPr>
          <w:p w14:paraId="229A7A05"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698890" w14:textId="5724F0D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77,93-91,67%</w:t>
            </w:r>
          </w:p>
        </w:tc>
        <w:tc>
          <w:tcPr>
            <w:tcW w:w="850" w:type="dxa"/>
            <w:tcBorders>
              <w:top w:val="single" w:sz="4" w:space="0" w:color="auto"/>
              <w:left w:val="single" w:sz="4" w:space="0" w:color="auto"/>
              <w:bottom w:val="single" w:sz="4" w:space="0" w:color="auto"/>
              <w:right w:val="single" w:sz="4" w:space="0" w:color="auto"/>
            </w:tcBorders>
            <w:vAlign w:val="center"/>
          </w:tcPr>
          <w:p w14:paraId="1B47E07E" w14:textId="116668C0"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128</w:t>
            </w:r>
          </w:p>
        </w:tc>
        <w:tc>
          <w:tcPr>
            <w:tcW w:w="851" w:type="dxa"/>
            <w:tcBorders>
              <w:top w:val="single" w:sz="4" w:space="0" w:color="auto"/>
              <w:left w:val="single" w:sz="4" w:space="0" w:color="auto"/>
              <w:bottom w:val="single" w:sz="4" w:space="0" w:color="auto"/>
              <w:right w:val="single" w:sz="4" w:space="0" w:color="auto"/>
            </w:tcBorders>
            <w:vAlign w:val="center"/>
          </w:tcPr>
          <w:p w14:paraId="2F7C10F9"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79,0%</w:t>
            </w:r>
          </w:p>
        </w:tc>
        <w:tc>
          <w:tcPr>
            <w:tcW w:w="1701" w:type="dxa"/>
            <w:tcBorders>
              <w:top w:val="single" w:sz="4" w:space="0" w:color="auto"/>
              <w:left w:val="single" w:sz="4" w:space="0" w:color="auto"/>
              <w:bottom w:val="single" w:sz="4" w:space="0" w:color="auto"/>
              <w:right w:val="single" w:sz="4" w:space="0" w:color="auto"/>
            </w:tcBorders>
            <w:vAlign w:val="center"/>
          </w:tcPr>
          <w:p w14:paraId="0DC3D329" w14:textId="447F34AD"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72,73-85,27%</w:t>
            </w:r>
          </w:p>
        </w:tc>
        <w:tc>
          <w:tcPr>
            <w:tcW w:w="992" w:type="dxa"/>
            <w:tcBorders>
              <w:top w:val="single" w:sz="4" w:space="0" w:color="auto"/>
              <w:left w:val="single" w:sz="4" w:space="0" w:color="auto"/>
              <w:bottom w:val="single" w:sz="4" w:space="0" w:color="auto"/>
              <w:right w:val="single" w:sz="4" w:space="0" w:color="auto"/>
            </w:tcBorders>
            <w:vAlign w:val="center"/>
          </w:tcPr>
          <w:p w14:paraId="10D2E39E" w14:textId="3B36FD30"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27,602</w:t>
            </w:r>
          </w:p>
        </w:tc>
        <w:tc>
          <w:tcPr>
            <w:tcW w:w="992" w:type="dxa"/>
            <w:tcBorders>
              <w:top w:val="single" w:sz="4" w:space="0" w:color="auto"/>
              <w:left w:val="single" w:sz="4" w:space="0" w:color="auto"/>
              <w:bottom w:val="single" w:sz="4" w:space="0" w:color="auto"/>
              <w:right w:val="single" w:sz="4" w:space="0" w:color="auto"/>
            </w:tcBorders>
            <w:vAlign w:val="center"/>
          </w:tcPr>
          <w:p w14:paraId="3140F8D0" w14:textId="53429FF4" w:rsidR="00AF08B4" w:rsidRPr="007F5F9D" w:rsidRDefault="00AF08B4"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&lt;0,001</w:t>
            </w:r>
          </w:p>
        </w:tc>
      </w:tr>
      <w:tr w:rsidR="00AF08B4" w:rsidRPr="00AF08B4" w14:paraId="55C19EDB" w14:textId="2495FE88" w:rsidTr="007F5F9D">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D67AB" w14:textId="5B44451D"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средняя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3EF0E1"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B8E7A" w14:textId="48E263E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9252D5" w14:textId="1B40935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2,86-16,54%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5B4A3" w14:textId="531E04A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vAlign w:val="center"/>
          </w:tcPr>
          <w:p w14:paraId="546FCBA6"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9F42A0" w14:textId="3F37E1F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7,60-21,00%</w:t>
            </w:r>
          </w:p>
        </w:tc>
        <w:tc>
          <w:tcPr>
            <w:tcW w:w="850" w:type="dxa"/>
            <w:tcBorders>
              <w:top w:val="single" w:sz="4" w:space="0" w:color="auto"/>
              <w:left w:val="single" w:sz="4" w:space="0" w:color="auto"/>
              <w:bottom w:val="single" w:sz="4" w:space="0" w:color="auto"/>
              <w:right w:val="single" w:sz="4" w:space="0" w:color="auto"/>
            </w:tcBorders>
            <w:vAlign w:val="center"/>
          </w:tcPr>
          <w:p w14:paraId="5FE471A6" w14:textId="7FDB824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27</w:t>
            </w:r>
          </w:p>
        </w:tc>
        <w:tc>
          <w:tcPr>
            <w:tcW w:w="851" w:type="dxa"/>
            <w:tcBorders>
              <w:top w:val="single" w:sz="4" w:space="0" w:color="auto"/>
              <w:left w:val="single" w:sz="4" w:space="0" w:color="auto"/>
              <w:bottom w:val="single" w:sz="4" w:space="0" w:color="auto"/>
              <w:right w:val="single" w:sz="4" w:space="0" w:color="auto"/>
            </w:tcBorders>
            <w:vAlign w:val="center"/>
          </w:tcPr>
          <w:p w14:paraId="59E8DF0B"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16,7%</w:t>
            </w:r>
          </w:p>
        </w:tc>
        <w:tc>
          <w:tcPr>
            <w:tcW w:w="1701" w:type="dxa"/>
            <w:tcBorders>
              <w:top w:val="single" w:sz="4" w:space="0" w:color="auto"/>
              <w:left w:val="single" w:sz="4" w:space="0" w:color="auto"/>
              <w:bottom w:val="single" w:sz="4" w:space="0" w:color="auto"/>
              <w:right w:val="single" w:sz="4" w:space="0" w:color="auto"/>
            </w:tcBorders>
            <w:vAlign w:val="center"/>
          </w:tcPr>
          <w:p w14:paraId="0DAA78BF" w14:textId="5F14A45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10,96-22,44%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D2DB64" w14:textId="233742F3" w:rsidR="00AF08B4" w:rsidRPr="007F5F9D" w:rsidRDefault="007F5F9D" w:rsidP="00AD7CD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12,566</w:t>
            </w:r>
          </w:p>
        </w:tc>
        <w:tc>
          <w:tcPr>
            <w:tcW w:w="992" w:type="dxa"/>
            <w:tcBorders>
              <w:top w:val="single" w:sz="4" w:space="0" w:color="auto"/>
              <w:left w:val="single" w:sz="4" w:space="0" w:color="auto"/>
              <w:bottom w:val="single" w:sz="4" w:space="0" w:color="auto"/>
              <w:right w:val="single" w:sz="4" w:space="0" w:color="auto"/>
            </w:tcBorders>
            <w:vAlign w:val="center"/>
          </w:tcPr>
          <w:p w14:paraId="29527F60" w14:textId="73BC06A9"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0,002</w:t>
            </w:r>
          </w:p>
        </w:tc>
      </w:tr>
      <w:tr w:rsidR="00AF08B4" w:rsidRPr="00AF08B4" w14:paraId="70476FAC" w14:textId="5CED42CA" w:rsidTr="007F5F9D">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2D0B" w14:textId="0C39DE8C"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высокая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E4F801"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B25B0" w14:textId="30208B6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5858BE" w14:textId="176233E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-1,31-4,11%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BD5D" w14:textId="5DE6EA2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center"/>
          </w:tcPr>
          <w:p w14:paraId="54BA45E4"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7695C9" w14:textId="5DE47840"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-0,90-2,90%</w:t>
            </w:r>
          </w:p>
        </w:tc>
        <w:tc>
          <w:tcPr>
            <w:tcW w:w="850" w:type="dxa"/>
            <w:tcBorders>
              <w:top w:val="single" w:sz="4" w:space="0" w:color="auto"/>
              <w:left w:val="single" w:sz="4" w:space="0" w:color="auto"/>
              <w:bottom w:val="single" w:sz="4" w:space="0" w:color="auto"/>
              <w:right w:val="single" w:sz="4" w:space="0" w:color="auto"/>
            </w:tcBorders>
            <w:vAlign w:val="center"/>
          </w:tcPr>
          <w:p w14:paraId="09182302" w14:textId="3FEA400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7E03BBC5"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vAlign w:val="center"/>
          </w:tcPr>
          <w:p w14:paraId="36FE26C8" w14:textId="35F09E9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1,18-7,42%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966952" w14:textId="54498F4D" w:rsidR="00AF08B4" w:rsidRPr="007F5F9D" w:rsidRDefault="007F5F9D" w:rsidP="007F5F9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7,839</w:t>
            </w:r>
          </w:p>
        </w:tc>
        <w:tc>
          <w:tcPr>
            <w:tcW w:w="992" w:type="dxa"/>
            <w:tcBorders>
              <w:top w:val="single" w:sz="4" w:space="0" w:color="auto"/>
              <w:left w:val="single" w:sz="4" w:space="0" w:color="auto"/>
              <w:bottom w:val="single" w:sz="4" w:space="0" w:color="auto"/>
              <w:right w:val="single" w:sz="4" w:space="0" w:color="auto"/>
            </w:tcBorders>
            <w:vAlign w:val="center"/>
          </w:tcPr>
          <w:p w14:paraId="15283313" w14:textId="5F21832A"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0,02</w:t>
            </w:r>
          </w:p>
        </w:tc>
      </w:tr>
      <w:tr w:rsidR="00AF08B4" w:rsidRPr="00AF08B4" w14:paraId="657CE96B" w14:textId="423C24C3"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4041B" w14:textId="231B4534" w:rsidR="00AF08B4" w:rsidRPr="00AF08B4" w:rsidRDefault="00AF08B4" w:rsidP="00AD7CDC">
            <w:pPr>
              <w:spacing w:after="0" w:line="240" w:lineRule="auto"/>
              <w:rPr>
                <w:rFonts w:ascii="Times New Roman" w:hAnsi="Times New Roman" w:cs="Times New Roman"/>
                <w:bCs/>
                <w:color w:val="000000"/>
                <w:spacing w:val="-2"/>
              </w:rPr>
            </w:pPr>
            <w:r w:rsidRPr="00AF08B4">
              <w:rPr>
                <w:rFonts w:ascii="Times New Roman" w:hAnsi="Times New Roman" w:cs="Times New Roman"/>
                <w:bCs/>
                <w:color w:val="000000"/>
                <w:spacing w:val="-2"/>
              </w:rPr>
              <w:t>Гиперметропия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6E6BEE"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F677E" w14:textId="6B910ED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2BBD1A" w14:textId="2D6EB61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3,79-8,41%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4B7B" w14:textId="730592AB"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69366714"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194993" w14:textId="20E61FF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0,77-3,63%</w:t>
            </w:r>
          </w:p>
        </w:tc>
        <w:tc>
          <w:tcPr>
            <w:tcW w:w="850" w:type="dxa"/>
            <w:tcBorders>
              <w:top w:val="single" w:sz="4" w:space="0" w:color="auto"/>
              <w:left w:val="single" w:sz="4" w:space="0" w:color="auto"/>
              <w:bottom w:val="single" w:sz="4" w:space="0" w:color="auto"/>
              <w:right w:val="single" w:sz="4" w:space="0" w:color="auto"/>
            </w:tcBorders>
            <w:vAlign w:val="center"/>
          </w:tcPr>
          <w:p w14:paraId="671D4959" w14:textId="700DF04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14:paraId="6993C86D"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2,9%</w:t>
            </w:r>
          </w:p>
        </w:tc>
        <w:tc>
          <w:tcPr>
            <w:tcW w:w="1701" w:type="dxa"/>
            <w:tcBorders>
              <w:top w:val="single" w:sz="4" w:space="0" w:color="auto"/>
              <w:left w:val="single" w:sz="4" w:space="0" w:color="auto"/>
              <w:bottom w:val="single" w:sz="4" w:space="0" w:color="auto"/>
              <w:right w:val="single" w:sz="4" w:space="0" w:color="auto"/>
            </w:tcBorders>
            <w:vAlign w:val="center"/>
          </w:tcPr>
          <w:p w14:paraId="7A550945" w14:textId="6B01585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1,29-4,51%</w:t>
            </w:r>
          </w:p>
        </w:tc>
        <w:tc>
          <w:tcPr>
            <w:tcW w:w="992" w:type="dxa"/>
            <w:tcBorders>
              <w:top w:val="single" w:sz="4" w:space="0" w:color="auto"/>
              <w:left w:val="single" w:sz="4" w:space="0" w:color="auto"/>
              <w:bottom w:val="single" w:sz="4" w:space="0" w:color="auto"/>
              <w:right w:val="single" w:sz="4" w:space="0" w:color="auto"/>
            </w:tcBorders>
            <w:vAlign w:val="center"/>
          </w:tcPr>
          <w:p w14:paraId="24845A4F" w14:textId="32B9EF2D"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9,508</w:t>
            </w:r>
          </w:p>
        </w:tc>
        <w:tc>
          <w:tcPr>
            <w:tcW w:w="992" w:type="dxa"/>
            <w:tcBorders>
              <w:top w:val="single" w:sz="4" w:space="0" w:color="auto"/>
              <w:left w:val="single" w:sz="4" w:space="0" w:color="auto"/>
              <w:bottom w:val="single" w:sz="4" w:space="0" w:color="auto"/>
              <w:right w:val="single" w:sz="4" w:space="0" w:color="auto"/>
            </w:tcBorders>
            <w:vAlign w:val="center"/>
          </w:tcPr>
          <w:p w14:paraId="185B23E9" w14:textId="7A3A3CDE"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0,009</w:t>
            </w:r>
          </w:p>
        </w:tc>
      </w:tr>
      <w:tr w:rsidR="00AF08B4" w:rsidRPr="00AF08B4" w14:paraId="645C3157" w14:textId="7B7D57AA"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39653" w14:textId="2A27B47C"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слабая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7AA991"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82174" w14:textId="36F323D3"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EE9041" w14:textId="0B4D0DB1"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75,26-100,74%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829B3" w14:textId="0AA12B38"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center"/>
          </w:tcPr>
          <w:p w14:paraId="3E24613D"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F32C36" w14:textId="3764419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50,65-104,95%</w:t>
            </w:r>
          </w:p>
        </w:tc>
        <w:tc>
          <w:tcPr>
            <w:tcW w:w="850" w:type="dxa"/>
            <w:tcBorders>
              <w:top w:val="single" w:sz="4" w:space="0" w:color="auto"/>
              <w:left w:val="single" w:sz="4" w:space="0" w:color="auto"/>
              <w:bottom w:val="single" w:sz="4" w:space="0" w:color="auto"/>
              <w:right w:val="single" w:sz="4" w:space="0" w:color="auto"/>
            </w:tcBorders>
            <w:vAlign w:val="center"/>
          </w:tcPr>
          <w:p w14:paraId="14B33741" w14:textId="297E472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vAlign w:val="center"/>
          </w:tcPr>
          <w:p w14:paraId="3A5B8724"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91,7%</w:t>
            </w:r>
          </w:p>
        </w:tc>
        <w:tc>
          <w:tcPr>
            <w:tcW w:w="1701" w:type="dxa"/>
            <w:tcBorders>
              <w:top w:val="single" w:sz="4" w:space="0" w:color="auto"/>
              <w:left w:val="single" w:sz="4" w:space="0" w:color="auto"/>
              <w:bottom w:val="single" w:sz="4" w:space="0" w:color="auto"/>
              <w:right w:val="single" w:sz="4" w:space="0" w:color="auto"/>
            </w:tcBorders>
            <w:vAlign w:val="center"/>
          </w:tcPr>
          <w:p w14:paraId="71839BD0" w14:textId="2DA76FC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76,09-107,31%</w:t>
            </w:r>
          </w:p>
        </w:tc>
        <w:tc>
          <w:tcPr>
            <w:tcW w:w="992" w:type="dxa"/>
            <w:tcBorders>
              <w:top w:val="single" w:sz="4" w:space="0" w:color="auto"/>
              <w:left w:val="single" w:sz="4" w:space="0" w:color="auto"/>
              <w:bottom w:val="single" w:sz="4" w:space="0" w:color="auto"/>
              <w:right w:val="single" w:sz="4" w:space="0" w:color="auto"/>
            </w:tcBorders>
            <w:vAlign w:val="center"/>
          </w:tcPr>
          <w:p w14:paraId="21630A2D" w14:textId="135A01EB"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9,063</w:t>
            </w:r>
          </w:p>
        </w:tc>
        <w:tc>
          <w:tcPr>
            <w:tcW w:w="992" w:type="dxa"/>
            <w:tcBorders>
              <w:top w:val="single" w:sz="4" w:space="0" w:color="auto"/>
              <w:left w:val="single" w:sz="4" w:space="0" w:color="auto"/>
              <w:bottom w:val="single" w:sz="4" w:space="0" w:color="auto"/>
              <w:right w:val="single" w:sz="4" w:space="0" w:color="auto"/>
            </w:tcBorders>
            <w:vAlign w:val="center"/>
          </w:tcPr>
          <w:p w14:paraId="1299138A" w14:textId="0C4ED98B" w:rsidR="00AF08B4" w:rsidRPr="007F5F9D" w:rsidRDefault="003D6B9C"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0,011</w:t>
            </w:r>
          </w:p>
        </w:tc>
      </w:tr>
      <w:tr w:rsidR="00AF08B4" w:rsidRPr="00AF08B4" w14:paraId="37ACEF76" w14:textId="158F5580"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DB876" w14:textId="5043C852"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средняя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FA6940"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482AF" w14:textId="28B227B3"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FACE1F" w14:textId="2612F7A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-0,74-24,74%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64385" w14:textId="7C899378"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14:paraId="32C93E40"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68B457B" w14:textId="1C34D39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-4,95-49,35%</w:t>
            </w:r>
          </w:p>
        </w:tc>
        <w:tc>
          <w:tcPr>
            <w:tcW w:w="850" w:type="dxa"/>
            <w:tcBorders>
              <w:top w:val="single" w:sz="4" w:space="0" w:color="auto"/>
              <w:left w:val="single" w:sz="4" w:space="0" w:color="auto"/>
              <w:bottom w:val="single" w:sz="4" w:space="0" w:color="auto"/>
              <w:right w:val="single" w:sz="4" w:space="0" w:color="auto"/>
            </w:tcBorders>
            <w:vAlign w:val="center"/>
          </w:tcPr>
          <w:p w14:paraId="6D65FDAE" w14:textId="7B734E5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14:paraId="7CC1F3A5"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8,3%</w:t>
            </w:r>
          </w:p>
        </w:tc>
        <w:tc>
          <w:tcPr>
            <w:tcW w:w="1701" w:type="dxa"/>
            <w:tcBorders>
              <w:top w:val="single" w:sz="4" w:space="0" w:color="auto"/>
              <w:left w:val="single" w:sz="4" w:space="0" w:color="auto"/>
              <w:bottom w:val="single" w:sz="4" w:space="0" w:color="auto"/>
              <w:right w:val="single" w:sz="4" w:space="0" w:color="auto"/>
            </w:tcBorders>
            <w:vAlign w:val="center"/>
          </w:tcPr>
          <w:p w14:paraId="758CB7D8" w14:textId="0B78F61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-7,31-23,01%</w:t>
            </w:r>
          </w:p>
        </w:tc>
        <w:tc>
          <w:tcPr>
            <w:tcW w:w="992" w:type="dxa"/>
            <w:tcBorders>
              <w:top w:val="single" w:sz="4" w:space="0" w:color="auto"/>
              <w:left w:val="single" w:sz="4" w:space="0" w:color="auto"/>
              <w:bottom w:val="single" w:sz="4" w:space="0" w:color="auto"/>
              <w:right w:val="single" w:sz="4" w:space="0" w:color="auto"/>
            </w:tcBorders>
            <w:vAlign w:val="center"/>
          </w:tcPr>
          <w:p w14:paraId="2018CC77" w14:textId="7665E6AA" w:rsidR="00AF08B4" w:rsidRPr="007F5F9D" w:rsidRDefault="007F4E6A"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1,011</w:t>
            </w:r>
          </w:p>
        </w:tc>
        <w:tc>
          <w:tcPr>
            <w:tcW w:w="992" w:type="dxa"/>
            <w:tcBorders>
              <w:top w:val="single" w:sz="4" w:space="0" w:color="auto"/>
              <w:left w:val="single" w:sz="4" w:space="0" w:color="auto"/>
              <w:bottom w:val="single" w:sz="4" w:space="0" w:color="auto"/>
              <w:right w:val="single" w:sz="4" w:space="0" w:color="auto"/>
            </w:tcBorders>
            <w:vAlign w:val="center"/>
          </w:tcPr>
          <w:p w14:paraId="36CFC41A" w14:textId="06DD9D19" w:rsidR="00AF08B4" w:rsidRPr="007F5F9D" w:rsidRDefault="007F4E6A"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0,603</w:t>
            </w:r>
          </w:p>
        </w:tc>
      </w:tr>
      <w:tr w:rsidR="00AF08B4" w:rsidRPr="00AF08B4" w14:paraId="51ACE16A" w14:textId="5BA2E08D"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B58B7" w14:textId="5368D25F" w:rsidR="00AF08B4" w:rsidRPr="00AF08B4" w:rsidRDefault="00AF08B4" w:rsidP="00AD7CDC">
            <w:pPr>
              <w:spacing w:after="0" w:line="240" w:lineRule="auto"/>
              <w:rPr>
                <w:rFonts w:ascii="Times New Roman" w:hAnsi="Times New Roman" w:cs="Times New Roman"/>
                <w:bCs/>
                <w:color w:val="000000"/>
                <w:spacing w:val="-2"/>
              </w:rPr>
            </w:pPr>
            <w:r w:rsidRPr="00AF08B4">
              <w:rPr>
                <w:rFonts w:ascii="Times New Roman" w:hAnsi="Times New Roman" w:cs="Times New Roman"/>
                <w:bCs/>
                <w:color w:val="000000"/>
                <w:spacing w:val="-2"/>
              </w:rPr>
              <w:t>Астигматизм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37059A"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EA35D" w14:textId="55A9D3E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19432A" w14:textId="40B3658F"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0,92-3,88%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F187" w14:textId="12A1FBA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6B9795DB"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ED6802" w14:textId="31A5EEE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0,77-3,63%</w:t>
            </w:r>
          </w:p>
        </w:tc>
        <w:tc>
          <w:tcPr>
            <w:tcW w:w="850" w:type="dxa"/>
            <w:tcBorders>
              <w:top w:val="single" w:sz="4" w:space="0" w:color="auto"/>
              <w:left w:val="single" w:sz="4" w:space="0" w:color="auto"/>
              <w:bottom w:val="single" w:sz="4" w:space="0" w:color="auto"/>
              <w:right w:val="single" w:sz="4" w:space="0" w:color="auto"/>
            </w:tcBorders>
            <w:vAlign w:val="center"/>
          </w:tcPr>
          <w:p w14:paraId="315CD192" w14:textId="7633CF8D"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16</w:t>
            </w:r>
          </w:p>
        </w:tc>
        <w:tc>
          <w:tcPr>
            <w:tcW w:w="851" w:type="dxa"/>
            <w:tcBorders>
              <w:top w:val="single" w:sz="4" w:space="0" w:color="auto"/>
              <w:left w:val="single" w:sz="4" w:space="0" w:color="auto"/>
              <w:bottom w:val="single" w:sz="4" w:space="0" w:color="auto"/>
              <w:right w:val="single" w:sz="4" w:space="0" w:color="auto"/>
            </w:tcBorders>
            <w:vAlign w:val="center"/>
          </w:tcPr>
          <w:p w14:paraId="50E08DCD"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3,8%</w:t>
            </w:r>
          </w:p>
        </w:tc>
        <w:tc>
          <w:tcPr>
            <w:tcW w:w="1701" w:type="dxa"/>
            <w:tcBorders>
              <w:top w:val="single" w:sz="4" w:space="0" w:color="auto"/>
              <w:left w:val="single" w:sz="4" w:space="0" w:color="auto"/>
              <w:bottom w:val="single" w:sz="4" w:space="0" w:color="auto"/>
              <w:right w:val="single" w:sz="4" w:space="0" w:color="auto"/>
            </w:tcBorders>
            <w:vAlign w:val="center"/>
          </w:tcPr>
          <w:p w14:paraId="6C2424B6" w14:textId="3A85E2C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1,96-5,64%</w:t>
            </w:r>
          </w:p>
        </w:tc>
        <w:tc>
          <w:tcPr>
            <w:tcW w:w="992" w:type="dxa"/>
            <w:tcBorders>
              <w:top w:val="single" w:sz="4" w:space="0" w:color="auto"/>
              <w:left w:val="single" w:sz="4" w:space="0" w:color="auto"/>
              <w:bottom w:val="single" w:sz="4" w:space="0" w:color="auto"/>
              <w:right w:val="single" w:sz="4" w:space="0" w:color="auto"/>
            </w:tcBorders>
            <w:vAlign w:val="center"/>
          </w:tcPr>
          <w:p w14:paraId="3355877F" w14:textId="3F67646E" w:rsidR="00AF08B4" w:rsidRPr="007F5F9D" w:rsidRDefault="007F4E6A"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2,312</w:t>
            </w:r>
          </w:p>
        </w:tc>
        <w:tc>
          <w:tcPr>
            <w:tcW w:w="992" w:type="dxa"/>
            <w:tcBorders>
              <w:top w:val="single" w:sz="4" w:space="0" w:color="auto"/>
              <w:left w:val="single" w:sz="4" w:space="0" w:color="auto"/>
              <w:bottom w:val="single" w:sz="4" w:space="0" w:color="auto"/>
              <w:right w:val="single" w:sz="4" w:space="0" w:color="auto"/>
            </w:tcBorders>
            <w:vAlign w:val="center"/>
          </w:tcPr>
          <w:p w14:paraId="128D6987" w14:textId="75098825" w:rsidR="00AF08B4" w:rsidRPr="007F5F9D" w:rsidRDefault="007F4E6A"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0,315</w:t>
            </w:r>
          </w:p>
        </w:tc>
      </w:tr>
      <w:tr w:rsidR="00AF08B4" w:rsidRPr="00AF08B4" w14:paraId="091EF01A" w14:textId="56160D86"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08795" w14:textId="08528573"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слабый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6E446E"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41FFB" w14:textId="6F32D82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2DF5F4" w14:textId="3D4BF903"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55,21-104,79%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BA8DE" w14:textId="183D2AC0"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vAlign w:val="center"/>
          </w:tcPr>
          <w:p w14:paraId="4DDA0777"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B30BDD" w14:textId="45CA930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50,65-104,95%</w:t>
            </w:r>
          </w:p>
        </w:tc>
        <w:tc>
          <w:tcPr>
            <w:tcW w:w="850" w:type="dxa"/>
            <w:tcBorders>
              <w:top w:val="single" w:sz="4" w:space="0" w:color="auto"/>
              <w:left w:val="single" w:sz="4" w:space="0" w:color="auto"/>
              <w:bottom w:val="single" w:sz="4" w:space="0" w:color="auto"/>
              <w:right w:val="single" w:sz="4" w:space="0" w:color="auto"/>
            </w:tcBorders>
            <w:vAlign w:val="center"/>
          </w:tcPr>
          <w:p w14:paraId="405D50A0" w14:textId="031B371D"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vAlign w:val="center"/>
          </w:tcPr>
          <w:p w14:paraId="56EACF48"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75,0%</w:t>
            </w:r>
          </w:p>
        </w:tc>
        <w:tc>
          <w:tcPr>
            <w:tcW w:w="1701" w:type="dxa"/>
            <w:tcBorders>
              <w:top w:val="single" w:sz="4" w:space="0" w:color="auto"/>
              <w:left w:val="single" w:sz="4" w:space="0" w:color="auto"/>
              <w:bottom w:val="single" w:sz="4" w:space="0" w:color="auto"/>
              <w:right w:val="single" w:sz="4" w:space="0" w:color="auto"/>
            </w:tcBorders>
            <w:vAlign w:val="center"/>
          </w:tcPr>
          <w:p w14:paraId="64E4FB30" w14:textId="3D59503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53,78-96,22%</w:t>
            </w:r>
          </w:p>
        </w:tc>
        <w:tc>
          <w:tcPr>
            <w:tcW w:w="992" w:type="dxa"/>
            <w:tcBorders>
              <w:top w:val="single" w:sz="4" w:space="0" w:color="auto"/>
              <w:left w:val="single" w:sz="4" w:space="0" w:color="auto"/>
              <w:bottom w:val="single" w:sz="4" w:space="0" w:color="auto"/>
              <w:right w:val="single" w:sz="4" w:space="0" w:color="auto"/>
            </w:tcBorders>
            <w:vAlign w:val="center"/>
          </w:tcPr>
          <w:p w14:paraId="5B5597A2" w14:textId="61225F27" w:rsidR="00AF08B4" w:rsidRPr="007F5F9D" w:rsidRDefault="00183B60"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1,436</w:t>
            </w:r>
          </w:p>
        </w:tc>
        <w:tc>
          <w:tcPr>
            <w:tcW w:w="992" w:type="dxa"/>
            <w:tcBorders>
              <w:top w:val="single" w:sz="4" w:space="0" w:color="auto"/>
              <w:left w:val="single" w:sz="4" w:space="0" w:color="auto"/>
              <w:bottom w:val="single" w:sz="4" w:space="0" w:color="auto"/>
              <w:right w:val="single" w:sz="4" w:space="0" w:color="auto"/>
            </w:tcBorders>
            <w:vAlign w:val="center"/>
          </w:tcPr>
          <w:p w14:paraId="2711B156" w14:textId="0A1DF95A" w:rsidR="00AF08B4" w:rsidRPr="007F5F9D" w:rsidRDefault="00183B60"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0,488</w:t>
            </w:r>
          </w:p>
        </w:tc>
      </w:tr>
      <w:tr w:rsidR="00AF08B4" w:rsidRPr="00AF08B4" w14:paraId="23F11F5A" w14:textId="6CCCFA0B"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DBAFD" w14:textId="60D63011"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высокий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2B2F75"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9A83" w14:textId="0C9C03F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262CFE" w14:textId="269CCEAB"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-4,79-44,79%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C597F" w14:textId="2638BC5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14:paraId="16624909"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74D3B2" w14:textId="0776F9C4"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-4,95-49,35%</w:t>
            </w:r>
          </w:p>
        </w:tc>
        <w:tc>
          <w:tcPr>
            <w:tcW w:w="850" w:type="dxa"/>
            <w:tcBorders>
              <w:top w:val="single" w:sz="4" w:space="0" w:color="auto"/>
              <w:left w:val="single" w:sz="4" w:space="0" w:color="auto"/>
              <w:bottom w:val="single" w:sz="4" w:space="0" w:color="auto"/>
              <w:right w:val="single" w:sz="4" w:space="0" w:color="auto"/>
            </w:tcBorders>
            <w:vAlign w:val="center"/>
          </w:tcPr>
          <w:p w14:paraId="5398A753" w14:textId="0B52D4FF"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tcPr>
          <w:p w14:paraId="2257F8D1"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25,0%</w:t>
            </w:r>
          </w:p>
        </w:tc>
        <w:tc>
          <w:tcPr>
            <w:tcW w:w="1701" w:type="dxa"/>
            <w:tcBorders>
              <w:top w:val="single" w:sz="4" w:space="0" w:color="auto"/>
              <w:left w:val="single" w:sz="4" w:space="0" w:color="auto"/>
              <w:bottom w:val="single" w:sz="4" w:space="0" w:color="auto"/>
              <w:right w:val="single" w:sz="4" w:space="0" w:color="auto"/>
            </w:tcBorders>
            <w:vAlign w:val="center"/>
          </w:tcPr>
          <w:p w14:paraId="78B9FDB0" w14:textId="26666396"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3,78-46,22%</w:t>
            </w:r>
          </w:p>
        </w:tc>
        <w:tc>
          <w:tcPr>
            <w:tcW w:w="992" w:type="dxa"/>
            <w:tcBorders>
              <w:top w:val="single" w:sz="4" w:space="0" w:color="auto"/>
              <w:left w:val="single" w:sz="4" w:space="0" w:color="auto"/>
              <w:bottom w:val="single" w:sz="4" w:space="0" w:color="auto"/>
              <w:right w:val="single" w:sz="4" w:space="0" w:color="auto"/>
            </w:tcBorders>
            <w:vAlign w:val="center"/>
          </w:tcPr>
          <w:p w14:paraId="09718E38" w14:textId="1FA165C9" w:rsidR="00AF08B4" w:rsidRPr="007F5F9D" w:rsidRDefault="00183B60"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0,946</w:t>
            </w:r>
          </w:p>
        </w:tc>
        <w:tc>
          <w:tcPr>
            <w:tcW w:w="992" w:type="dxa"/>
            <w:tcBorders>
              <w:top w:val="single" w:sz="4" w:space="0" w:color="auto"/>
              <w:left w:val="single" w:sz="4" w:space="0" w:color="auto"/>
              <w:bottom w:val="single" w:sz="4" w:space="0" w:color="auto"/>
              <w:right w:val="single" w:sz="4" w:space="0" w:color="auto"/>
            </w:tcBorders>
            <w:vAlign w:val="center"/>
          </w:tcPr>
          <w:p w14:paraId="0EA174FB" w14:textId="73943AD5" w:rsidR="00AF08B4" w:rsidRPr="007F5F9D" w:rsidRDefault="00183B60"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w:t>
            </w:r>
            <w:r w:rsidR="007F5F9D" w:rsidRPr="007F5F9D">
              <w:rPr>
                <w:rFonts w:ascii="Times New Roman" w:hAnsi="Times New Roman" w:cs="Times New Roman"/>
                <w:color w:val="000000" w:themeColor="text1"/>
              </w:rPr>
              <w:t>62</w:t>
            </w:r>
          </w:p>
        </w:tc>
      </w:tr>
      <w:tr w:rsidR="00AF08B4" w:rsidRPr="00AF08B4" w14:paraId="25184A9E" w14:textId="631173C2"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081C0FF" w14:textId="272060F5" w:rsidR="00AF08B4" w:rsidRPr="00AF08B4" w:rsidRDefault="00AF08B4" w:rsidP="00AD7CDC">
            <w:pPr>
              <w:spacing w:after="0" w:line="240" w:lineRule="auto"/>
              <w:rPr>
                <w:rFonts w:ascii="Times New Roman" w:hAnsi="Times New Roman" w:cs="Times New Roman"/>
                <w:color w:val="000000"/>
                <w:spacing w:val="-2"/>
              </w:rPr>
            </w:pPr>
            <w:r w:rsidRPr="00AF08B4">
              <w:rPr>
                <w:rFonts w:ascii="Times New Roman" w:hAnsi="Times New Roman" w:cs="Times New Roman"/>
                <w:color w:val="000000"/>
                <w:spacing w:val="-2"/>
              </w:rPr>
              <w:t>по виду: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D5BFFD" w14:textId="77777777" w:rsidR="00AF08B4" w:rsidRPr="00AF08B4" w:rsidRDefault="00AF08B4" w:rsidP="00AD7CD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4672" w14:textId="77777777" w:rsidR="00AF08B4" w:rsidRPr="00AF08B4" w:rsidRDefault="00AF08B4" w:rsidP="00AD7CDC">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224EB8" w14:textId="77777777" w:rsidR="00AF08B4" w:rsidRPr="00AF08B4" w:rsidRDefault="00AF08B4" w:rsidP="00AD7CDC">
            <w:pPr>
              <w:spacing w:after="0" w:line="240"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B831E" w14:textId="77777777" w:rsidR="00AF08B4" w:rsidRPr="00AF08B4" w:rsidRDefault="00AF08B4" w:rsidP="00AD7CD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49720E88" w14:textId="77777777" w:rsidR="00AF08B4" w:rsidRPr="00AF08B4" w:rsidRDefault="00AF08B4" w:rsidP="00AD7CDC">
            <w:pPr>
              <w:spacing w:after="0" w:line="240"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A46254" w14:textId="77777777" w:rsidR="00AF08B4" w:rsidRPr="00AF08B4" w:rsidRDefault="00AF08B4" w:rsidP="00AD7CD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658B2968" w14:textId="77777777" w:rsidR="00AF08B4" w:rsidRPr="00AF08B4" w:rsidRDefault="00AF08B4" w:rsidP="00AD7CDC">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26C07810" w14:textId="77777777" w:rsidR="00AF08B4" w:rsidRPr="00AF08B4" w:rsidRDefault="00AF08B4" w:rsidP="00AD7CDC">
            <w:pPr>
              <w:spacing w:after="0"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40CACC43" w14:textId="77777777" w:rsidR="00AF08B4" w:rsidRPr="00AF08B4" w:rsidRDefault="00AF08B4" w:rsidP="00AD7CD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3F0B06FF" w14:textId="77777777" w:rsidR="00AF08B4" w:rsidRPr="007F5F9D" w:rsidRDefault="00AF08B4" w:rsidP="00AD7CDC">
            <w:pPr>
              <w:spacing w:after="0" w:line="240" w:lineRule="auto"/>
              <w:jc w:val="center"/>
              <w:rPr>
                <w:rFonts w:ascii="Times New Roman" w:hAnsi="Times New Roman" w:cs="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tcPr>
          <w:p w14:paraId="2F92CA9F" w14:textId="77777777" w:rsidR="00AF08B4" w:rsidRPr="007F5F9D" w:rsidRDefault="00AF08B4" w:rsidP="00AD7CDC">
            <w:pPr>
              <w:spacing w:after="0" w:line="240" w:lineRule="auto"/>
              <w:jc w:val="center"/>
              <w:rPr>
                <w:rFonts w:ascii="Times New Roman" w:hAnsi="Times New Roman" w:cs="Times New Roman"/>
                <w:color w:val="000000" w:themeColor="text1"/>
              </w:rPr>
            </w:pPr>
          </w:p>
        </w:tc>
      </w:tr>
      <w:tr w:rsidR="00AF08B4" w:rsidRPr="00AF08B4" w14:paraId="6D21C3ED" w14:textId="2D73F3E1"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C86B9" w14:textId="77777777"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миопический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D96EE7"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06BF5" w14:textId="58514830"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5605F8" w14:textId="68B14325"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-8,59-28,59%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A8041" w14:textId="7EE3831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20D706D2"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41B89B" w14:textId="7A588A99"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2,51-64,09%</w:t>
            </w:r>
          </w:p>
        </w:tc>
        <w:tc>
          <w:tcPr>
            <w:tcW w:w="850" w:type="dxa"/>
            <w:tcBorders>
              <w:top w:val="single" w:sz="4" w:space="0" w:color="auto"/>
              <w:left w:val="single" w:sz="4" w:space="0" w:color="auto"/>
              <w:bottom w:val="single" w:sz="4" w:space="0" w:color="auto"/>
              <w:right w:val="single" w:sz="4" w:space="0" w:color="auto"/>
            </w:tcBorders>
            <w:vAlign w:val="center"/>
          </w:tcPr>
          <w:p w14:paraId="742D6B85" w14:textId="43DE08E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13</w:t>
            </w:r>
          </w:p>
        </w:tc>
        <w:tc>
          <w:tcPr>
            <w:tcW w:w="851" w:type="dxa"/>
            <w:tcBorders>
              <w:top w:val="single" w:sz="4" w:space="0" w:color="auto"/>
              <w:left w:val="single" w:sz="4" w:space="0" w:color="auto"/>
              <w:bottom w:val="single" w:sz="4" w:space="0" w:color="auto"/>
              <w:right w:val="single" w:sz="4" w:space="0" w:color="auto"/>
            </w:tcBorders>
            <w:vAlign w:val="center"/>
          </w:tcPr>
          <w:p w14:paraId="0D82C73A"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81,3%</w:t>
            </w:r>
          </w:p>
        </w:tc>
        <w:tc>
          <w:tcPr>
            <w:tcW w:w="1701" w:type="dxa"/>
            <w:tcBorders>
              <w:top w:val="single" w:sz="4" w:space="0" w:color="auto"/>
              <w:left w:val="single" w:sz="4" w:space="0" w:color="auto"/>
              <w:bottom w:val="single" w:sz="4" w:space="0" w:color="auto"/>
              <w:right w:val="single" w:sz="4" w:space="0" w:color="auto"/>
            </w:tcBorders>
            <w:vAlign w:val="center"/>
          </w:tcPr>
          <w:p w14:paraId="2F1D087B" w14:textId="410727A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62,19-100,41%</w:t>
            </w:r>
          </w:p>
        </w:tc>
        <w:tc>
          <w:tcPr>
            <w:tcW w:w="992" w:type="dxa"/>
            <w:tcBorders>
              <w:top w:val="single" w:sz="4" w:space="0" w:color="auto"/>
              <w:left w:val="single" w:sz="4" w:space="0" w:color="auto"/>
              <w:bottom w:val="single" w:sz="4" w:space="0" w:color="auto"/>
              <w:right w:val="single" w:sz="4" w:space="0" w:color="auto"/>
            </w:tcBorders>
            <w:vAlign w:val="center"/>
          </w:tcPr>
          <w:p w14:paraId="4549A272" w14:textId="452A9D6F" w:rsidR="00AF08B4" w:rsidRPr="007F5F9D" w:rsidRDefault="007F5F9D"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14,413</w:t>
            </w:r>
          </w:p>
        </w:tc>
        <w:tc>
          <w:tcPr>
            <w:tcW w:w="992" w:type="dxa"/>
            <w:tcBorders>
              <w:top w:val="single" w:sz="4" w:space="0" w:color="auto"/>
              <w:left w:val="single" w:sz="4" w:space="0" w:color="auto"/>
              <w:bottom w:val="single" w:sz="4" w:space="0" w:color="auto"/>
              <w:right w:val="single" w:sz="4" w:space="0" w:color="auto"/>
            </w:tcBorders>
            <w:vAlign w:val="center"/>
          </w:tcPr>
          <w:p w14:paraId="545FC878" w14:textId="32525BB2" w:rsidR="00AF08B4" w:rsidRPr="007F5F9D" w:rsidRDefault="007F5F9D"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&lt;0,001</w:t>
            </w:r>
          </w:p>
        </w:tc>
      </w:tr>
      <w:tr w:rsidR="00AF08B4" w:rsidRPr="00AF08B4" w14:paraId="50E4D4A9" w14:textId="799A733D"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63C5B" w14:textId="77777777"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гиперметропич.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264035"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A003B" w14:textId="414B466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DF8EE8" w14:textId="7369D82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1,60-58,40%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79C26" w14:textId="488B7372"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72DE0092"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5D1406" w14:textId="31CA0AD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2,51-64,09%</w:t>
            </w:r>
          </w:p>
        </w:tc>
        <w:tc>
          <w:tcPr>
            <w:tcW w:w="850" w:type="dxa"/>
            <w:tcBorders>
              <w:top w:val="single" w:sz="4" w:space="0" w:color="auto"/>
              <w:left w:val="single" w:sz="4" w:space="0" w:color="auto"/>
              <w:bottom w:val="single" w:sz="4" w:space="0" w:color="auto"/>
              <w:right w:val="single" w:sz="4" w:space="0" w:color="auto"/>
            </w:tcBorders>
            <w:vAlign w:val="center"/>
          </w:tcPr>
          <w:p w14:paraId="49C8C5AB" w14:textId="5A8CEEAA"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14:paraId="365408DD"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vAlign w:val="center"/>
          </w:tcPr>
          <w:p w14:paraId="7EC77783" w14:textId="27E7B89B" w:rsidR="00AF08B4" w:rsidRPr="00AF08B4" w:rsidRDefault="00AF08B4" w:rsidP="00AD7CD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0550F184" w14:textId="44B94952" w:rsidR="00AF08B4" w:rsidRPr="007F5F9D" w:rsidRDefault="007F5F9D"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0,001</w:t>
            </w:r>
          </w:p>
        </w:tc>
        <w:tc>
          <w:tcPr>
            <w:tcW w:w="992" w:type="dxa"/>
            <w:tcBorders>
              <w:top w:val="single" w:sz="4" w:space="0" w:color="auto"/>
              <w:left w:val="single" w:sz="4" w:space="0" w:color="auto"/>
              <w:bottom w:val="single" w:sz="4" w:space="0" w:color="auto"/>
              <w:right w:val="single" w:sz="4" w:space="0" w:color="auto"/>
            </w:tcBorders>
            <w:vAlign w:val="center"/>
          </w:tcPr>
          <w:p w14:paraId="3543EE96" w14:textId="358A9D19" w:rsidR="00AF08B4" w:rsidRPr="007F5F9D" w:rsidRDefault="007F5F9D" w:rsidP="00AD7CDC">
            <w:pPr>
              <w:spacing w:after="0" w:line="240" w:lineRule="auto"/>
              <w:jc w:val="center"/>
              <w:rPr>
                <w:rFonts w:ascii="Times New Roman" w:hAnsi="Times New Roman" w:cs="Times New Roman"/>
                <w:color w:val="000000" w:themeColor="text1"/>
              </w:rPr>
            </w:pPr>
            <w:r w:rsidRPr="007F5F9D">
              <w:rPr>
                <w:rFonts w:ascii="Times New Roman" w:hAnsi="Times New Roman" w:cs="Times New Roman"/>
                <w:color w:val="000000" w:themeColor="text1"/>
              </w:rPr>
              <w:t>0,974</w:t>
            </w:r>
          </w:p>
        </w:tc>
      </w:tr>
      <w:tr w:rsidR="00AF08B4" w:rsidRPr="00AF08B4" w14:paraId="2D4A01E3" w14:textId="0A24BB0D" w:rsidTr="00AD7CDC">
        <w:trPr>
          <w:trHeight w:val="2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3115" w14:textId="77777777" w:rsidR="00AF08B4" w:rsidRPr="00AF08B4" w:rsidRDefault="00AF08B4" w:rsidP="00AD7CDC">
            <w:pPr>
              <w:spacing w:after="0" w:line="240" w:lineRule="auto"/>
              <w:jc w:val="right"/>
              <w:rPr>
                <w:rFonts w:ascii="Times New Roman" w:hAnsi="Times New Roman" w:cs="Times New Roman"/>
                <w:color w:val="000000"/>
                <w:spacing w:val="-2"/>
              </w:rPr>
            </w:pPr>
            <w:r w:rsidRPr="00AF08B4">
              <w:rPr>
                <w:rFonts w:ascii="Times New Roman" w:hAnsi="Times New Roman" w:cs="Times New Roman"/>
                <w:color w:val="000000"/>
                <w:spacing w:val="-2"/>
              </w:rPr>
              <w:t>смешанный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CADCBA"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2AD33" w14:textId="7FD7FB7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7BF770" w14:textId="3E9637B8"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29,64-90,36%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B715D" w14:textId="1EEB553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0678F619" w14:textId="77777777" w:rsidR="00AF08B4" w:rsidRPr="00AF08B4" w:rsidRDefault="00AF08B4" w:rsidP="00786381">
            <w:pPr>
              <w:spacing w:after="0" w:line="240" w:lineRule="auto"/>
              <w:rPr>
                <w:rFonts w:ascii="Times New Roman" w:hAnsi="Times New Roman" w:cs="Times New Roman"/>
              </w:rPr>
            </w:pPr>
            <w:r w:rsidRPr="00AF08B4">
              <w:rPr>
                <w:rFonts w:ascii="Times New Roman" w:hAnsi="Times New Roman" w:cs="Times New Roman"/>
              </w:rPr>
              <w:t>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C9CC78" w14:textId="2F0EAC4E"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2,51-64,09%</w:t>
            </w:r>
          </w:p>
        </w:tc>
        <w:tc>
          <w:tcPr>
            <w:tcW w:w="850" w:type="dxa"/>
            <w:tcBorders>
              <w:top w:val="single" w:sz="4" w:space="0" w:color="auto"/>
              <w:left w:val="single" w:sz="4" w:space="0" w:color="auto"/>
              <w:bottom w:val="single" w:sz="4" w:space="0" w:color="auto"/>
              <w:right w:val="single" w:sz="4" w:space="0" w:color="auto"/>
            </w:tcBorders>
            <w:vAlign w:val="center"/>
          </w:tcPr>
          <w:p w14:paraId="6985D37A" w14:textId="5F5FBD03"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14:paraId="4E0EEA94" w14:textId="77777777"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18,8%</w:t>
            </w:r>
          </w:p>
        </w:tc>
        <w:tc>
          <w:tcPr>
            <w:tcW w:w="1701" w:type="dxa"/>
            <w:tcBorders>
              <w:top w:val="single" w:sz="4" w:space="0" w:color="auto"/>
              <w:left w:val="single" w:sz="4" w:space="0" w:color="auto"/>
              <w:bottom w:val="single" w:sz="4" w:space="0" w:color="auto"/>
              <w:right w:val="single" w:sz="4" w:space="0" w:color="auto"/>
            </w:tcBorders>
            <w:vAlign w:val="center"/>
          </w:tcPr>
          <w:p w14:paraId="64210C64" w14:textId="4A898B1C" w:rsidR="00AF08B4" w:rsidRPr="00AF08B4" w:rsidRDefault="00AF08B4" w:rsidP="00AD7CDC">
            <w:pPr>
              <w:spacing w:after="0" w:line="240" w:lineRule="auto"/>
              <w:jc w:val="center"/>
              <w:rPr>
                <w:rFonts w:ascii="Times New Roman" w:hAnsi="Times New Roman" w:cs="Times New Roman"/>
              </w:rPr>
            </w:pPr>
            <w:r w:rsidRPr="00AF08B4">
              <w:rPr>
                <w:rFonts w:ascii="Times New Roman" w:hAnsi="Times New Roman" w:cs="Times New Roman"/>
              </w:rPr>
              <w:t>-0,34-37,94%</w:t>
            </w:r>
          </w:p>
        </w:tc>
        <w:tc>
          <w:tcPr>
            <w:tcW w:w="992" w:type="dxa"/>
            <w:tcBorders>
              <w:top w:val="single" w:sz="4" w:space="0" w:color="auto"/>
              <w:left w:val="single" w:sz="4" w:space="0" w:color="auto"/>
              <w:bottom w:val="single" w:sz="4" w:space="0" w:color="auto"/>
              <w:right w:val="single" w:sz="4" w:space="0" w:color="auto"/>
            </w:tcBorders>
            <w:vAlign w:val="center"/>
          </w:tcPr>
          <w:p w14:paraId="072D240C" w14:textId="3F0ECE2C" w:rsidR="00AF08B4" w:rsidRPr="00AF08B4" w:rsidRDefault="007F5F9D" w:rsidP="00AD7CDC">
            <w:pPr>
              <w:spacing w:after="0" w:line="240" w:lineRule="auto"/>
              <w:jc w:val="center"/>
              <w:rPr>
                <w:rFonts w:ascii="Times New Roman" w:hAnsi="Times New Roman" w:cs="Times New Roman"/>
              </w:rPr>
            </w:pPr>
            <w:r>
              <w:rPr>
                <w:rFonts w:ascii="Times New Roman" w:hAnsi="Times New Roman" w:cs="Times New Roman"/>
              </w:rPr>
              <w:t>1,472</w:t>
            </w:r>
          </w:p>
        </w:tc>
        <w:tc>
          <w:tcPr>
            <w:tcW w:w="992" w:type="dxa"/>
            <w:tcBorders>
              <w:top w:val="single" w:sz="4" w:space="0" w:color="auto"/>
              <w:left w:val="single" w:sz="4" w:space="0" w:color="auto"/>
              <w:bottom w:val="single" w:sz="4" w:space="0" w:color="auto"/>
              <w:right w:val="single" w:sz="4" w:space="0" w:color="auto"/>
            </w:tcBorders>
            <w:vAlign w:val="center"/>
          </w:tcPr>
          <w:p w14:paraId="3E288AEF" w14:textId="55BC2A93" w:rsidR="00AF08B4" w:rsidRPr="00AF08B4" w:rsidRDefault="007F5F9D" w:rsidP="00AD7CDC">
            <w:pPr>
              <w:spacing w:after="0" w:line="240" w:lineRule="auto"/>
              <w:jc w:val="center"/>
              <w:rPr>
                <w:rFonts w:ascii="Times New Roman" w:hAnsi="Times New Roman" w:cs="Times New Roman"/>
              </w:rPr>
            </w:pPr>
            <w:r>
              <w:rPr>
                <w:rFonts w:ascii="Times New Roman" w:hAnsi="Times New Roman" w:cs="Times New Roman"/>
              </w:rPr>
              <w:t>0,479</w:t>
            </w:r>
          </w:p>
        </w:tc>
      </w:tr>
      <w:tr w:rsidR="007A4FA0" w:rsidRPr="00AF08B4" w14:paraId="1E9F56EE" w14:textId="77777777" w:rsidTr="00AD7CDC">
        <w:trPr>
          <w:trHeight w:val="289"/>
          <w:jc w:val="center"/>
        </w:trPr>
        <w:tc>
          <w:tcPr>
            <w:tcW w:w="13745"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6F67CF2F" w14:textId="77777777" w:rsidR="007A4FA0" w:rsidRDefault="007A4FA0" w:rsidP="00786381">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7C8426D2" w14:textId="77777777" w:rsidR="007A4FA0" w:rsidRPr="00CA167A" w:rsidRDefault="007A4FA0" w:rsidP="00786381">
            <w:pPr>
              <w:spacing w:after="0" w:line="240" w:lineRule="auto"/>
              <w:rPr>
                <w:rFonts w:ascii="Times New Roman" w:hAnsi="Times New Roman" w:cs="Times New Roman"/>
                <w:sz w:val="28"/>
                <w:szCs w:val="28"/>
              </w:rPr>
            </w:pPr>
            <w:r w:rsidRPr="00CA167A">
              <w:rPr>
                <w:rFonts w:ascii="Times New Roman" w:hAnsi="Times New Roman" w:cs="Times New Roman"/>
                <w:bCs/>
                <w:sz w:val="28"/>
                <w:szCs w:val="28"/>
                <w:vertAlign w:val="superscript"/>
              </w:rPr>
              <w:t>1</w:t>
            </w:r>
            <w:r w:rsidRPr="00CA167A">
              <w:rPr>
                <w:rFonts w:ascii="Times New Roman" w:hAnsi="Times New Roman" w:cs="Times New Roman"/>
                <w:bCs/>
                <w:sz w:val="28"/>
                <w:szCs w:val="28"/>
                <w:lang w:val="en-US"/>
              </w:rPr>
              <w:t>p</w:t>
            </w:r>
            <w:r w:rsidRPr="00CA167A">
              <w:rPr>
                <w:rFonts w:ascii="Times New Roman" w:hAnsi="Times New Roman" w:cs="Times New Roman"/>
                <w:bCs/>
                <w:sz w:val="28"/>
                <w:szCs w:val="28"/>
              </w:rPr>
              <w:t>-</w:t>
            </w:r>
            <w:r w:rsidRPr="00CA167A">
              <w:rPr>
                <w:rFonts w:ascii="Times New Roman" w:hAnsi="Times New Roman" w:cs="Times New Roman"/>
                <w:bCs/>
                <w:sz w:val="28"/>
                <w:szCs w:val="28"/>
                <w:lang w:val="en-US"/>
              </w:rPr>
              <w:t>value</w:t>
            </w:r>
            <w:r w:rsidRPr="00CA167A">
              <w:rPr>
                <w:rFonts w:ascii="Times New Roman" w:hAnsi="Times New Roman" w:cs="Times New Roman"/>
                <w:bCs/>
                <w:sz w:val="28"/>
                <w:szCs w:val="28"/>
              </w:rPr>
              <w:t xml:space="preserve"> - корр</w:t>
            </w:r>
            <w:r>
              <w:rPr>
                <w:rFonts w:ascii="Times New Roman" w:hAnsi="Times New Roman" w:cs="Times New Roman"/>
                <w:bCs/>
                <w:sz w:val="28"/>
                <w:szCs w:val="28"/>
              </w:rPr>
              <w:t>еляция значима при р&lt;0,05</w:t>
            </w:r>
          </w:p>
          <w:p w14:paraId="74D24417" w14:textId="77777777" w:rsidR="007A4FA0" w:rsidRDefault="007A4FA0" w:rsidP="00786381">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2</w:t>
            </w:r>
            <w:r w:rsidRPr="006647EC">
              <w:rPr>
                <w:rFonts w:ascii="Times New Roman" w:hAnsi="Times New Roman" w:cs="Times New Roman"/>
                <w:sz w:val="28"/>
                <w:szCs w:val="28"/>
                <w:lang w:val="en-US"/>
              </w:rPr>
              <w:t>n</w:t>
            </w:r>
            <w:r w:rsidRPr="006647EC">
              <w:rPr>
                <w:rFonts w:ascii="Times New Roman" w:hAnsi="Times New Roman" w:cs="Times New Roman"/>
                <w:sz w:val="28"/>
                <w:szCs w:val="28"/>
              </w:rPr>
              <w:t xml:space="preserve"> – количество</w:t>
            </w:r>
            <w:r>
              <w:rPr>
                <w:rFonts w:ascii="Times New Roman" w:hAnsi="Times New Roman" w:cs="Times New Roman"/>
                <w:sz w:val="28"/>
                <w:szCs w:val="28"/>
              </w:rPr>
              <w:t>;</w:t>
            </w:r>
          </w:p>
          <w:p w14:paraId="502B0D05" w14:textId="418B25A9" w:rsidR="007A4FA0" w:rsidRPr="00AF08B4" w:rsidRDefault="007A4FA0" w:rsidP="00786381">
            <w:pPr>
              <w:spacing w:after="0" w:line="240" w:lineRule="auto"/>
              <w:rPr>
                <w:rFonts w:ascii="Times New Roman" w:hAnsi="Times New Roman" w:cs="Times New Roman"/>
              </w:rPr>
            </w:pPr>
            <w:r>
              <w:rPr>
                <w:rFonts w:ascii="Times New Roman" w:hAnsi="Times New Roman" w:cs="Times New Roman"/>
                <w:sz w:val="28"/>
                <w:szCs w:val="28"/>
                <w:vertAlign w:val="superscript"/>
              </w:rPr>
              <w:t>3</w:t>
            </w:r>
            <w:r>
              <w:rPr>
                <w:rFonts w:ascii="Times New Roman" w:hAnsi="Times New Roman" w:cs="Times New Roman"/>
                <w:sz w:val="28"/>
                <w:szCs w:val="28"/>
              </w:rPr>
              <w:t>ДИ – доверительный интервал</w:t>
            </w:r>
          </w:p>
        </w:tc>
      </w:tr>
    </w:tbl>
    <w:p w14:paraId="10BEEE81" w14:textId="77777777" w:rsidR="00C726CE" w:rsidRDefault="00C726CE" w:rsidP="00C726CE">
      <w:pPr>
        <w:spacing w:after="0" w:line="240" w:lineRule="auto"/>
        <w:ind w:firstLine="709"/>
        <w:jc w:val="both"/>
        <w:rPr>
          <w:rFonts w:ascii="Times New Roman" w:hAnsi="Times New Roman" w:cs="Times New Roman"/>
          <w:sz w:val="28"/>
          <w:szCs w:val="28"/>
        </w:rPr>
      </w:pPr>
    </w:p>
    <w:p w14:paraId="0ECD73EF" w14:textId="77777777" w:rsidR="007A4FA0" w:rsidRDefault="007A4FA0" w:rsidP="002E7378">
      <w:pPr>
        <w:spacing w:after="0" w:line="240" w:lineRule="auto"/>
        <w:jc w:val="center"/>
        <w:rPr>
          <w:rFonts w:ascii="Times New Roman" w:hAnsi="Times New Roman" w:cs="Times New Roman"/>
          <w:sz w:val="28"/>
          <w:szCs w:val="28"/>
        </w:rPr>
      </w:pPr>
    </w:p>
    <w:p w14:paraId="1B1C7F72" w14:textId="382D370C" w:rsidR="002E7378" w:rsidRPr="004804AA" w:rsidRDefault="002E7378" w:rsidP="002E7378">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lastRenderedPageBreak/>
        <w:t xml:space="preserve">Таблица </w:t>
      </w:r>
      <w:r w:rsidR="007A4FA0">
        <w:rPr>
          <w:rFonts w:ascii="Times New Roman" w:hAnsi="Times New Roman" w:cs="Times New Roman"/>
          <w:sz w:val="28"/>
          <w:szCs w:val="28"/>
        </w:rPr>
        <w:t>13</w:t>
      </w:r>
      <w:r>
        <w:rPr>
          <w:rFonts w:ascii="Times New Roman" w:hAnsi="Times New Roman" w:cs="Times New Roman"/>
          <w:sz w:val="28"/>
          <w:szCs w:val="28"/>
        </w:rPr>
        <w:t xml:space="preserve"> -</w:t>
      </w:r>
      <w:r w:rsidRPr="004804AA">
        <w:rPr>
          <w:rFonts w:ascii="Times New Roman" w:hAnsi="Times New Roman" w:cs="Times New Roman"/>
          <w:sz w:val="28"/>
          <w:szCs w:val="28"/>
        </w:rPr>
        <w:t xml:space="preserve"> Структура и распространенность </w:t>
      </w:r>
      <w:r>
        <w:rPr>
          <w:rFonts w:ascii="Times New Roman" w:hAnsi="Times New Roman" w:cs="Times New Roman"/>
          <w:sz w:val="28"/>
          <w:szCs w:val="28"/>
        </w:rPr>
        <w:t xml:space="preserve">всех видов </w:t>
      </w:r>
      <w:r w:rsidRPr="004804AA">
        <w:rPr>
          <w:rFonts w:ascii="Times New Roman" w:hAnsi="Times New Roman" w:cs="Times New Roman"/>
          <w:sz w:val="28"/>
          <w:szCs w:val="28"/>
        </w:rPr>
        <w:t xml:space="preserve">нарушений рефракции среди учащихся </w:t>
      </w:r>
      <w:r>
        <w:rPr>
          <w:rFonts w:ascii="Times New Roman" w:hAnsi="Times New Roman" w:cs="Times New Roman"/>
          <w:sz w:val="28"/>
          <w:szCs w:val="28"/>
        </w:rPr>
        <w:t xml:space="preserve">1, 5 и 9 классов гимназических </w:t>
      </w:r>
      <w:r w:rsidR="00FD7AC5" w:rsidRPr="004804AA">
        <w:rPr>
          <w:rFonts w:ascii="Times New Roman" w:hAnsi="Times New Roman" w:cs="Times New Roman"/>
          <w:sz w:val="28"/>
          <w:szCs w:val="28"/>
        </w:rPr>
        <w:t xml:space="preserve">школ </w:t>
      </w:r>
      <w:r w:rsidRPr="004804AA">
        <w:rPr>
          <w:rFonts w:ascii="Times New Roman" w:hAnsi="Times New Roman" w:cs="Times New Roman"/>
          <w:sz w:val="28"/>
          <w:szCs w:val="28"/>
        </w:rPr>
        <w:t>(</w:t>
      </w:r>
      <w:r>
        <w:rPr>
          <w:rFonts w:ascii="Times New Roman" w:hAnsi="Times New Roman" w:cs="Times New Roman"/>
          <w:sz w:val="28"/>
          <w:szCs w:val="28"/>
          <w:lang w:val="en-US"/>
        </w:rPr>
        <w:t>N</w:t>
      </w:r>
      <w:r w:rsidRPr="004804AA">
        <w:rPr>
          <w:rFonts w:ascii="Times New Roman" w:hAnsi="Times New Roman" w:cs="Times New Roman"/>
          <w:sz w:val="28"/>
          <w:szCs w:val="28"/>
        </w:rPr>
        <w:t xml:space="preserve"> = 1062)</w:t>
      </w:r>
      <w:r>
        <w:rPr>
          <w:rFonts w:ascii="Times New Roman" w:hAnsi="Times New Roman" w:cs="Times New Roman"/>
          <w:sz w:val="28"/>
          <w:szCs w:val="28"/>
        </w:rPr>
        <w:t xml:space="preserve"> </w:t>
      </w:r>
    </w:p>
    <w:p w14:paraId="2F51F316" w14:textId="77777777" w:rsidR="002E7378" w:rsidRDefault="002E7378" w:rsidP="002E7378">
      <w:pPr>
        <w:spacing w:after="0" w:line="240" w:lineRule="auto"/>
        <w:ind w:firstLine="709"/>
        <w:jc w:val="both"/>
        <w:rPr>
          <w:rFonts w:ascii="Times New Roman" w:hAnsi="Times New Roman" w:cs="Times New Roman"/>
          <w:sz w:val="28"/>
          <w:szCs w:val="28"/>
        </w:rPr>
      </w:pPr>
    </w:p>
    <w:tbl>
      <w:tblPr>
        <w:tblW w:w="14033" w:type="dxa"/>
        <w:jc w:val="center"/>
        <w:tblLayout w:type="fixed"/>
        <w:tblLook w:val="04A0" w:firstRow="1" w:lastRow="0" w:firstColumn="1" w:lastColumn="0" w:noHBand="0" w:noVBand="1"/>
      </w:tblPr>
      <w:tblGrid>
        <w:gridCol w:w="1701"/>
        <w:gridCol w:w="992"/>
        <w:gridCol w:w="988"/>
        <w:gridCol w:w="1559"/>
        <w:gridCol w:w="714"/>
        <w:gridCol w:w="992"/>
        <w:gridCol w:w="1559"/>
        <w:gridCol w:w="709"/>
        <w:gridCol w:w="992"/>
        <w:gridCol w:w="1559"/>
        <w:gridCol w:w="993"/>
        <w:gridCol w:w="1275"/>
      </w:tblGrid>
      <w:tr w:rsidR="00DC2EA9" w:rsidRPr="0029542A" w14:paraId="43E35EBA" w14:textId="65698440" w:rsidTr="007D6300">
        <w:trPr>
          <w:trHeight w:val="301"/>
          <w:jc w:val="center"/>
        </w:trPr>
        <w:tc>
          <w:tcPr>
            <w:tcW w:w="1701" w:type="dxa"/>
            <w:vMerge w:val="restart"/>
            <w:tcBorders>
              <w:top w:val="single" w:sz="4" w:space="0" w:color="auto"/>
              <w:left w:val="single" w:sz="4" w:space="0" w:color="auto"/>
              <w:right w:val="single" w:sz="4" w:space="0" w:color="auto"/>
            </w:tcBorders>
            <w:shd w:val="clear" w:color="auto" w:fill="auto"/>
            <w:noWrap/>
            <w:vAlign w:val="bottom"/>
          </w:tcPr>
          <w:p w14:paraId="0C27181F" w14:textId="77777777" w:rsidR="00DC2EA9" w:rsidRPr="0029542A" w:rsidRDefault="00DC2EA9" w:rsidP="0029542A">
            <w:pPr>
              <w:spacing w:after="0" w:line="240" w:lineRule="auto"/>
              <w:rPr>
                <w:rFonts w:ascii="Times New Roman" w:hAnsi="Times New Roman" w:cs="Times New Roman"/>
              </w:rPr>
            </w:pPr>
            <w:r w:rsidRPr="0029542A">
              <w:rPr>
                <w:rFonts w:ascii="Times New Roman" w:hAnsi="Times New Roman" w:cs="Times New Roman"/>
              </w:rPr>
              <w:t> </w:t>
            </w:r>
          </w:p>
        </w:tc>
        <w:tc>
          <w:tcPr>
            <w:tcW w:w="3539" w:type="dxa"/>
            <w:gridSpan w:val="3"/>
            <w:tcBorders>
              <w:top w:val="single" w:sz="4" w:space="0" w:color="auto"/>
              <w:left w:val="single" w:sz="4" w:space="0" w:color="auto"/>
              <w:bottom w:val="single" w:sz="4" w:space="0" w:color="auto"/>
              <w:right w:val="single" w:sz="4" w:space="0" w:color="auto"/>
            </w:tcBorders>
            <w:vAlign w:val="center"/>
          </w:tcPr>
          <w:p w14:paraId="42D2D571"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lang w:val="en-US"/>
              </w:rPr>
              <w:t>1</w:t>
            </w:r>
            <w:r w:rsidRPr="0029542A">
              <w:rPr>
                <w:rFonts w:ascii="Times New Roman" w:hAnsi="Times New Roman" w:cs="Times New Roman"/>
                <w:bCs/>
              </w:rPr>
              <w:t>-ые</w:t>
            </w:r>
            <w:r w:rsidRPr="0029542A">
              <w:rPr>
                <w:rFonts w:ascii="Times New Roman" w:hAnsi="Times New Roman" w:cs="Times New Roman"/>
                <w:bCs/>
                <w:lang w:val="en-US"/>
              </w:rPr>
              <w:t xml:space="preserve"> </w:t>
            </w:r>
            <w:r w:rsidRPr="0029542A">
              <w:rPr>
                <w:rFonts w:ascii="Times New Roman" w:hAnsi="Times New Roman" w:cs="Times New Roman"/>
                <w:bCs/>
              </w:rPr>
              <w:t>классы</w:t>
            </w:r>
          </w:p>
          <w:p w14:paraId="5E70DCAF" w14:textId="2D531EBA"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r w:rsidRPr="0029542A">
              <w:rPr>
                <w:rFonts w:ascii="Times New Roman" w:hAnsi="Times New Roman" w:cs="Times New Roman"/>
              </w:rPr>
              <w:t>n = 356</w:t>
            </w:r>
            <w:r w:rsidRPr="0029542A">
              <w:rPr>
                <w:rFonts w:ascii="Times New Roman" w:hAnsi="Times New Roman" w:cs="Times New Roman"/>
                <w:bCs/>
              </w:rPr>
              <w:t>)</w:t>
            </w:r>
          </w:p>
        </w:tc>
        <w:tc>
          <w:tcPr>
            <w:tcW w:w="3265" w:type="dxa"/>
            <w:gridSpan w:val="3"/>
            <w:tcBorders>
              <w:top w:val="single" w:sz="4" w:space="0" w:color="auto"/>
              <w:left w:val="single" w:sz="4" w:space="0" w:color="auto"/>
              <w:bottom w:val="single" w:sz="4" w:space="0" w:color="auto"/>
              <w:right w:val="single" w:sz="4" w:space="0" w:color="auto"/>
            </w:tcBorders>
            <w:vAlign w:val="center"/>
          </w:tcPr>
          <w:p w14:paraId="1F903C2D"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5-ые классы</w:t>
            </w:r>
          </w:p>
          <w:p w14:paraId="110C9929" w14:textId="7B61483C"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r w:rsidRPr="0029542A">
              <w:rPr>
                <w:rFonts w:ascii="Times New Roman" w:hAnsi="Times New Roman" w:cs="Times New Roman"/>
              </w:rPr>
              <w:t>n = 366</w:t>
            </w:r>
            <w:r w:rsidRPr="0029542A">
              <w:rPr>
                <w:rFonts w:ascii="Times New Roman" w:hAnsi="Times New Roman" w:cs="Times New Roman"/>
                <w:bCs/>
              </w:rPr>
              <w:t>)</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6B05C98A"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9-ые классы</w:t>
            </w:r>
          </w:p>
          <w:p w14:paraId="48FB80F3" w14:textId="5811AED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r w:rsidRPr="0029542A">
              <w:rPr>
                <w:rFonts w:ascii="Times New Roman" w:hAnsi="Times New Roman" w:cs="Times New Roman"/>
              </w:rPr>
              <w:t>n = 340</w:t>
            </w:r>
            <w:r w:rsidRPr="0029542A">
              <w:rPr>
                <w:rFonts w:ascii="Times New Roman" w:hAnsi="Times New Roman" w:cs="Times New Roman"/>
                <w:bCs/>
              </w:rPr>
              <w:t>)</w:t>
            </w:r>
          </w:p>
        </w:tc>
        <w:tc>
          <w:tcPr>
            <w:tcW w:w="993" w:type="dxa"/>
            <w:vMerge w:val="restart"/>
            <w:tcBorders>
              <w:top w:val="single" w:sz="4" w:space="0" w:color="auto"/>
              <w:left w:val="single" w:sz="4" w:space="0" w:color="auto"/>
              <w:right w:val="single" w:sz="4" w:space="0" w:color="auto"/>
            </w:tcBorders>
            <w:vAlign w:val="center"/>
          </w:tcPr>
          <w:p w14:paraId="4BEE2CB8" w14:textId="3D9D7376"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rPr>
              <w:t>χ</w:t>
            </w:r>
            <w:r w:rsidRPr="0029542A">
              <w:rPr>
                <w:rFonts w:ascii="Times New Roman" w:hAnsi="Times New Roman" w:cs="Times New Roman"/>
                <w:vertAlign w:val="superscript"/>
              </w:rPr>
              <w:t>2</w:t>
            </w:r>
          </w:p>
        </w:tc>
        <w:tc>
          <w:tcPr>
            <w:tcW w:w="1275" w:type="dxa"/>
            <w:vMerge w:val="restart"/>
            <w:tcBorders>
              <w:top w:val="single" w:sz="4" w:space="0" w:color="auto"/>
              <w:left w:val="single" w:sz="4" w:space="0" w:color="auto"/>
              <w:right w:val="single" w:sz="4" w:space="0" w:color="auto"/>
            </w:tcBorders>
            <w:vAlign w:val="center"/>
          </w:tcPr>
          <w:p w14:paraId="1C036E9C" w14:textId="5C6343B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lang w:val="en-US"/>
              </w:rPr>
              <w:t>p-value</w:t>
            </w:r>
            <w:r w:rsidRPr="0029542A">
              <w:rPr>
                <w:rFonts w:ascii="Times New Roman" w:hAnsi="Times New Roman" w:cs="Times New Roman"/>
                <w:bCs/>
                <w:vertAlign w:val="superscript"/>
                <w:lang w:val="en-US"/>
              </w:rPr>
              <w:t>1</w:t>
            </w:r>
          </w:p>
        </w:tc>
      </w:tr>
      <w:tr w:rsidR="00DC2EA9" w:rsidRPr="0029542A" w14:paraId="52250BFE" w14:textId="4AB7049A" w:rsidTr="007D6300">
        <w:trPr>
          <w:trHeight w:val="301"/>
          <w:jc w:val="center"/>
        </w:trPr>
        <w:tc>
          <w:tcPr>
            <w:tcW w:w="1701" w:type="dxa"/>
            <w:vMerge/>
            <w:tcBorders>
              <w:left w:val="single" w:sz="4" w:space="0" w:color="auto"/>
              <w:bottom w:val="single" w:sz="4" w:space="0" w:color="auto"/>
              <w:right w:val="single" w:sz="4" w:space="0" w:color="auto"/>
            </w:tcBorders>
            <w:shd w:val="clear" w:color="auto" w:fill="auto"/>
            <w:noWrap/>
            <w:vAlign w:val="bottom"/>
            <w:hideMark/>
          </w:tcPr>
          <w:p w14:paraId="04B5CBDB" w14:textId="77777777" w:rsidR="00DC2EA9" w:rsidRPr="0029542A" w:rsidRDefault="00DC2EA9" w:rsidP="00DB4E38">
            <w:pPr>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701DBBB" w14:textId="77777777" w:rsidR="00DC2EA9" w:rsidRPr="0029542A" w:rsidRDefault="00DC2EA9" w:rsidP="00DB4E38">
            <w:pPr>
              <w:spacing w:after="0" w:line="240" w:lineRule="auto"/>
              <w:jc w:val="center"/>
              <w:rPr>
                <w:rFonts w:ascii="Times New Roman" w:hAnsi="Times New Roman" w:cs="Times New Roman"/>
                <w:bCs/>
              </w:rPr>
            </w:pPr>
            <w:r w:rsidRPr="0029542A">
              <w:rPr>
                <w:rFonts w:ascii="Times New Roman" w:hAnsi="Times New Roman" w:cs="Times New Roman"/>
                <w:bCs/>
              </w:rPr>
              <w:t>n</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D575F1C"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6736DCFB" w14:textId="65579E3D"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color w:val="000000"/>
                <w:spacing w:val="-2"/>
              </w:rPr>
              <w:t>95% ДИ</w:t>
            </w:r>
            <w:r w:rsidRPr="0029542A">
              <w:rPr>
                <w:rFonts w:ascii="Times New Roman" w:hAnsi="Times New Roman" w:cs="Times New Roman"/>
                <w:color w:val="000000"/>
                <w:spacing w:val="-2"/>
                <w:vertAlign w:val="superscript"/>
                <w:lang w:val="en-US"/>
              </w:rPr>
              <w:t>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B519B16" w14:textId="2ACF2122"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n</w:t>
            </w:r>
          </w:p>
        </w:tc>
        <w:tc>
          <w:tcPr>
            <w:tcW w:w="992" w:type="dxa"/>
            <w:tcBorders>
              <w:top w:val="single" w:sz="4" w:space="0" w:color="auto"/>
              <w:left w:val="single" w:sz="4" w:space="0" w:color="auto"/>
              <w:bottom w:val="single" w:sz="4" w:space="0" w:color="auto"/>
              <w:right w:val="single" w:sz="4" w:space="0" w:color="auto"/>
            </w:tcBorders>
            <w:vAlign w:val="center"/>
          </w:tcPr>
          <w:p w14:paraId="64B79439"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12195B7E" w14:textId="6D5E687E"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color w:val="000000"/>
                <w:spacing w:val="-2"/>
              </w:rPr>
              <w:t>95% ДИ</w:t>
            </w:r>
            <w:r w:rsidRPr="0029542A">
              <w:rPr>
                <w:rFonts w:ascii="Times New Roman" w:hAnsi="Times New Roman" w:cs="Times New Roman"/>
                <w:color w:val="000000"/>
                <w:spacing w:val="-2"/>
                <w:vertAlign w:val="superscript"/>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14:paraId="4E7F30B8" w14:textId="2B5C619C"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n</w:t>
            </w:r>
          </w:p>
        </w:tc>
        <w:tc>
          <w:tcPr>
            <w:tcW w:w="992" w:type="dxa"/>
            <w:tcBorders>
              <w:top w:val="single" w:sz="4" w:space="0" w:color="auto"/>
              <w:left w:val="single" w:sz="4" w:space="0" w:color="auto"/>
              <w:bottom w:val="single" w:sz="4" w:space="0" w:color="auto"/>
              <w:right w:val="single" w:sz="4" w:space="0" w:color="auto"/>
            </w:tcBorders>
            <w:vAlign w:val="center"/>
          </w:tcPr>
          <w:p w14:paraId="007CE335" w14:textId="77777777"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bCs/>
              </w:rPr>
              <w:t>%</w:t>
            </w:r>
          </w:p>
        </w:tc>
        <w:tc>
          <w:tcPr>
            <w:tcW w:w="1559" w:type="dxa"/>
            <w:tcBorders>
              <w:top w:val="single" w:sz="4" w:space="0" w:color="auto"/>
              <w:left w:val="single" w:sz="4" w:space="0" w:color="auto"/>
              <w:bottom w:val="single" w:sz="4" w:space="0" w:color="auto"/>
              <w:right w:val="single" w:sz="4" w:space="0" w:color="auto"/>
            </w:tcBorders>
            <w:vAlign w:val="center"/>
          </w:tcPr>
          <w:p w14:paraId="46AD6894" w14:textId="59DB9DE9" w:rsidR="00DC2EA9" w:rsidRPr="0029542A" w:rsidRDefault="00DC2EA9" w:rsidP="00572437">
            <w:pPr>
              <w:spacing w:after="0" w:line="240" w:lineRule="auto"/>
              <w:jc w:val="center"/>
              <w:rPr>
                <w:rFonts w:ascii="Times New Roman" w:hAnsi="Times New Roman" w:cs="Times New Roman"/>
                <w:bCs/>
              </w:rPr>
            </w:pPr>
            <w:r w:rsidRPr="0029542A">
              <w:rPr>
                <w:rFonts w:ascii="Times New Roman" w:hAnsi="Times New Roman" w:cs="Times New Roman"/>
                <w:color w:val="000000"/>
                <w:spacing w:val="-2"/>
              </w:rPr>
              <w:t>95% ДИ</w:t>
            </w:r>
            <w:r w:rsidRPr="0029542A">
              <w:rPr>
                <w:rFonts w:ascii="Times New Roman" w:hAnsi="Times New Roman" w:cs="Times New Roman"/>
                <w:color w:val="000000"/>
                <w:spacing w:val="-2"/>
                <w:vertAlign w:val="superscript"/>
                <w:lang w:val="en-US"/>
              </w:rPr>
              <w:t>2</w:t>
            </w:r>
          </w:p>
        </w:tc>
        <w:tc>
          <w:tcPr>
            <w:tcW w:w="993" w:type="dxa"/>
            <w:vMerge/>
            <w:tcBorders>
              <w:left w:val="single" w:sz="4" w:space="0" w:color="auto"/>
              <w:bottom w:val="single" w:sz="4" w:space="0" w:color="auto"/>
              <w:right w:val="single" w:sz="4" w:space="0" w:color="auto"/>
            </w:tcBorders>
            <w:vAlign w:val="center"/>
          </w:tcPr>
          <w:p w14:paraId="42A8443F" w14:textId="77777777" w:rsidR="00DC2EA9" w:rsidRPr="0029542A" w:rsidRDefault="00DC2EA9" w:rsidP="00572437">
            <w:pPr>
              <w:spacing w:after="0" w:line="240" w:lineRule="auto"/>
              <w:jc w:val="center"/>
              <w:rPr>
                <w:rFonts w:ascii="Times New Roman" w:hAnsi="Times New Roman" w:cs="Times New Roman"/>
                <w:bCs/>
              </w:rPr>
            </w:pPr>
          </w:p>
        </w:tc>
        <w:tc>
          <w:tcPr>
            <w:tcW w:w="1275" w:type="dxa"/>
            <w:vMerge/>
            <w:tcBorders>
              <w:left w:val="single" w:sz="4" w:space="0" w:color="auto"/>
              <w:bottom w:val="single" w:sz="4" w:space="0" w:color="auto"/>
              <w:right w:val="single" w:sz="4" w:space="0" w:color="auto"/>
            </w:tcBorders>
            <w:vAlign w:val="center"/>
          </w:tcPr>
          <w:p w14:paraId="6A386F0B" w14:textId="77777777" w:rsidR="00DC2EA9" w:rsidRPr="0029542A" w:rsidRDefault="00DC2EA9" w:rsidP="00572437">
            <w:pPr>
              <w:spacing w:after="0" w:line="240" w:lineRule="auto"/>
              <w:jc w:val="center"/>
              <w:rPr>
                <w:rFonts w:ascii="Times New Roman" w:hAnsi="Times New Roman" w:cs="Times New Roman"/>
                <w:bCs/>
              </w:rPr>
            </w:pPr>
          </w:p>
        </w:tc>
      </w:tr>
      <w:tr w:rsidR="0029542A" w:rsidRPr="0029542A" w14:paraId="45411CF9" w14:textId="1208F6CE"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01C3" w14:textId="77777777" w:rsidR="0029542A" w:rsidRPr="0029542A" w:rsidRDefault="0029542A" w:rsidP="00572437">
            <w:pPr>
              <w:spacing w:after="0" w:line="240" w:lineRule="auto"/>
              <w:rPr>
                <w:rFonts w:ascii="Times New Roman" w:hAnsi="Times New Roman" w:cs="Times New Roman"/>
                <w:bCs/>
                <w:color w:val="000000"/>
                <w:spacing w:val="-2"/>
              </w:rPr>
            </w:pPr>
            <w:r w:rsidRPr="0029542A">
              <w:rPr>
                <w:rFonts w:ascii="Times New Roman" w:hAnsi="Times New Roman" w:cs="Times New Roman"/>
                <w:bCs/>
                <w:color w:val="000000"/>
                <w:spacing w:val="-2"/>
              </w:rPr>
              <w:t>Эмметропия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3CCCD25" w14:textId="77777777" w:rsidR="0029542A" w:rsidRPr="0029542A" w:rsidRDefault="0029542A" w:rsidP="0029542A">
            <w:pPr>
              <w:spacing w:after="0" w:line="240" w:lineRule="auto"/>
              <w:jc w:val="center"/>
              <w:rPr>
                <w:rFonts w:ascii="Times New Roman" w:hAnsi="Times New Roman" w:cs="Times New Roman"/>
              </w:rPr>
            </w:pPr>
            <w:r w:rsidRPr="0029542A">
              <w:rPr>
                <w:rFonts w:ascii="Times New Roman" w:hAnsi="Times New Roman" w:cs="Times New Roman"/>
              </w:rPr>
              <w:t>282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2E701CD" w14:textId="77777777"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rPr>
              <w:t>79,2%</w:t>
            </w:r>
          </w:p>
        </w:tc>
        <w:tc>
          <w:tcPr>
            <w:tcW w:w="1559" w:type="dxa"/>
            <w:tcBorders>
              <w:top w:val="single" w:sz="4" w:space="0" w:color="auto"/>
              <w:left w:val="single" w:sz="4" w:space="0" w:color="auto"/>
              <w:bottom w:val="single" w:sz="4" w:space="0" w:color="auto"/>
              <w:right w:val="single" w:sz="4" w:space="0" w:color="auto"/>
            </w:tcBorders>
            <w:vAlign w:val="center"/>
          </w:tcPr>
          <w:p w14:paraId="2C4603EB" w14:textId="3AF8CFDF"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74,98-83,42%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142BD02" w14:textId="3EC87BE6"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rPr>
              <w:t>253</w:t>
            </w:r>
          </w:p>
        </w:tc>
        <w:tc>
          <w:tcPr>
            <w:tcW w:w="992" w:type="dxa"/>
            <w:tcBorders>
              <w:top w:val="single" w:sz="4" w:space="0" w:color="auto"/>
              <w:left w:val="single" w:sz="4" w:space="0" w:color="auto"/>
              <w:bottom w:val="single" w:sz="4" w:space="0" w:color="auto"/>
              <w:right w:val="single" w:sz="4" w:space="0" w:color="auto"/>
            </w:tcBorders>
            <w:vAlign w:val="center"/>
          </w:tcPr>
          <w:p w14:paraId="6859D495" w14:textId="77777777"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rPr>
              <w:t>69,1%</w:t>
            </w:r>
          </w:p>
        </w:tc>
        <w:tc>
          <w:tcPr>
            <w:tcW w:w="1559" w:type="dxa"/>
            <w:tcBorders>
              <w:top w:val="single" w:sz="4" w:space="0" w:color="auto"/>
              <w:left w:val="single" w:sz="4" w:space="0" w:color="auto"/>
              <w:bottom w:val="single" w:sz="4" w:space="0" w:color="auto"/>
              <w:right w:val="single" w:sz="4" w:space="0" w:color="auto"/>
            </w:tcBorders>
            <w:vAlign w:val="center"/>
          </w:tcPr>
          <w:p w14:paraId="77ED669E" w14:textId="75A77FA2"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64,37-73,83%</w:t>
            </w:r>
          </w:p>
        </w:tc>
        <w:tc>
          <w:tcPr>
            <w:tcW w:w="709" w:type="dxa"/>
            <w:tcBorders>
              <w:top w:val="single" w:sz="4" w:space="0" w:color="auto"/>
              <w:left w:val="single" w:sz="4" w:space="0" w:color="auto"/>
              <w:bottom w:val="single" w:sz="4" w:space="0" w:color="auto"/>
              <w:right w:val="single" w:sz="4" w:space="0" w:color="auto"/>
            </w:tcBorders>
            <w:vAlign w:val="center"/>
          </w:tcPr>
          <w:p w14:paraId="47938F04" w14:textId="71D79EA0"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rPr>
              <w:t>187</w:t>
            </w:r>
          </w:p>
        </w:tc>
        <w:tc>
          <w:tcPr>
            <w:tcW w:w="992" w:type="dxa"/>
            <w:tcBorders>
              <w:top w:val="single" w:sz="4" w:space="0" w:color="auto"/>
              <w:left w:val="single" w:sz="4" w:space="0" w:color="auto"/>
              <w:bottom w:val="single" w:sz="4" w:space="0" w:color="auto"/>
              <w:right w:val="single" w:sz="4" w:space="0" w:color="auto"/>
            </w:tcBorders>
            <w:vAlign w:val="center"/>
          </w:tcPr>
          <w:p w14:paraId="02E278CE" w14:textId="77777777"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rPr>
              <w:t>55,0%</w:t>
            </w:r>
          </w:p>
        </w:tc>
        <w:tc>
          <w:tcPr>
            <w:tcW w:w="1559" w:type="dxa"/>
            <w:tcBorders>
              <w:top w:val="single" w:sz="4" w:space="0" w:color="auto"/>
              <w:left w:val="single" w:sz="4" w:space="0" w:color="auto"/>
              <w:bottom w:val="single" w:sz="4" w:space="0" w:color="auto"/>
              <w:right w:val="single" w:sz="4" w:space="0" w:color="auto"/>
            </w:tcBorders>
            <w:vAlign w:val="center"/>
          </w:tcPr>
          <w:p w14:paraId="47ADA9C5" w14:textId="1D36E0C3" w:rsidR="0029542A" w:rsidRPr="0029542A" w:rsidRDefault="0029542A"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49,71-60,29%</w:t>
            </w:r>
          </w:p>
        </w:tc>
        <w:tc>
          <w:tcPr>
            <w:tcW w:w="993" w:type="dxa"/>
            <w:tcBorders>
              <w:top w:val="single" w:sz="4" w:space="0" w:color="auto"/>
              <w:left w:val="single" w:sz="4" w:space="0" w:color="auto"/>
              <w:bottom w:val="single" w:sz="4" w:space="0" w:color="auto"/>
              <w:right w:val="single" w:sz="4" w:space="0" w:color="auto"/>
            </w:tcBorders>
            <w:vAlign w:val="center"/>
          </w:tcPr>
          <w:p w14:paraId="0AD7568B" w14:textId="4FA924D8" w:rsidR="0029542A" w:rsidRPr="0029542A" w:rsidRDefault="0029542A" w:rsidP="00572437">
            <w:pPr>
              <w:spacing w:after="0" w:line="240"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14:paraId="7CF0EF56" w14:textId="1FB075EF" w:rsidR="0029542A" w:rsidRPr="0029542A" w:rsidRDefault="0029542A" w:rsidP="00572437">
            <w:pPr>
              <w:spacing w:after="0" w:line="240" w:lineRule="auto"/>
              <w:jc w:val="center"/>
              <w:rPr>
                <w:rFonts w:ascii="Times New Roman" w:hAnsi="Times New Roman" w:cs="Times New Roman"/>
              </w:rPr>
            </w:pPr>
          </w:p>
        </w:tc>
      </w:tr>
      <w:tr w:rsidR="001C5E45" w:rsidRPr="0029542A" w14:paraId="6303623F" w14:textId="421AA06A" w:rsidTr="00186A67">
        <w:trPr>
          <w:trHeight w:val="57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167C1" w14:textId="77777777" w:rsidR="001C5E45" w:rsidRPr="0029542A" w:rsidRDefault="001C5E45" w:rsidP="00572437">
            <w:pPr>
              <w:spacing w:after="0" w:line="240" w:lineRule="auto"/>
              <w:rPr>
                <w:rFonts w:ascii="Times New Roman" w:hAnsi="Times New Roman" w:cs="Times New Roman"/>
                <w:bCs/>
                <w:color w:val="000000"/>
                <w:spacing w:val="-2"/>
              </w:rPr>
            </w:pPr>
            <w:r w:rsidRPr="0029542A">
              <w:rPr>
                <w:rFonts w:ascii="Times New Roman" w:hAnsi="Times New Roman" w:cs="Times New Roman"/>
                <w:bCs/>
                <w:color w:val="000000"/>
                <w:spacing w:val="-2"/>
              </w:rPr>
              <w:t>Нарушения рефракции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2F0680" w14:textId="77777777" w:rsidR="001C5E45" w:rsidRPr="0029542A" w:rsidRDefault="001C5E45" w:rsidP="00186A67">
            <w:pPr>
              <w:spacing w:after="0" w:line="240" w:lineRule="auto"/>
              <w:jc w:val="center"/>
              <w:rPr>
                <w:rFonts w:ascii="Times New Roman" w:hAnsi="Times New Roman" w:cs="Times New Roman"/>
              </w:rPr>
            </w:pPr>
            <w:r w:rsidRPr="0029542A">
              <w:rPr>
                <w:rFonts w:ascii="Times New Roman" w:hAnsi="Times New Roman" w:cs="Times New Roman"/>
              </w:rPr>
              <w:t>74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2195DE6"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20,8%</w:t>
            </w:r>
          </w:p>
        </w:tc>
        <w:tc>
          <w:tcPr>
            <w:tcW w:w="1559" w:type="dxa"/>
            <w:tcBorders>
              <w:top w:val="single" w:sz="4" w:space="0" w:color="auto"/>
              <w:left w:val="single" w:sz="4" w:space="0" w:color="auto"/>
              <w:bottom w:val="single" w:sz="4" w:space="0" w:color="auto"/>
              <w:right w:val="single" w:sz="4" w:space="0" w:color="auto"/>
            </w:tcBorders>
            <w:vAlign w:val="center"/>
          </w:tcPr>
          <w:p w14:paraId="4A5DDE09" w14:textId="764B76CC"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16,58-25,02%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0C801842" w14:textId="15110E4A"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113</w:t>
            </w:r>
          </w:p>
        </w:tc>
        <w:tc>
          <w:tcPr>
            <w:tcW w:w="992" w:type="dxa"/>
            <w:tcBorders>
              <w:top w:val="single" w:sz="4" w:space="0" w:color="auto"/>
              <w:left w:val="single" w:sz="4" w:space="0" w:color="auto"/>
              <w:bottom w:val="single" w:sz="4" w:space="0" w:color="auto"/>
              <w:right w:val="single" w:sz="4" w:space="0" w:color="auto"/>
            </w:tcBorders>
            <w:vAlign w:val="center"/>
          </w:tcPr>
          <w:p w14:paraId="292F46C3"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30,9%</w:t>
            </w:r>
          </w:p>
        </w:tc>
        <w:tc>
          <w:tcPr>
            <w:tcW w:w="1559" w:type="dxa"/>
            <w:tcBorders>
              <w:top w:val="single" w:sz="4" w:space="0" w:color="auto"/>
              <w:left w:val="single" w:sz="4" w:space="0" w:color="auto"/>
              <w:bottom w:val="single" w:sz="4" w:space="0" w:color="auto"/>
              <w:right w:val="single" w:sz="4" w:space="0" w:color="auto"/>
            </w:tcBorders>
            <w:vAlign w:val="center"/>
          </w:tcPr>
          <w:p w14:paraId="711CD196" w14:textId="35D861E3"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26,17-35,63%</w:t>
            </w:r>
          </w:p>
        </w:tc>
        <w:tc>
          <w:tcPr>
            <w:tcW w:w="709" w:type="dxa"/>
            <w:tcBorders>
              <w:top w:val="single" w:sz="4" w:space="0" w:color="auto"/>
              <w:left w:val="single" w:sz="4" w:space="0" w:color="auto"/>
              <w:bottom w:val="single" w:sz="4" w:space="0" w:color="auto"/>
              <w:right w:val="single" w:sz="4" w:space="0" w:color="auto"/>
            </w:tcBorders>
            <w:vAlign w:val="center"/>
          </w:tcPr>
          <w:p w14:paraId="08341159" w14:textId="6986BD6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153</w:t>
            </w:r>
          </w:p>
        </w:tc>
        <w:tc>
          <w:tcPr>
            <w:tcW w:w="992" w:type="dxa"/>
            <w:tcBorders>
              <w:top w:val="single" w:sz="4" w:space="0" w:color="auto"/>
              <w:left w:val="single" w:sz="4" w:space="0" w:color="auto"/>
              <w:bottom w:val="single" w:sz="4" w:space="0" w:color="auto"/>
              <w:right w:val="single" w:sz="4" w:space="0" w:color="auto"/>
            </w:tcBorders>
            <w:vAlign w:val="center"/>
          </w:tcPr>
          <w:p w14:paraId="508A4199"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59DBC2E1" w14:textId="5D596770"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39,71-50,29%</w:t>
            </w:r>
          </w:p>
        </w:tc>
        <w:tc>
          <w:tcPr>
            <w:tcW w:w="993" w:type="dxa"/>
            <w:tcBorders>
              <w:top w:val="single" w:sz="4" w:space="0" w:color="auto"/>
              <w:left w:val="single" w:sz="4" w:space="0" w:color="auto"/>
              <w:bottom w:val="single" w:sz="4" w:space="0" w:color="auto"/>
              <w:right w:val="single" w:sz="4" w:space="0" w:color="auto"/>
            </w:tcBorders>
            <w:vAlign w:val="center"/>
          </w:tcPr>
          <w:p w14:paraId="17E3B42B" w14:textId="743F50C5"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47,179</w:t>
            </w:r>
          </w:p>
        </w:tc>
        <w:tc>
          <w:tcPr>
            <w:tcW w:w="1275" w:type="dxa"/>
            <w:tcBorders>
              <w:top w:val="single" w:sz="4" w:space="0" w:color="auto"/>
              <w:left w:val="single" w:sz="4" w:space="0" w:color="auto"/>
              <w:bottom w:val="single" w:sz="4" w:space="0" w:color="auto"/>
              <w:right w:val="single" w:sz="4" w:space="0" w:color="auto"/>
            </w:tcBorders>
            <w:vAlign w:val="center"/>
          </w:tcPr>
          <w:p w14:paraId="1288EB30" w14:textId="3C0A87AF" w:rsidR="001C5E45" w:rsidRPr="0029542A" w:rsidRDefault="001C5E45" w:rsidP="00572437">
            <w:pPr>
              <w:spacing w:after="0" w:line="240" w:lineRule="auto"/>
              <w:jc w:val="center"/>
              <w:rPr>
                <w:rFonts w:ascii="Times New Roman" w:hAnsi="Times New Roman" w:cs="Times New Roman"/>
              </w:rPr>
            </w:pPr>
            <w:r w:rsidRPr="007F5F9D">
              <w:rPr>
                <w:rFonts w:ascii="Times New Roman" w:hAnsi="Times New Roman" w:cs="Times New Roman"/>
                <w:color w:val="000000" w:themeColor="text1"/>
              </w:rPr>
              <w:t>&lt;0,001</w:t>
            </w:r>
          </w:p>
        </w:tc>
      </w:tr>
      <w:tr w:rsidR="001C5E45" w:rsidRPr="0029542A" w14:paraId="00702D50" w14:textId="29B33A66"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CF8A9" w14:textId="7675217D" w:rsidR="001C5E45" w:rsidRPr="0029542A" w:rsidRDefault="001C5E45" w:rsidP="00572437">
            <w:pPr>
              <w:spacing w:after="0" w:line="240" w:lineRule="auto"/>
              <w:rPr>
                <w:rFonts w:ascii="Times New Roman" w:hAnsi="Times New Roman" w:cs="Times New Roman"/>
                <w:bCs/>
                <w:color w:val="000000"/>
                <w:spacing w:val="-2"/>
              </w:rPr>
            </w:pPr>
            <w:r w:rsidRPr="0029542A">
              <w:rPr>
                <w:rFonts w:ascii="Times New Roman" w:hAnsi="Times New Roman" w:cs="Times New Roman"/>
                <w:bCs/>
                <w:color w:val="000000"/>
                <w:spacing w:val="-2"/>
              </w:rPr>
              <w:t>Миопия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C8592A"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63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F11A8B3"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17,7%</w:t>
            </w:r>
          </w:p>
        </w:tc>
        <w:tc>
          <w:tcPr>
            <w:tcW w:w="1559" w:type="dxa"/>
            <w:tcBorders>
              <w:top w:val="single" w:sz="4" w:space="0" w:color="auto"/>
              <w:left w:val="single" w:sz="4" w:space="0" w:color="auto"/>
              <w:bottom w:val="single" w:sz="4" w:space="0" w:color="auto"/>
              <w:right w:val="single" w:sz="4" w:space="0" w:color="auto"/>
            </w:tcBorders>
            <w:vAlign w:val="center"/>
          </w:tcPr>
          <w:p w14:paraId="5E4ACE7F" w14:textId="481979AD"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13,74-21,66%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9374DF9" w14:textId="0E1BDF1B"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102</w:t>
            </w:r>
          </w:p>
        </w:tc>
        <w:tc>
          <w:tcPr>
            <w:tcW w:w="992" w:type="dxa"/>
            <w:tcBorders>
              <w:top w:val="single" w:sz="4" w:space="0" w:color="auto"/>
              <w:left w:val="single" w:sz="4" w:space="0" w:color="auto"/>
              <w:bottom w:val="single" w:sz="4" w:space="0" w:color="auto"/>
              <w:right w:val="single" w:sz="4" w:space="0" w:color="auto"/>
            </w:tcBorders>
            <w:vAlign w:val="center"/>
          </w:tcPr>
          <w:p w14:paraId="19B70DB8"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27,9%</w:t>
            </w:r>
          </w:p>
        </w:tc>
        <w:tc>
          <w:tcPr>
            <w:tcW w:w="1559" w:type="dxa"/>
            <w:tcBorders>
              <w:top w:val="single" w:sz="4" w:space="0" w:color="auto"/>
              <w:left w:val="single" w:sz="4" w:space="0" w:color="auto"/>
              <w:bottom w:val="single" w:sz="4" w:space="0" w:color="auto"/>
              <w:right w:val="single" w:sz="4" w:space="0" w:color="auto"/>
            </w:tcBorders>
            <w:vAlign w:val="center"/>
          </w:tcPr>
          <w:p w14:paraId="3DBB2484" w14:textId="49301B01"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23,31-32,49%</w:t>
            </w:r>
          </w:p>
        </w:tc>
        <w:tc>
          <w:tcPr>
            <w:tcW w:w="709" w:type="dxa"/>
            <w:tcBorders>
              <w:top w:val="single" w:sz="4" w:space="0" w:color="auto"/>
              <w:left w:val="single" w:sz="4" w:space="0" w:color="auto"/>
              <w:bottom w:val="single" w:sz="4" w:space="0" w:color="auto"/>
              <w:right w:val="single" w:sz="4" w:space="0" w:color="auto"/>
            </w:tcBorders>
            <w:vAlign w:val="center"/>
          </w:tcPr>
          <w:p w14:paraId="5C1E11B0" w14:textId="79A15808"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144</w:t>
            </w:r>
          </w:p>
        </w:tc>
        <w:tc>
          <w:tcPr>
            <w:tcW w:w="992" w:type="dxa"/>
            <w:tcBorders>
              <w:top w:val="single" w:sz="4" w:space="0" w:color="auto"/>
              <w:left w:val="single" w:sz="4" w:space="0" w:color="auto"/>
              <w:bottom w:val="single" w:sz="4" w:space="0" w:color="auto"/>
              <w:right w:val="single" w:sz="4" w:space="0" w:color="auto"/>
            </w:tcBorders>
            <w:vAlign w:val="center"/>
          </w:tcPr>
          <w:p w14:paraId="0899697A"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42,35%</w:t>
            </w:r>
          </w:p>
        </w:tc>
        <w:tc>
          <w:tcPr>
            <w:tcW w:w="1559" w:type="dxa"/>
            <w:tcBorders>
              <w:top w:val="single" w:sz="4" w:space="0" w:color="auto"/>
              <w:left w:val="single" w:sz="4" w:space="0" w:color="auto"/>
              <w:bottom w:val="single" w:sz="4" w:space="0" w:color="auto"/>
              <w:right w:val="single" w:sz="4" w:space="0" w:color="auto"/>
            </w:tcBorders>
            <w:vAlign w:val="center"/>
          </w:tcPr>
          <w:p w14:paraId="71ABD828" w14:textId="49E22248"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37,10-47,60%</w:t>
            </w:r>
          </w:p>
        </w:tc>
        <w:tc>
          <w:tcPr>
            <w:tcW w:w="993" w:type="dxa"/>
            <w:tcBorders>
              <w:top w:val="single" w:sz="4" w:space="0" w:color="auto"/>
              <w:left w:val="single" w:sz="4" w:space="0" w:color="auto"/>
              <w:bottom w:val="single" w:sz="4" w:space="0" w:color="auto"/>
              <w:right w:val="single" w:sz="4" w:space="0" w:color="auto"/>
            </w:tcBorders>
            <w:vAlign w:val="center"/>
          </w:tcPr>
          <w:p w14:paraId="714F36D7" w14:textId="2255BDE1"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52,518</w:t>
            </w:r>
          </w:p>
        </w:tc>
        <w:tc>
          <w:tcPr>
            <w:tcW w:w="1275" w:type="dxa"/>
            <w:tcBorders>
              <w:top w:val="single" w:sz="4" w:space="0" w:color="auto"/>
              <w:left w:val="single" w:sz="4" w:space="0" w:color="auto"/>
              <w:bottom w:val="single" w:sz="4" w:space="0" w:color="auto"/>
              <w:right w:val="single" w:sz="4" w:space="0" w:color="auto"/>
            </w:tcBorders>
            <w:vAlign w:val="center"/>
          </w:tcPr>
          <w:p w14:paraId="5BD42A1A" w14:textId="4E622C44" w:rsidR="001C5E45" w:rsidRPr="0029542A" w:rsidRDefault="001C5E45" w:rsidP="00572437">
            <w:pPr>
              <w:spacing w:after="0" w:line="240" w:lineRule="auto"/>
              <w:jc w:val="center"/>
              <w:rPr>
                <w:rFonts w:ascii="Times New Roman" w:hAnsi="Times New Roman" w:cs="Times New Roman"/>
              </w:rPr>
            </w:pPr>
            <w:r w:rsidRPr="008E41D3">
              <w:rPr>
                <w:rFonts w:ascii="Times New Roman" w:hAnsi="Times New Roman" w:cs="Times New Roman"/>
              </w:rPr>
              <w:t>&lt;0,001</w:t>
            </w:r>
          </w:p>
        </w:tc>
      </w:tr>
      <w:tr w:rsidR="001C5E45" w:rsidRPr="0029542A" w14:paraId="10FB14E6" w14:textId="7560197C"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70E2E"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 xml:space="preserve">  слабая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357415"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54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6B31083"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85,7%</w:t>
            </w:r>
          </w:p>
        </w:tc>
        <w:tc>
          <w:tcPr>
            <w:tcW w:w="1559" w:type="dxa"/>
            <w:tcBorders>
              <w:top w:val="single" w:sz="4" w:space="0" w:color="auto"/>
              <w:left w:val="single" w:sz="4" w:space="0" w:color="auto"/>
              <w:bottom w:val="single" w:sz="4" w:space="0" w:color="auto"/>
              <w:right w:val="single" w:sz="4" w:space="0" w:color="auto"/>
            </w:tcBorders>
            <w:vAlign w:val="center"/>
          </w:tcPr>
          <w:p w14:paraId="2843695F" w14:textId="145DCE92"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77,06-94,34%</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4DF69A6" w14:textId="76E0C71C"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vAlign w:val="center"/>
          </w:tcPr>
          <w:p w14:paraId="59E4B362"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76,5%</w:t>
            </w:r>
          </w:p>
        </w:tc>
        <w:tc>
          <w:tcPr>
            <w:tcW w:w="1559" w:type="dxa"/>
            <w:tcBorders>
              <w:top w:val="single" w:sz="4" w:space="0" w:color="auto"/>
              <w:left w:val="single" w:sz="4" w:space="0" w:color="auto"/>
              <w:bottom w:val="single" w:sz="4" w:space="0" w:color="auto"/>
              <w:right w:val="single" w:sz="4" w:space="0" w:color="auto"/>
            </w:tcBorders>
            <w:vAlign w:val="center"/>
          </w:tcPr>
          <w:p w14:paraId="4A4F8B5A" w14:textId="5588D18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68,27-84,73%</w:t>
            </w:r>
          </w:p>
        </w:tc>
        <w:tc>
          <w:tcPr>
            <w:tcW w:w="709" w:type="dxa"/>
            <w:tcBorders>
              <w:top w:val="single" w:sz="4" w:space="0" w:color="auto"/>
              <w:left w:val="single" w:sz="4" w:space="0" w:color="auto"/>
              <w:bottom w:val="single" w:sz="4" w:space="0" w:color="auto"/>
              <w:right w:val="single" w:sz="4" w:space="0" w:color="auto"/>
            </w:tcBorders>
            <w:vAlign w:val="center"/>
          </w:tcPr>
          <w:p w14:paraId="076288E9" w14:textId="4F74AE4C"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A2B0F69"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69,4%</w:t>
            </w:r>
          </w:p>
        </w:tc>
        <w:tc>
          <w:tcPr>
            <w:tcW w:w="1559" w:type="dxa"/>
            <w:tcBorders>
              <w:top w:val="single" w:sz="4" w:space="0" w:color="auto"/>
              <w:left w:val="single" w:sz="4" w:space="0" w:color="auto"/>
              <w:bottom w:val="single" w:sz="4" w:space="0" w:color="auto"/>
              <w:right w:val="single" w:sz="4" w:space="0" w:color="auto"/>
            </w:tcBorders>
            <w:vAlign w:val="center"/>
          </w:tcPr>
          <w:p w14:paraId="0481D197" w14:textId="034A01E5"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61,87-76,93%</w:t>
            </w:r>
          </w:p>
        </w:tc>
        <w:tc>
          <w:tcPr>
            <w:tcW w:w="993" w:type="dxa"/>
            <w:tcBorders>
              <w:top w:val="single" w:sz="4" w:space="0" w:color="auto"/>
              <w:left w:val="single" w:sz="4" w:space="0" w:color="auto"/>
              <w:bottom w:val="single" w:sz="4" w:space="0" w:color="auto"/>
              <w:right w:val="single" w:sz="4" w:space="0" w:color="auto"/>
            </w:tcBorders>
            <w:vAlign w:val="center"/>
          </w:tcPr>
          <w:p w14:paraId="6DA5FDDB" w14:textId="1F8EBE1B"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20,758</w:t>
            </w:r>
          </w:p>
        </w:tc>
        <w:tc>
          <w:tcPr>
            <w:tcW w:w="1275" w:type="dxa"/>
            <w:tcBorders>
              <w:top w:val="single" w:sz="4" w:space="0" w:color="auto"/>
              <w:left w:val="single" w:sz="4" w:space="0" w:color="auto"/>
              <w:bottom w:val="single" w:sz="4" w:space="0" w:color="auto"/>
              <w:right w:val="single" w:sz="4" w:space="0" w:color="auto"/>
            </w:tcBorders>
            <w:vAlign w:val="center"/>
          </w:tcPr>
          <w:p w14:paraId="02BE956C" w14:textId="09CA3E79" w:rsidR="001C5E45" w:rsidRPr="0029542A" w:rsidRDefault="001C5E45" w:rsidP="00572437">
            <w:pPr>
              <w:spacing w:after="0" w:line="240" w:lineRule="auto"/>
              <w:jc w:val="center"/>
              <w:rPr>
                <w:rFonts w:ascii="Times New Roman" w:hAnsi="Times New Roman" w:cs="Times New Roman"/>
              </w:rPr>
            </w:pPr>
            <w:r w:rsidRPr="008E41D3">
              <w:rPr>
                <w:rFonts w:ascii="Times New Roman" w:hAnsi="Times New Roman" w:cs="Times New Roman"/>
              </w:rPr>
              <w:t>&lt;0,001</w:t>
            </w:r>
          </w:p>
        </w:tc>
      </w:tr>
      <w:tr w:rsidR="001C5E45" w:rsidRPr="0029542A" w14:paraId="17B09B37" w14:textId="64770EF3"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D88A9"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 xml:space="preserve">  средняя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49CC1A"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F27E46C"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12,7%</w:t>
            </w:r>
          </w:p>
        </w:tc>
        <w:tc>
          <w:tcPr>
            <w:tcW w:w="1559" w:type="dxa"/>
            <w:tcBorders>
              <w:top w:val="single" w:sz="4" w:space="0" w:color="auto"/>
              <w:left w:val="single" w:sz="4" w:space="0" w:color="auto"/>
              <w:bottom w:val="single" w:sz="4" w:space="0" w:color="auto"/>
              <w:right w:val="single" w:sz="4" w:space="0" w:color="auto"/>
            </w:tcBorders>
            <w:vAlign w:val="center"/>
          </w:tcPr>
          <w:p w14:paraId="2D916C71" w14:textId="6DCA8004"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4,48-20,92%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0CEC4C4" w14:textId="3D2E2014"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vAlign w:val="center"/>
          </w:tcPr>
          <w:p w14:paraId="075F5751"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17,6%</w:t>
            </w:r>
          </w:p>
        </w:tc>
        <w:tc>
          <w:tcPr>
            <w:tcW w:w="1559" w:type="dxa"/>
            <w:tcBorders>
              <w:top w:val="single" w:sz="4" w:space="0" w:color="auto"/>
              <w:left w:val="single" w:sz="4" w:space="0" w:color="auto"/>
              <w:bottom w:val="single" w:sz="4" w:space="0" w:color="auto"/>
              <w:right w:val="single" w:sz="4" w:space="0" w:color="auto"/>
            </w:tcBorders>
            <w:vAlign w:val="center"/>
          </w:tcPr>
          <w:p w14:paraId="21FD0C4A" w14:textId="7CDAEB8D"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10,21-24,99%</w:t>
            </w:r>
          </w:p>
        </w:tc>
        <w:tc>
          <w:tcPr>
            <w:tcW w:w="709" w:type="dxa"/>
            <w:tcBorders>
              <w:top w:val="single" w:sz="4" w:space="0" w:color="auto"/>
              <w:left w:val="single" w:sz="4" w:space="0" w:color="auto"/>
              <w:bottom w:val="single" w:sz="4" w:space="0" w:color="auto"/>
              <w:right w:val="single" w:sz="4" w:space="0" w:color="auto"/>
            </w:tcBorders>
            <w:vAlign w:val="center"/>
          </w:tcPr>
          <w:p w14:paraId="2FD91A17" w14:textId="68A1CB31"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vAlign w:val="center"/>
          </w:tcPr>
          <w:p w14:paraId="36CAA88B"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21,5%</w:t>
            </w:r>
          </w:p>
        </w:tc>
        <w:tc>
          <w:tcPr>
            <w:tcW w:w="1559" w:type="dxa"/>
            <w:tcBorders>
              <w:top w:val="single" w:sz="4" w:space="0" w:color="auto"/>
              <w:left w:val="single" w:sz="4" w:space="0" w:color="auto"/>
              <w:bottom w:val="single" w:sz="4" w:space="0" w:color="auto"/>
              <w:right w:val="single" w:sz="4" w:space="0" w:color="auto"/>
            </w:tcBorders>
            <w:vAlign w:val="center"/>
          </w:tcPr>
          <w:p w14:paraId="03932339" w14:textId="49376A95"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14,79-28,21%</w:t>
            </w:r>
          </w:p>
        </w:tc>
        <w:tc>
          <w:tcPr>
            <w:tcW w:w="993" w:type="dxa"/>
            <w:tcBorders>
              <w:top w:val="single" w:sz="4" w:space="0" w:color="auto"/>
              <w:left w:val="single" w:sz="4" w:space="0" w:color="auto"/>
              <w:bottom w:val="single" w:sz="4" w:space="0" w:color="auto"/>
              <w:right w:val="single" w:sz="4" w:space="0" w:color="auto"/>
            </w:tcBorders>
            <w:vAlign w:val="center"/>
          </w:tcPr>
          <w:p w14:paraId="2914F4A9" w14:textId="091DB517"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16,384</w:t>
            </w:r>
          </w:p>
        </w:tc>
        <w:tc>
          <w:tcPr>
            <w:tcW w:w="1275" w:type="dxa"/>
            <w:tcBorders>
              <w:top w:val="single" w:sz="4" w:space="0" w:color="auto"/>
              <w:left w:val="single" w:sz="4" w:space="0" w:color="auto"/>
              <w:bottom w:val="single" w:sz="4" w:space="0" w:color="auto"/>
              <w:right w:val="single" w:sz="4" w:space="0" w:color="auto"/>
            </w:tcBorders>
            <w:vAlign w:val="center"/>
          </w:tcPr>
          <w:p w14:paraId="46855B64" w14:textId="53B8F717" w:rsidR="001C5E45" w:rsidRPr="0029542A" w:rsidRDefault="001C5E45" w:rsidP="00572437">
            <w:pPr>
              <w:spacing w:after="0" w:line="240" w:lineRule="auto"/>
              <w:jc w:val="center"/>
              <w:rPr>
                <w:rFonts w:ascii="Times New Roman" w:hAnsi="Times New Roman" w:cs="Times New Roman"/>
              </w:rPr>
            </w:pPr>
            <w:r w:rsidRPr="008E41D3">
              <w:rPr>
                <w:rFonts w:ascii="Times New Roman" w:hAnsi="Times New Roman" w:cs="Times New Roman"/>
              </w:rPr>
              <w:t>&lt;0,001</w:t>
            </w:r>
          </w:p>
        </w:tc>
      </w:tr>
      <w:tr w:rsidR="001C5E45" w:rsidRPr="0029542A" w14:paraId="128B405D" w14:textId="050FF761"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41BA"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 xml:space="preserve">  высокая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7481934"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3FBB862"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tcPr>
          <w:p w14:paraId="191EAA8E" w14:textId="0C9E1683"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-1,50-4,70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F664D09" w14:textId="3EFA085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center"/>
          </w:tcPr>
          <w:p w14:paraId="22A636FA"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5,9%</w:t>
            </w:r>
          </w:p>
        </w:tc>
        <w:tc>
          <w:tcPr>
            <w:tcW w:w="1559" w:type="dxa"/>
            <w:tcBorders>
              <w:top w:val="single" w:sz="4" w:space="0" w:color="auto"/>
              <w:left w:val="single" w:sz="4" w:space="0" w:color="auto"/>
              <w:bottom w:val="single" w:sz="4" w:space="0" w:color="auto"/>
              <w:right w:val="single" w:sz="4" w:space="0" w:color="auto"/>
            </w:tcBorders>
            <w:vAlign w:val="center"/>
          </w:tcPr>
          <w:p w14:paraId="74F1334B" w14:textId="758B734F"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1,33-10,47%</w:t>
            </w:r>
          </w:p>
        </w:tc>
        <w:tc>
          <w:tcPr>
            <w:tcW w:w="709" w:type="dxa"/>
            <w:tcBorders>
              <w:top w:val="single" w:sz="4" w:space="0" w:color="auto"/>
              <w:left w:val="single" w:sz="4" w:space="0" w:color="auto"/>
              <w:bottom w:val="single" w:sz="4" w:space="0" w:color="auto"/>
              <w:right w:val="single" w:sz="4" w:space="0" w:color="auto"/>
            </w:tcBorders>
            <w:vAlign w:val="center"/>
          </w:tcPr>
          <w:p w14:paraId="5F2F658C" w14:textId="03CD4588"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tcPr>
          <w:p w14:paraId="38579210"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9,0%</w:t>
            </w:r>
          </w:p>
        </w:tc>
        <w:tc>
          <w:tcPr>
            <w:tcW w:w="1559" w:type="dxa"/>
            <w:tcBorders>
              <w:top w:val="single" w:sz="4" w:space="0" w:color="auto"/>
              <w:left w:val="single" w:sz="4" w:space="0" w:color="auto"/>
              <w:bottom w:val="single" w:sz="4" w:space="0" w:color="auto"/>
              <w:right w:val="single" w:sz="4" w:space="0" w:color="auto"/>
            </w:tcBorders>
            <w:vAlign w:val="center"/>
          </w:tcPr>
          <w:p w14:paraId="2354AC26" w14:textId="6E00BF6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4,33-13,67%</w:t>
            </w:r>
          </w:p>
        </w:tc>
        <w:tc>
          <w:tcPr>
            <w:tcW w:w="993" w:type="dxa"/>
            <w:tcBorders>
              <w:top w:val="single" w:sz="4" w:space="0" w:color="auto"/>
              <w:left w:val="single" w:sz="4" w:space="0" w:color="auto"/>
              <w:bottom w:val="single" w:sz="4" w:space="0" w:color="auto"/>
              <w:right w:val="single" w:sz="4" w:space="0" w:color="auto"/>
            </w:tcBorders>
            <w:vAlign w:val="center"/>
          </w:tcPr>
          <w:p w14:paraId="67736564" w14:textId="765F21E8"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11,992</w:t>
            </w:r>
          </w:p>
        </w:tc>
        <w:tc>
          <w:tcPr>
            <w:tcW w:w="1275" w:type="dxa"/>
            <w:tcBorders>
              <w:top w:val="single" w:sz="4" w:space="0" w:color="auto"/>
              <w:left w:val="single" w:sz="4" w:space="0" w:color="auto"/>
              <w:bottom w:val="single" w:sz="4" w:space="0" w:color="auto"/>
              <w:right w:val="single" w:sz="4" w:space="0" w:color="auto"/>
            </w:tcBorders>
            <w:vAlign w:val="center"/>
          </w:tcPr>
          <w:p w14:paraId="5091F4DE" w14:textId="06906EBC"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0,002</w:t>
            </w:r>
          </w:p>
        </w:tc>
      </w:tr>
      <w:tr w:rsidR="001C5E45" w:rsidRPr="0029542A" w14:paraId="1915F3C6" w14:textId="0A6BBE12" w:rsidTr="00572437">
        <w:trPr>
          <w:trHeight w:val="21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0ED61" w14:textId="583A2D9B" w:rsidR="001C5E45" w:rsidRPr="0029542A" w:rsidRDefault="001C5E45" w:rsidP="00572437">
            <w:pPr>
              <w:spacing w:after="0" w:line="240" w:lineRule="auto"/>
              <w:jc w:val="center"/>
              <w:rPr>
                <w:rFonts w:ascii="Times New Roman" w:hAnsi="Times New Roman" w:cs="Times New Roman"/>
                <w:bCs/>
                <w:color w:val="000000"/>
                <w:spacing w:val="-2"/>
              </w:rPr>
            </w:pPr>
            <w:r>
              <w:rPr>
                <w:rFonts w:ascii="Times New Roman" w:hAnsi="Times New Roman" w:cs="Times New Roman"/>
                <w:bCs/>
                <w:color w:val="000000"/>
                <w:spacing w:val="-2"/>
              </w:rPr>
              <w:t>Г</w:t>
            </w:r>
            <w:r w:rsidRPr="0029542A">
              <w:rPr>
                <w:rFonts w:ascii="Times New Roman" w:hAnsi="Times New Roman" w:cs="Times New Roman"/>
                <w:bCs/>
                <w:color w:val="000000"/>
                <w:spacing w:val="-2"/>
              </w:rPr>
              <w:t>иперметропия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256647"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11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AD17CA6"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3,1%</w:t>
            </w:r>
          </w:p>
        </w:tc>
        <w:tc>
          <w:tcPr>
            <w:tcW w:w="1559" w:type="dxa"/>
            <w:tcBorders>
              <w:top w:val="single" w:sz="4" w:space="0" w:color="auto"/>
              <w:left w:val="single" w:sz="4" w:space="0" w:color="auto"/>
              <w:bottom w:val="single" w:sz="4" w:space="0" w:color="auto"/>
              <w:right w:val="single" w:sz="4" w:space="0" w:color="auto"/>
            </w:tcBorders>
            <w:vAlign w:val="center"/>
          </w:tcPr>
          <w:p w14:paraId="3483DD62" w14:textId="27D2593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1,30-4,90%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C42DD36" w14:textId="4881BEDC"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11</w:t>
            </w:r>
          </w:p>
        </w:tc>
        <w:tc>
          <w:tcPr>
            <w:tcW w:w="992" w:type="dxa"/>
            <w:tcBorders>
              <w:top w:val="single" w:sz="4" w:space="0" w:color="auto"/>
              <w:left w:val="single" w:sz="4" w:space="0" w:color="auto"/>
              <w:bottom w:val="single" w:sz="4" w:space="0" w:color="auto"/>
              <w:right w:val="single" w:sz="4" w:space="0" w:color="auto"/>
            </w:tcBorders>
            <w:vAlign w:val="center"/>
          </w:tcPr>
          <w:p w14:paraId="3C2D3A28"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8FD2FD2" w14:textId="01D39DE8"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1,25-4,75%</w:t>
            </w:r>
          </w:p>
        </w:tc>
        <w:tc>
          <w:tcPr>
            <w:tcW w:w="709" w:type="dxa"/>
            <w:tcBorders>
              <w:top w:val="single" w:sz="4" w:space="0" w:color="auto"/>
              <w:left w:val="single" w:sz="4" w:space="0" w:color="auto"/>
              <w:bottom w:val="single" w:sz="4" w:space="0" w:color="auto"/>
              <w:right w:val="single" w:sz="4" w:space="0" w:color="auto"/>
            </w:tcBorders>
            <w:vAlign w:val="center"/>
          </w:tcPr>
          <w:p w14:paraId="75F88712" w14:textId="6449A99F"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5A62BDBD"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2,6%</w:t>
            </w:r>
          </w:p>
        </w:tc>
        <w:tc>
          <w:tcPr>
            <w:tcW w:w="1559" w:type="dxa"/>
            <w:tcBorders>
              <w:top w:val="single" w:sz="4" w:space="0" w:color="auto"/>
              <w:left w:val="single" w:sz="4" w:space="0" w:color="auto"/>
              <w:bottom w:val="single" w:sz="4" w:space="0" w:color="auto"/>
              <w:right w:val="single" w:sz="4" w:space="0" w:color="auto"/>
            </w:tcBorders>
            <w:vAlign w:val="center"/>
          </w:tcPr>
          <w:p w14:paraId="44D02410" w14:textId="2DBBCB21"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0,91-4,29%</w:t>
            </w:r>
          </w:p>
        </w:tc>
        <w:tc>
          <w:tcPr>
            <w:tcW w:w="993" w:type="dxa"/>
            <w:tcBorders>
              <w:top w:val="single" w:sz="4" w:space="0" w:color="auto"/>
              <w:left w:val="single" w:sz="4" w:space="0" w:color="auto"/>
              <w:bottom w:val="single" w:sz="4" w:space="0" w:color="auto"/>
              <w:right w:val="single" w:sz="4" w:space="0" w:color="auto"/>
            </w:tcBorders>
            <w:vAlign w:val="center"/>
          </w:tcPr>
          <w:p w14:paraId="5E6C93C8" w14:textId="7ADD706D"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0,135</w:t>
            </w:r>
          </w:p>
        </w:tc>
        <w:tc>
          <w:tcPr>
            <w:tcW w:w="1275" w:type="dxa"/>
            <w:tcBorders>
              <w:top w:val="single" w:sz="4" w:space="0" w:color="auto"/>
              <w:left w:val="single" w:sz="4" w:space="0" w:color="auto"/>
              <w:bottom w:val="single" w:sz="4" w:space="0" w:color="auto"/>
              <w:right w:val="single" w:sz="4" w:space="0" w:color="auto"/>
            </w:tcBorders>
            <w:vAlign w:val="center"/>
          </w:tcPr>
          <w:p w14:paraId="62676EB6" w14:textId="349E67FD" w:rsidR="001C5E45" w:rsidRPr="0029542A" w:rsidRDefault="001C5E45" w:rsidP="00572437">
            <w:pPr>
              <w:spacing w:after="0" w:line="240" w:lineRule="auto"/>
              <w:jc w:val="center"/>
              <w:rPr>
                <w:rFonts w:ascii="Times New Roman" w:hAnsi="Times New Roman" w:cs="Times New Roman"/>
              </w:rPr>
            </w:pPr>
            <w:r>
              <w:rPr>
                <w:rFonts w:ascii="Times New Roman" w:hAnsi="Times New Roman" w:cs="Times New Roman"/>
              </w:rPr>
              <w:t>0,935</w:t>
            </w:r>
          </w:p>
        </w:tc>
      </w:tr>
      <w:tr w:rsidR="001C5E45" w:rsidRPr="0029542A" w14:paraId="50FDC3EC" w14:textId="350F2278"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ACEC" w14:textId="7DF2D965"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слабая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E4DD38"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11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C077C77"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7FC1F1C7" w14:textId="77777777" w:rsidR="001C5E45" w:rsidRPr="0029542A" w:rsidRDefault="001C5E45" w:rsidP="00572437">
            <w:pPr>
              <w:spacing w:after="0" w:line="240" w:lineRule="auto"/>
              <w:jc w:val="center"/>
              <w:rPr>
                <w:rFonts w:ascii="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C0EAA78" w14:textId="41D0BBD0"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79AE9110"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81,8%</w:t>
            </w:r>
          </w:p>
        </w:tc>
        <w:tc>
          <w:tcPr>
            <w:tcW w:w="1559" w:type="dxa"/>
            <w:tcBorders>
              <w:top w:val="single" w:sz="4" w:space="0" w:color="auto"/>
              <w:left w:val="single" w:sz="4" w:space="0" w:color="auto"/>
              <w:bottom w:val="single" w:sz="4" w:space="0" w:color="auto"/>
              <w:right w:val="single" w:sz="4" w:space="0" w:color="auto"/>
            </w:tcBorders>
            <w:vAlign w:val="center"/>
          </w:tcPr>
          <w:p w14:paraId="0D6F2B26" w14:textId="41BEFF0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59,00-104,60</w:t>
            </w:r>
          </w:p>
        </w:tc>
        <w:tc>
          <w:tcPr>
            <w:tcW w:w="709" w:type="dxa"/>
            <w:tcBorders>
              <w:top w:val="single" w:sz="4" w:space="0" w:color="auto"/>
              <w:left w:val="single" w:sz="4" w:space="0" w:color="auto"/>
              <w:bottom w:val="single" w:sz="4" w:space="0" w:color="auto"/>
              <w:right w:val="single" w:sz="4" w:space="0" w:color="auto"/>
            </w:tcBorders>
            <w:vAlign w:val="center"/>
          </w:tcPr>
          <w:p w14:paraId="090E2768" w14:textId="24207D2F"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7F0A80D7"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41F5CBBD" w14:textId="77777777" w:rsidR="001C5E45" w:rsidRPr="0029542A" w:rsidRDefault="001C5E45" w:rsidP="00572437">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4D6FB102" w14:textId="3529A954"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0,284</w:t>
            </w:r>
          </w:p>
        </w:tc>
        <w:tc>
          <w:tcPr>
            <w:tcW w:w="1275" w:type="dxa"/>
            <w:tcBorders>
              <w:top w:val="single" w:sz="4" w:space="0" w:color="auto"/>
              <w:left w:val="single" w:sz="4" w:space="0" w:color="auto"/>
              <w:bottom w:val="single" w:sz="4" w:space="0" w:color="auto"/>
              <w:right w:val="single" w:sz="4" w:space="0" w:color="auto"/>
            </w:tcBorders>
            <w:vAlign w:val="center"/>
          </w:tcPr>
          <w:p w14:paraId="20AA3415" w14:textId="6E2BD417"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0,868</w:t>
            </w:r>
          </w:p>
        </w:tc>
      </w:tr>
      <w:tr w:rsidR="001C5E45" w:rsidRPr="0029542A" w14:paraId="76362270" w14:textId="3C9CBEFA"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20C7A" w14:textId="688AF69E"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средняя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7FA96CA"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377CB60"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0,0%</w:t>
            </w:r>
          </w:p>
        </w:tc>
        <w:tc>
          <w:tcPr>
            <w:tcW w:w="1559" w:type="dxa"/>
            <w:tcBorders>
              <w:top w:val="single" w:sz="4" w:space="0" w:color="auto"/>
              <w:left w:val="single" w:sz="4" w:space="0" w:color="auto"/>
              <w:bottom w:val="single" w:sz="4" w:space="0" w:color="auto"/>
              <w:right w:val="single" w:sz="4" w:space="0" w:color="auto"/>
            </w:tcBorders>
            <w:vAlign w:val="center"/>
          </w:tcPr>
          <w:p w14:paraId="1EC602A6" w14:textId="77777777" w:rsidR="001C5E45" w:rsidRPr="0029542A" w:rsidRDefault="001C5E45" w:rsidP="00572437">
            <w:pPr>
              <w:spacing w:after="0" w:line="240" w:lineRule="auto"/>
              <w:jc w:val="center"/>
              <w:rPr>
                <w:rFonts w:ascii="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A3A3C82" w14:textId="4E65499E"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14:paraId="073024BE"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18,2%</w:t>
            </w:r>
          </w:p>
        </w:tc>
        <w:tc>
          <w:tcPr>
            <w:tcW w:w="1559" w:type="dxa"/>
            <w:tcBorders>
              <w:top w:val="single" w:sz="4" w:space="0" w:color="auto"/>
              <w:left w:val="single" w:sz="4" w:space="0" w:color="auto"/>
              <w:bottom w:val="single" w:sz="4" w:space="0" w:color="auto"/>
              <w:right w:val="single" w:sz="4" w:space="0" w:color="auto"/>
            </w:tcBorders>
            <w:vAlign w:val="center"/>
          </w:tcPr>
          <w:p w14:paraId="62B48E55" w14:textId="52EAF21E"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-4,60-41,00%</w:t>
            </w:r>
          </w:p>
        </w:tc>
        <w:tc>
          <w:tcPr>
            <w:tcW w:w="709" w:type="dxa"/>
            <w:tcBorders>
              <w:top w:val="single" w:sz="4" w:space="0" w:color="auto"/>
              <w:left w:val="single" w:sz="4" w:space="0" w:color="auto"/>
              <w:bottom w:val="single" w:sz="4" w:space="0" w:color="auto"/>
              <w:right w:val="single" w:sz="4" w:space="0" w:color="auto"/>
            </w:tcBorders>
            <w:vAlign w:val="center"/>
          </w:tcPr>
          <w:p w14:paraId="01027F4E" w14:textId="7CD717AF"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14:paraId="57DA8BE8"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0,0%</w:t>
            </w:r>
          </w:p>
        </w:tc>
        <w:tc>
          <w:tcPr>
            <w:tcW w:w="1559" w:type="dxa"/>
            <w:tcBorders>
              <w:top w:val="single" w:sz="4" w:space="0" w:color="auto"/>
              <w:left w:val="single" w:sz="4" w:space="0" w:color="auto"/>
              <w:bottom w:val="single" w:sz="4" w:space="0" w:color="auto"/>
              <w:right w:val="single" w:sz="4" w:space="0" w:color="auto"/>
            </w:tcBorders>
            <w:vAlign w:val="center"/>
          </w:tcPr>
          <w:p w14:paraId="4B2510C9" w14:textId="77777777" w:rsidR="001C5E45" w:rsidRPr="0029542A" w:rsidRDefault="001C5E45" w:rsidP="00572437">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32DB3FA2" w14:textId="77777777" w:rsidR="001C5E45" w:rsidRPr="0029542A" w:rsidRDefault="001C5E45" w:rsidP="00572437">
            <w:pPr>
              <w:spacing w:after="0" w:line="240"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14:paraId="6457633F" w14:textId="77777777" w:rsidR="001C5E45" w:rsidRPr="0029542A" w:rsidRDefault="001C5E45" w:rsidP="00572437">
            <w:pPr>
              <w:spacing w:after="0" w:line="240" w:lineRule="auto"/>
              <w:jc w:val="center"/>
              <w:rPr>
                <w:rFonts w:ascii="Times New Roman" w:hAnsi="Times New Roman" w:cs="Times New Roman"/>
              </w:rPr>
            </w:pPr>
          </w:p>
        </w:tc>
      </w:tr>
      <w:tr w:rsidR="001C5E45" w:rsidRPr="0029542A" w14:paraId="2AE65E43" w14:textId="07874D58"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42238" w14:textId="06929DDE" w:rsidR="001C5E45" w:rsidRPr="0029542A" w:rsidRDefault="001C5E45" w:rsidP="00572437">
            <w:pPr>
              <w:spacing w:after="0" w:line="240" w:lineRule="auto"/>
              <w:jc w:val="center"/>
              <w:rPr>
                <w:rFonts w:ascii="Times New Roman" w:hAnsi="Times New Roman" w:cs="Times New Roman"/>
                <w:bCs/>
                <w:color w:val="000000"/>
                <w:spacing w:val="-2"/>
              </w:rPr>
            </w:pPr>
            <w:r w:rsidRPr="0029542A">
              <w:rPr>
                <w:rFonts w:ascii="Times New Roman" w:hAnsi="Times New Roman" w:cs="Times New Roman"/>
                <w:bCs/>
                <w:color w:val="000000"/>
                <w:spacing w:val="-2"/>
              </w:rPr>
              <w:t>Астигматизм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5E0C03"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5FF94EC"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5AB3FC3" w14:textId="4BB53A3E"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0,55-3,45%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3B7D242" w14:textId="2D606263"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tcPr>
          <w:p w14:paraId="1E0A1B39"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3,6%</w:t>
            </w:r>
          </w:p>
        </w:tc>
        <w:tc>
          <w:tcPr>
            <w:tcW w:w="1559" w:type="dxa"/>
            <w:tcBorders>
              <w:top w:val="single" w:sz="4" w:space="0" w:color="auto"/>
              <w:left w:val="single" w:sz="4" w:space="0" w:color="auto"/>
              <w:bottom w:val="single" w:sz="4" w:space="0" w:color="auto"/>
              <w:right w:val="single" w:sz="4" w:space="0" w:color="auto"/>
            </w:tcBorders>
            <w:vAlign w:val="center"/>
          </w:tcPr>
          <w:p w14:paraId="7F489564" w14:textId="1A574A02"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1,69-5,51%</w:t>
            </w:r>
          </w:p>
        </w:tc>
        <w:tc>
          <w:tcPr>
            <w:tcW w:w="709" w:type="dxa"/>
            <w:tcBorders>
              <w:top w:val="single" w:sz="4" w:space="0" w:color="auto"/>
              <w:left w:val="single" w:sz="4" w:space="0" w:color="auto"/>
              <w:bottom w:val="single" w:sz="4" w:space="0" w:color="auto"/>
              <w:right w:val="single" w:sz="4" w:space="0" w:color="auto"/>
            </w:tcBorders>
            <w:vAlign w:val="center"/>
          </w:tcPr>
          <w:p w14:paraId="55F2CF33" w14:textId="43C53329"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5F03ABE5"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2,6%</w:t>
            </w:r>
          </w:p>
        </w:tc>
        <w:tc>
          <w:tcPr>
            <w:tcW w:w="1559" w:type="dxa"/>
            <w:tcBorders>
              <w:top w:val="single" w:sz="4" w:space="0" w:color="auto"/>
              <w:left w:val="single" w:sz="4" w:space="0" w:color="auto"/>
              <w:bottom w:val="single" w:sz="4" w:space="0" w:color="auto"/>
              <w:right w:val="single" w:sz="4" w:space="0" w:color="auto"/>
            </w:tcBorders>
            <w:vAlign w:val="center"/>
          </w:tcPr>
          <w:p w14:paraId="25D444FF" w14:textId="186C7C72"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bCs/>
                <w:color w:val="000000"/>
              </w:rPr>
              <w:t>0,91-4,29%</w:t>
            </w:r>
          </w:p>
        </w:tc>
        <w:tc>
          <w:tcPr>
            <w:tcW w:w="993" w:type="dxa"/>
            <w:tcBorders>
              <w:top w:val="single" w:sz="4" w:space="0" w:color="auto"/>
              <w:left w:val="single" w:sz="4" w:space="0" w:color="auto"/>
              <w:bottom w:val="single" w:sz="4" w:space="0" w:color="auto"/>
              <w:right w:val="single" w:sz="4" w:space="0" w:color="auto"/>
            </w:tcBorders>
            <w:vAlign w:val="center"/>
          </w:tcPr>
          <w:p w14:paraId="4828022B" w14:textId="6D5700D3"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1,685</w:t>
            </w:r>
          </w:p>
        </w:tc>
        <w:tc>
          <w:tcPr>
            <w:tcW w:w="1275" w:type="dxa"/>
            <w:tcBorders>
              <w:top w:val="single" w:sz="4" w:space="0" w:color="auto"/>
              <w:left w:val="single" w:sz="4" w:space="0" w:color="auto"/>
              <w:bottom w:val="single" w:sz="4" w:space="0" w:color="auto"/>
              <w:right w:val="single" w:sz="4" w:space="0" w:color="auto"/>
            </w:tcBorders>
            <w:vAlign w:val="center"/>
          </w:tcPr>
          <w:p w14:paraId="6CAEDA32" w14:textId="554713DB"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0,194</w:t>
            </w:r>
          </w:p>
        </w:tc>
      </w:tr>
      <w:tr w:rsidR="001C5E45" w:rsidRPr="0029542A" w14:paraId="2FB9D067" w14:textId="0AF596F8"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B03A9" w14:textId="1E28F84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слабый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0C31CDB"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836EF39"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71,4%</w:t>
            </w:r>
          </w:p>
        </w:tc>
        <w:tc>
          <w:tcPr>
            <w:tcW w:w="1559" w:type="dxa"/>
            <w:tcBorders>
              <w:top w:val="single" w:sz="4" w:space="0" w:color="auto"/>
              <w:left w:val="single" w:sz="4" w:space="0" w:color="auto"/>
              <w:bottom w:val="single" w:sz="4" w:space="0" w:color="auto"/>
              <w:right w:val="single" w:sz="4" w:space="0" w:color="auto"/>
            </w:tcBorders>
            <w:vAlign w:val="center"/>
          </w:tcPr>
          <w:p w14:paraId="7CA52844" w14:textId="02883D43"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37,92-104,88%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164C113" w14:textId="75BA06D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14:paraId="314FBA50"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76,9%</w:t>
            </w:r>
          </w:p>
        </w:tc>
        <w:tc>
          <w:tcPr>
            <w:tcW w:w="1559" w:type="dxa"/>
            <w:tcBorders>
              <w:top w:val="single" w:sz="4" w:space="0" w:color="auto"/>
              <w:left w:val="single" w:sz="4" w:space="0" w:color="auto"/>
              <w:bottom w:val="single" w:sz="4" w:space="0" w:color="auto"/>
              <w:right w:val="single" w:sz="4" w:space="0" w:color="auto"/>
            </w:tcBorders>
            <w:vAlign w:val="center"/>
          </w:tcPr>
          <w:p w14:paraId="4B41CCB5" w14:textId="21BEF1CA"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53,99-99,81%</w:t>
            </w:r>
          </w:p>
        </w:tc>
        <w:tc>
          <w:tcPr>
            <w:tcW w:w="709" w:type="dxa"/>
            <w:tcBorders>
              <w:top w:val="single" w:sz="4" w:space="0" w:color="auto"/>
              <w:left w:val="single" w:sz="4" w:space="0" w:color="auto"/>
              <w:bottom w:val="single" w:sz="4" w:space="0" w:color="auto"/>
              <w:right w:val="single" w:sz="4" w:space="0" w:color="auto"/>
            </w:tcBorders>
            <w:vAlign w:val="center"/>
          </w:tcPr>
          <w:p w14:paraId="19612053" w14:textId="1E9813F1"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14:paraId="3E21BF6F"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44,4%</w:t>
            </w:r>
          </w:p>
        </w:tc>
        <w:tc>
          <w:tcPr>
            <w:tcW w:w="1559" w:type="dxa"/>
            <w:tcBorders>
              <w:top w:val="single" w:sz="4" w:space="0" w:color="auto"/>
              <w:left w:val="single" w:sz="4" w:space="0" w:color="auto"/>
              <w:bottom w:val="single" w:sz="4" w:space="0" w:color="auto"/>
              <w:right w:val="single" w:sz="4" w:space="0" w:color="auto"/>
            </w:tcBorders>
            <w:vAlign w:val="center"/>
          </w:tcPr>
          <w:p w14:paraId="31BF097C" w14:textId="14EED185"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11,94-76,86%</w:t>
            </w:r>
          </w:p>
        </w:tc>
        <w:tc>
          <w:tcPr>
            <w:tcW w:w="993" w:type="dxa"/>
            <w:tcBorders>
              <w:top w:val="single" w:sz="4" w:space="0" w:color="auto"/>
              <w:left w:val="single" w:sz="4" w:space="0" w:color="auto"/>
              <w:bottom w:val="single" w:sz="4" w:space="0" w:color="auto"/>
              <w:right w:val="single" w:sz="4" w:space="0" w:color="auto"/>
            </w:tcBorders>
            <w:vAlign w:val="center"/>
          </w:tcPr>
          <w:p w14:paraId="7F2E9A21" w14:textId="2569976E"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1,564</w:t>
            </w:r>
          </w:p>
        </w:tc>
        <w:tc>
          <w:tcPr>
            <w:tcW w:w="1275" w:type="dxa"/>
            <w:tcBorders>
              <w:top w:val="single" w:sz="4" w:space="0" w:color="auto"/>
              <w:left w:val="single" w:sz="4" w:space="0" w:color="auto"/>
              <w:bottom w:val="single" w:sz="4" w:space="0" w:color="auto"/>
              <w:right w:val="single" w:sz="4" w:space="0" w:color="auto"/>
            </w:tcBorders>
            <w:vAlign w:val="center"/>
          </w:tcPr>
          <w:p w14:paraId="0AAD63AA" w14:textId="5DCF0E1F"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0,211</w:t>
            </w:r>
          </w:p>
        </w:tc>
      </w:tr>
      <w:tr w:rsidR="001C5E45" w:rsidRPr="0029542A" w14:paraId="440872C5" w14:textId="38D533BF"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CD969" w14:textId="24C97B69"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высокий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057AA5F"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E2FCA31"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28,6%</w:t>
            </w:r>
          </w:p>
        </w:tc>
        <w:tc>
          <w:tcPr>
            <w:tcW w:w="1559" w:type="dxa"/>
            <w:tcBorders>
              <w:top w:val="single" w:sz="4" w:space="0" w:color="auto"/>
              <w:left w:val="single" w:sz="4" w:space="0" w:color="auto"/>
              <w:bottom w:val="single" w:sz="4" w:space="0" w:color="auto"/>
              <w:right w:val="single" w:sz="4" w:space="0" w:color="auto"/>
            </w:tcBorders>
            <w:vAlign w:val="center"/>
          </w:tcPr>
          <w:p w14:paraId="046F9662" w14:textId="3FA2D38F"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-4,88-62,08%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8F98F09" w14:textId="6706A18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58F1256F"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23,1%</w:t>
            </w:r>
          </w:p>
        </w:tc>
        <w:tc>
          <w:tcPr>
            <w:tcW w:w="1559" w:type="dxa"/>
            <w:tcBorders>
              <w:top w:val="single" w:sz="4" w:space="0" w:color="auto"/>
              <w:left w:val="single" w:sz="4" w:space="0" w:color="auto"/>
              <w:bottom w:val="single" w:sz="4" w:space="0" w:color="auto"/>
              <w:right w:val="single" w:sz="4" w:space="0" w:color="auto"/>
            </w:tcBorders>
            <w:vAlign w:val="center"/>
          </w:tcPr>
          <w:p w14:paraId="456E5F31" w14:textId="354E9BAA"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0,19-46,01%</w:t>
            </w:r>
          </w:p>
        </w:tc>
        <w:tc>
          <w:tcPr>
            <w:tcW w:w="709" w:type="dxa"/>
            <w:tcBorders>
              <w:top w:val="single" w:sz="4" w:space="0" w:color="auto"/>
              <w:left w:val="single" w:sz="4" w:space="0" w:color="auto"/>
              <w:bottom w:val="single" w:sz="4" w:space="0" w:color="auto"/>
              <w:right w:val="single" w:sz="4" w:space="0" w:color="auto"/>
            </w:tcBorders>
            <w:vAlign w:val="center"/>
          </w:tcPr>
          <w:p w14:paraId="140E0853" w14:textId="3657128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79621D3C"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55,6%</w:t>
            </w:r>
          </w:p>
        </w:tc>
        <w:tc>
          <w:tcPr>
            <w:tcW w:w="1559" w:type="dxa"/>
            <w:tcBorders>
              <w:top w:val="single" w:sz="4" w:space="0" w:color="auto"/>
              <w:left w:val="single" w:sz="4" w:space="0" w:color="auto"/>
              <w:bottom w:val="single" w:sz="4" w:space="0" w:color="auto"/>
              <w:right w:val="single" w:sz="4" w:space="0" w:color="auto"/>
            </w:tcBorders>
            <w:vAlign w:val="center"/>
          </w:tcPr>
          <w:p w14:paraId="6C2144B5" w14:textId="28E8A652"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23,14-88,06%</w:t>
            </w:r>
          </w:p>
        </w:tc>
        <w:tc>
          <w:tcPr>
            <w:tcW w:w="993" w:type="dxa"/>
            <w:tcBorders>
              <w:top w:val="single" w:sz="4" w:space="0" w:color="auto"/>
              <w:left w:val="single" w:sz="4" w:space="0" w:color="auto"/>
              <w:bottom w:val="single" w:sz="4" w:space="0" w:color="auto"/>
              <w:right w:val="single" w:sz="4" w:space="0" w:color="auto"/>
            </w:tcBorders>
            <w:vAlign w:val="center"/>
          </w:tcPr>
          <w:p w14:paraId="41303BC1" w14:textId="3BE877E5"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0,175</w:t>
            </w:r>
          </w:p>
        </w:tc>
        <w:tc>
          <w:tcPr>
            <w:tcW w:w="1275" w:type="dxa"/>
            <w:tcBorders>
              <w:top w:val="single" w:sz="4" w:space="0" w:color="auto"/>
              <w:left w:val="single" w:sz="4" w:space="0" w:color="auto"/>
              <w:bottom w:val="single" w:sz="4" w:space="0" w:color="auto"/>
              <w:right w:val="single" w:sz="4" w:space="0" w:color="auto"/>
            </w:tcBorders>
            <w:vAlign w:val="center"/>
          </w:tcPr>
          <w:p w14:paraId="662EE8B2" w14:textId="061EC0F2" w:rsidR="001C5E45" w:rsidRPr="0029542A" w:rsidRDefault="008C0D45" w:rsidP="00572437">
            <w:pPr>
              <w:spacing w:after="0" w:line="240" w:lineRule="auto"/>
              <w:jc w:val="center"/>
              <w:rPr>
                <w:rFonts w:ascii="Times New Roman" w:hAnsi="Times New Roman" w:cs="Times New Roman"/>
              </w:rPr>
            </w:pPr>
            <w:r>
              <w:rPr>
                <w:rFonts w:ascii="Times New Roman" w:hAnsi="Times New Roman" w:cs="Times New Roman"/>
              </w:rPr>
              <w:t>0,676</w:t>
            </w:r>
          </w:p>
        </w:tc>
      </w:tr>
      <w:tr w:rsidR="001C5E45" w:rsidRPr="0029542A" w14:paraId="7A99EC6D" w14:textId="30A1EB5A"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27BFAB" w14:textId="77777777" w:rsidR="001C5E45" w:rsidRPr="0029542A" w:rsidRDefault="001C5E45" w:rsidP="00572437">
            <w:pPr>
              <w:spacing w:after="0" w:line="240" w:lineRule="auto"/>
              <w:rPr>
                <w:rFonts w:ascii="Times New Roman" w:hAnsi="Times New Roman" w:cs="Times New Roman"/>
                <w:color w:val="000000"/>
                <w:spacing w:val="-2"/>
              </w:rPr>
            </w:pPr>
            <w:r w:rsidRPr="0029542A">
              <w:rPr>
                <w:rFonts w:ascii="Times New Roman" w:hAnsi="Times New Roman" w:cs="Times New Roman"/>
                <w:color w:val="000000"/>
                <w:spacing w:val="-2"/>
              </w:rPr>
              <w:t>по виду: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44B058" w14:textId="77777777" w:rsidR="001C5E45" w:rsidRPr="0029542A" w:rsidRDefault="001C5E45" w:rsidP="001C5E45">
            <w:pPr>
              <w:spacing w:after="0" w:line="240" w:lineRule="auto"/>
              <w:jc w:val="center"/>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92E1682" w14:textId="77777777" w:rsidR="001C5E45" w:rsidRPr="0029542A" w:rsidRDefault="001C5E45" w:rsidP="00572437">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4A40C2C2" w14:textId="77777777" w:rsidR="001C5E45" w:rsidRPr="0029542A" w:rsidRDefault="001C5E45" w:rsidP="00572437">
            <w:pPr>
              <w:spacing w:after="0" w:line="240" w:lineRule="auto"/>
              <w:jc w:val="center"/>
              <w:rPr>
                <w:rFonts w:ascii="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492A615" w14:textId="47E8D504" w:rsidR="001C5E45" w:rsidRPr="0029542A" w:rsidRDefault="001C5E45" w:rsidP="00572437">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18FA606D" w14:textId="77777777" w:rsidR="001C5E45" w:rsidRPr="0029542A" w:rsidRDefault="001C5E45" w:rsidP="00572437">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53CE8F41" w14:textId="77777777" w:rsidR="001C5E45" w:rsidRPr="0029542A" w:rsidRDefault="001C5E45" w:rsidP="00572437">
            <w:pPr>
              <w:spacing w:after="0" w:line="240"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1BE9C23F" w14:textId="3646C3B4" w:rsidR="001C5E45" w:rsidRPr="0029542A" w:rsidRDefault="001C5E45" w:rsidP="00572437">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71CDAE05" w14:textId="77777777" w:rsidR="001C5E45" w:rsidRPr="0029542A" w:rsidRDefault="001C5E45" w:rsidP="00572437">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1DE23911" w14:textId="77777777" w:rsidR="001C5E45" w:rsidRPr="0029542A" w:rsidRDefault="001C5E45" w:rsidP="00572437">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7E39CD17" w14:textId="77777777" w:rsidR="001C5E45" w:rsidRPr="0029542A" w:rsidRDefault="001C5E45" w:rsidP="00572437">
            <w:pPr>
              <w:spacing w:after="0" w:line="240"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14:paraId="4ECEAABE" w14:textId="77777777" w:rsidR="001C5E45" w:rsidRPr="0029542A" w:rsidRDefault="001C5E45" w:rsidP="00572437">
            <w:pPr>
              <w:spacing w:after="0" w:line="240" w:lineRule="auto"/>
              <w:jc w:val="center"/>
              <w:rPr>
                <w:rFonts w:ascii="Times New Roman" w:hAnsi="Times New Roman" w:cs="Times New Roman"/>
              </w:rPr>
            </w:pPr>
          </w:p>
        </w:tc>
      </w:tr>
      <w:tr w:rsidR="001C5E45" w:rsidRPr="0029542A" w14:paraId="5395C50F" w14:textId="69792D10"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0001D"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миопический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4C1684"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0088113"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14,3%</w:t>
            </w:r>
          </w:p>
        </w:tc>
        <w:tc>
          <w:tcPr>
            <w:tcW w:w="1559" w:type="dxa"/>
            <w:tcBorders>
              <w:top w:val="single" w:sz="4" w:space="0" w:color="auto"/>
              <w:left w:val="single" w:sz="4" w:space="0" w:color="auto"/>
              <w:bottom w:val="single" w:sz="4" w:space="0" w:color="auto"/>
              <w:right w:val="single" w:sz="4" w:space="0" w:color="auto"/>
            </w:tcBorders>
            <w:vAlign w:val="center"/>
          </w:tcPr>
          <w:p w14:paraId="0E0ED059" w14:textId="649AF2D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-11,63-40,23%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3477F6E" w14:textId="317C712E"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center"/>
          </w:tcPr>
          <w:p w14:paraId="18F0834B"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61,5%</w:t>
            </w:r>
          </w:p>
        </w:tc>
        <w:tc>
          <w:tcPr>
            <w:tcW w:w="1559" w:type="dxa"/>
            <w:tcBorders>
              <w:top w:val="single" w:sz="4" w:space="0" w:color="auto"/>
              <w:left w:val="single" w:sz="4" w:space="0" w:color="auto"/>
              <w:bottom w:val="single" w:sz="4" w:space="0" w:color="auto"/>
              <w:right w:val="single" w:sz="4" w:space="0" w:color="auto"/>
            </w:tcBorders>
            <w:vAlign w:val="center"/>
          </w:tcPr>
          <w:p w14:paraId="4CC5DB8F" w14:textId="23B694F6"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35,05-87,95%</w:t>
            </w:r>
          </w:p>
        </w:tc>
        <w:tc>
          <w:tcPr>
            <w:tcW w:w="709" w:type="dxa"/>
            <w:tcBorders>
              <w:top w:val="single" w:sz="4" w:space="0" w:color="auto"/>
              <w:left w:val="single" w:sz="4" w:space="0" w:color="auto"/>
              <w:bottom w:val="single" w:sz="4" w:space="0" w:color="auto"/>
              <w:right w:val="single" w:sz="4" w:space="0" w:color="auto"/>
            </w:tcBorders>
            <w:vAlign w:val="center"/>
          </w:tcPr>
          <w:p w14:paraId="1A3905E2" w14:textId="365A99AA"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vAlign w:val="center"/>
          </w:tcPr>
          <w:p w14:paraId="18A380ED"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3430A2AE" w14:textId="77777777" w:rsidR="001C5E45" w:rsidRPr="0029542A" w:rsidRDefault="001C5E45" w:rsidP="00572437">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1C01DBDA" w14:textId="05C55654" w:rsidR="001C5E45" w:rsidRPr="0029542A" w:rsidRDefault="00DB009C" w:rsidP="00572437">
            <w:pPr>
              <w:spacing w:after="0" w:line="240" w:lineRule="auto"/>
              <w:jc w:val="center"/>
              <w:rPr>
                <w:rFonts w:ascii="Times New Roman" w:hAnsi="Times New Roman" w:cs="Times New Roman"/>
              </w:rPr>
            </w:pPr>
            <w:r>
              <w:rPr>
                <w:rFonts w:ascii="Times New Roman" w:hAnsi="Times New Roman" w:cs="Times New Roman"/>
              </w:rPr>
              <w:t>5,319</w:t>
            </w:r>
          </w:p>
        </w:tc>
        <w:tc>
          <w:tcPr>
            <w:tcW w:w="1275" w:type="dxa"/>
            <w:tcBorders>
              <w:top w:val="single" w:sz="4" w:space="0" w:color="auto"/>
              <w:left w:val="single" w:sz="4" w:space="0" w:color="auto"/>
              <w:bottom w:val="single" w:sz="4" w:space="0" w:color="auto"/>
              <w:right w:val="single" w:sz="4" w:space="0" w:color="auto"/>
            </w:tcBorders>
            <w:vAlign w:val="center"/>
          </w:tcPr>
          <w:p w14:paraId="68C2AA2F" w14:textId="3C440355" w:rsidR="001C5E45" w:rsidRPr="0029542A" w:rsidRDefault="00DB009C" w:rsidP="00572437">
            <w:pPr>
              <w:spacing w:after="0" w:line="240" w:lineRule="auto"/>
              <w:jc w:val="center"/>
              <w:rPr>
                <w:rFonts w:ascii="Times New Roman" w:hAnsi="Times New Roman" w:cs="Times New Roman"/>
              </w:rPr>
            </w:pPr>
            <w:r>
              <w:rPr>
                <w:rFonts w:ascii="Times New Roman" w:hAnsi="Times New Roman" w:cs="Times New Roman"/>
              </w:rPr>
              <w:t>0,021</w:t>
            </w:r>
          </w:p>
        </w:tc>
      </w:tr>
      <w:tr w:rsidR="001C5E45" w:rsidRPr="0029542A" w14:paraId="22118B17" w14:textId="0F07B215"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5BCCC"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гиперметропич.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762C121"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297E754"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28,6%</w:t>
            </w:r>
          </w:p>
        </w:tc>
        <w:tc>
          <w:tcPr>
            <w:tcW w:w="1559" w:type="dxa"/>
            <w:tcBorders>
              <w:top w:val="single" w:sz="4" w:space="0" w:color="auto"/>
              <w:left w:val="single" w:sz="4" w:space="0" w:color="auto"/>
              <w:bottom w:val="single" w:sz="4" w:space="0" w:color="auto"/>
              <w:right w:val="single" w:sz="4" w:space="0" w:color="auto"/>
            </w:tcBorders>
            <w:vAlign w:val="center"/>
          </w:tcPr>
          <w:p w14:paraId="7C86F094" w14:textId="2762DD13"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-4,88-62,08%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5D023B0" w14:textId="695BA99E"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14:paraId="6CF5DC65"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30,8%</w:t>
            </w:r>
          </w:p>
        </w:tc>
        <w:tc>
          <w:tcPr>
            <w:tcW w:w="1559" w:type="dxa"/>
            <w:tcBorders>
              <w:top w:val="single" w:sz="4" w:space="0" w:color="auto"/>
              <w:left w:val="single" w:sz="4" w:space="0" w:color="auto"/>
              <w:bottom w:val="single" w:sz="4" w:space="0" w:color="auto"/>
              <w:right w:val="single" w:sz="4" w:space="0" w:color="auto"/>
            </w:tcBorders>
            <w:vAlign w:val="center"/>
          </w:tcPr>
          <w:p w14:paraId="4D3C2907" w14:textId="2E7D70CB"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color w:val="000000"/>
              </w:rPr>
              <w:t>5,70-55,90%</w:t>
            </w:r>
          </w:p>
        </w:tc>
        <w:tc>
          <w:tcPr>
            <w:tcW w:w="709" w:type="dxa"/>
            <w:tcBorders>
              <w:top w:val="single" w:sz="4" w:space="0" w:color="auto"/>
              <w:left w:val="single" w:sz="4" w:space="0" w:color="auto"/>
              <w:bottom w:val="single" w:sz="4" w:space="0" w:color="auto"/>
              <w:right w:val="single" w:sz="4" w:space="0" w:color="auto"/>
            </w:tcBorders>
            <w:vAlign w:val="center"/>
          </w:tcPr>
          <w:p w14:paraId="620BF013" w14:textId="5D84DDC1"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14:paraId="7F05F193" w14:textId="77777777" w:rsidR="001C5E45" w:rsidRPr="0029542A" w:rsidRDefault="001C5E45" w:rsidP="00572437">
            <w:pPr>
              <w:spacing w:after="0" w:line="240" w:lineRule="auto"/>
              <w:jc w:val="center"/>
              <w:rPr>
                <w:rFonts w:ascii="Times New Roman" w:hAnsi="Times New Roman" w:cs="Times New Roman"/>
              </w:rPr>
            </w:pPr>
            <w:r w:rsidRPr="0029542A">
              <w:rPr>
                <w:rFonts w:ascii="Times New Roman" w:hAnsi="Times New Roman" w:cs="Times New Roman"/>
              </w:rPr>
              <w:t>0,0%</w:t>
            </w:r>
          </w:p>
        </w:tc>
        <w:tc>
          <w:tcPr>
            <w:tcW w:w="1559" w:type="dxa"/>
            <w:tcBorders>
              <w:top w:val="single" w:sz="4" w:space="0" w:color="auto"/>
              <w:left w:val="single" w:sz="4" w:space="0" w:color="auto"/>
              <w:bottom w:val="single" w:sz="4" w:space="0" w:color="auto"/>
              <w:right w:val="single" w:sz="4" w:space="0" w:color="auto"/>
            </w:tcBorders>
            <w:vAlign w:val="center"/>
          </w:tcPr>
          <w:p w14:paraId="7ADD20EC" w14:textId="77777777" w:rsidR="001C5E45" w:rsidRPr="0029542A" w:rsidRDefault="001C5E45" w:rsidP="00572437">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7C5CDBBE" w14:textId="3FDCA652" w:rsidR="001C5E45" w:rsidRPr="0029542A" w:rsidRDefault="00DB009C" w:rsidP="00572437">
            <w:pPr>
              <w:spacing w:after="0" w:line="240" w:lineRule="auto"/>
              <w:jc w:val="center"/>
              <w:rPr>
                <w:rFonts w:ascii="Times New Roman" w:hAnsi="Times New Roman" w:cs="Times New Roman"/>
              </w:rPr>
            </w:pPr>
            <w:r>
              <w:rPr>
                <w:rFonts w:ascii="Times New Roman" w:hAnsi="Times New Roman" w:cs="Times New Roman"/>
              </w:rPr>
              <w:t>0,618</w:t>
            </w:r>
          </w:p>
        </w:tc>
        <w:tc>
          <w:tcPr>
            <w:tcW w:w="1275" w:type="dxa"/>
            <w:tcBorders>
              <w:top w:val="single" w:sz="4" w:space="0" w:color="auto"/>
              <w:left w:val="single" w:sz="4" w:space="0" w:color="auto"/>
              <w:bottom w:val="single" w:sz="4" w:space="0" w:color="auto"/>
              <w:right w:val="single" w:sz="4" w:space="0" w:color="auto"/>
            </w:tcBorders>
            <w:vAlign w:val="center"/>
          </w:tcPr>
          <w:p w14:paraId="35477D69" w14:textId="4707D873" w:rsidR="001C5E45" w:rsidRPr="0029542A" w:rsidRDefault="00DB009C" w:rsidP="00572437">
            <w:pPr>
              <w:spacing w:after="0" w:line="240" w:lineRule="auto"/>
              <w:jc w:val="center"/>
              <w:rPr>
                <w:rFonts w:ascii="Times New Roman" w:hAnsi="Times New Roman" w:cs="Times New Roman"/>
              </w:rPr>
            </w:pPr>
            <w:r>
              <w:rPr>
                <w:rFonts w:ascii="Times New Roman" w:hAnsi="Times New Roman" w:cs="Times New Roman"/>
              </w:rPr>
              <w:t>0,432</w:t>
            </w:r>
          </w:p>
        </w:tc>
      </w:tr>
      <w:tr w:rsidR="001C5E45" w:rsidRPr="0029542A" w14:paraId="7AC77A5E" w14:textId="12A2FE50" w:rsidTr="00572437">
        <w:trPr>
          <w:trHeight w:val="289"/>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1C068" w14:textId="77777777" w:rsidR="001C5E45" w:rsidRPr="0029542A" w:rsidRDefault="001C5E45" w:rsidP="00572437">
            <w:pPr>
              <w:spacing w:after="0" w:line="240" w:lineRule="auto"/>
              <w:jc w:val="right"/>
              <w:rPr>
                <w:rFonts w:ascii="Times New Roman" w:hAnsi="Times New Roman" w:cs="Times New Roman"/>
                <w:color w:val="000000"/>
                <w:spacing w:val="-2"/>
              </w:rPr>
            </w:pPr>
            <w:r w:rsidRPr="0029542A">
              <w:rPr>
                <w:rFonts w:ascii="Times New Roman" w:hAnsi="Times New Roman" w:cs="Times New Roman"/>
                <w:color w:val="000000"/>
                <w:spacing w:val="-2"/>
              </w:rPr>
              <w:t>смешанный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8E2661"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2632B62"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57,1%</w:t>
            </w:r>
          </w:p>
        </w:tc>
        <w:tc>
          <w:tcPr>
            <w:tcW w:w="1559" w:type="dxa"/>
            <w:tcBorders>
              <w:top w:val="single" w:sz="4" w:space="0" w:color="auto"/>
              <w:left w:val="single" w:sz="4" w:space="0" w:color="auto"/>
              <w:bottom w:val="single" w:sz="4" w:space="0" w:color="auto"/>
              <w:right w:val="single" w:sz="4" w:space="0" w:color="auto"/>
            </w:tcBorders>
            <w:vAlign w:val="bottom"/>
          </w:tcPr>
          <w:p w14:paraId="26A40F6E" w14:textId="16C7F9DF"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color w:val="000000"/>
              </w:rPr>
              <w:t>20,43-98,77%</w:t>
            </w:r>
          </w:p>
        </w:tc>
        <w:tc>
          <w:tcPr>
            <w:tcW w:w="714" w:type="dxa"/>
            <w:tcBorders>
              <w:top w:val="single" w:sz="4" w:space="0" w:color="auto"/>
              <w:left w:val="single" w:sz="4" w:space="0" w:color="auto"/>
              <w:bottom w:val="single" w:sz="4" w:space="0" w:color="auto"/>
              <w:right w:val="single" w:sz="4" w:space="0" w:color="auto"/>
            </w:tcBorders>
            <w:shd w:val="clear" w:color="auto" w:fill="auto"/>
            <w:vAlign w:val="bottom"/>
          </w:tcPr>
          <w:p w14:paraId="094901A9" w14:textId="5FC86A54"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bottom"/>
          </w:tcPr>
          <w:p w14:paraId="50D15BED"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7,7%</w:t>
            </w:r>
          </w:p>
        </w:tc>
        <w:tc>
          <w:tcPr>
            <w:tcW w:w="1559" w:type="dxa"/>
            <w:tcBorders>
              <w:top w:val="single" w:sz="4" w:space="0" w:color="auto"/>
              <w:left w:val="single" w:sz="4" w:space="0" w:color="auto"/>
              <w:bottom w:val="single" w:sz="4" w:space="0" w:color="auto"/>
              <w:right w:val="single" w:sz="4" w:space="0" w:color="auto"/>
            </w:tcBorders>
            <w:vAlign w:val="bottom"/>
          </w:tcPr>
          <w:p w14:paraId="24CA6068" w14:textId="1D5CE3E8"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color w:val="000000"/>
              </w:rPr>
              <w:t>-6,79-22,19</w:t>
            </w:r>
          </w:p>
        </w:tc>
        <w:tc>
          <w:tcPr>
            <w:tcW w:w="709" w:type="dxa"/>
            <w:tcBorders>
              <w:top w:val="single" w:sz="4" w:space="0" w:color="auto"/>
              <w:left w:val="single" w:sz="4" w:space="0" w:color="auto"/>
              <w:bottom w:val="single" w:sz="4" w:space="0" w:color="auto"/>
              <w:right w:val="single" w:sz="4" w:space="0" w:color="auto"/>
            </w:tcBorders>
            <w:vAlign w:val="bottom"/>
          </w:tcPr>
          <w:p w14:paraId="677E3176" w14:textId="17FECB4F"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bottom"/>
          </w:tcPr>
          <w:p w14:paraId="6F3C63A4" w14:textId="77777777" w:rsidR="001C5E45" w:rsidRPr="0029542A" w:rsidRDefault="001C5E45" w:rsidP="001C5E45">
            <w:pPr>
              <w:spacing w:after="0" w:line="240" w:lineRule="auto"/>
              <w:jc w:val="center"/>
              <w:rPr>
                <w:rFonts w:ascii="Times New Roman" w:hAnsi="Times New Roman" w:cs="Times New Roman"/>
              </w:rPr>
            </w:pPr>
            <w:r w:rsidRPr="0029542A">
              <w:rPr>
                <w:rFonts w:ascii="Times New Roman" w:hAnsi="Times New Roman" w:cs="Times New Roman"/>
              </w:rPr>
              <w:t>0,0%</w:t>
            </w:r>
          </w:p>
        </w:tc>
        <w:tc>
          <w:tcPr>
            <w:tcW w:w="1559" w:type="dxa"/>
            <w:tcBorders>
              <w:top w:val="single" w:sz="4" w:space="0" w:color="auto"/>
              <w:left w:val="single" w:sz="4" w:space="0" w:color="auto"/>
              <w:bottom w:val="single" w:sz="4" w:space="0" w:color="auto"/>
              <w:right w:val="single" w:sz="4" w:space="0" w:color="auto"/>
            </w:tcBorders>
          </w:tcPr>
          <w:p w14:paraId="428F4958" w14:textId="77777777" w:rsidR="001C5E45" w:rsidRPr="0029542A" w:rsidRDefault="001C5E45" w:rsidP="001C5E45">
            <w:pPr>
              <w:spacing w:after="0" w:line="240"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3688A3DA" w14:textId="40351E10" w:rsidR="001C5E45" w:rsidRPr="0029542A" w:rsidRDefault="00DB009C" w:rsidP="001C5E45">
            <w:pPr>
              <w:spacing w:after="0" w:line="240" w:lineRule="auto"/>
              <w:jc w:val="center"/>
              <w:rPr>
                <w:rFonts w:ascii="Times New Roman" w:hAnsi="Times New Roman" w:cs="Times New Roman"/>
              </w:rPr>
            </w:pPr>
            <w:r>
              <w:rPr>
                <w:rFonts w:ascii="Times New Roman" w:hAnsi="Times New Roman" w:cs="Times New Roman"/>
              </w:rPr>
              <w:t>1,898</w:t>
            </w:r>
          </w:p>
        </w:tc>
        <w:tc>
          <w:tcPr>
            <w:tcW w:w="1275" w:type="dxa"/>
            <w:tcBorders>
              <w:top w:val="single" w:sz="4" w:space="0" w:color="auto"/>
              <w:left w:val="single" w:sz="4" w:space="0" w:color="auto"/>
              <w:bottom w:val="single" w:sz="4" w:space="0" w:color="auto"/>
              <w:right w:val="single" w:sz="4" w:space="0" w:color="auto"/>
            </w:tcBorders>
          </w:tcPr>
          <w:p w14:paraId="1202FC63" w14:textId="76A25D90" w:rsidR="001C5E45" w:rsidRPr="0029542A" w:rsidRDefault="00DB009C" w:rsidP="001C5E45">
            <w:pPr>
              <w:spacing w:after="0" w:line="240" w:lineRule="auto"/>
              <w:jc w:val="center"/>
              <w:rPr>
                <w:rFonts w:ascii="Times New Roman" w:hAnsi="Times New Roman" w:cs="Times New Roman"/>
              </w:rPr>
            </w:pPr>
            <w:r>
              <w:rPr>
                <w:rFonts w:ascii="Times New Roman" w:hAnsi="Times New Roman" w:cs="Times New Roman"/>
              </w:rPr>
              <w:t>0,168</w:t>
            </w:r>
          </w:p>
        </w:tc>
      </w:tr>
      <w:tr w:rsidR="001C5E45" w:rsidRPr="0029542A" w14:paraId="0B32A90B" w14:textId="77777777" w:rsidTr="00451A7E">
        <w:trPr>
          <w:trHeight w:val="289"/>
          <w:jc w:val="center"/>
        </w:trPr>
        <w:tc>
          <w:tcPr>
            <w:tcW w:w="1403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548787DA" w14:textId="77777777" w:rsidR="001C5E45" w:rsidRDefault="001C5E45" w:rsidP="001C5E45">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6E73AC34" w14:textId="77777777" w:rsidR="001C5E45" w:rsidRPr="00CA167A" w:rsidRDefault="001C5E45" w:rsidP="001C5E45">
            <w:pPr>
              <w:spacing w:after="0" w:line="240" w:lineRule="auto"/>
              <w:rPr>
                <w:rFonts w:ascii="Times New Roman" w:hAnsi="Times New Roman" w:cs="Times New Roman"/>
                <w:sz w:val="28"/>
                <w:szCs w:val="28"/>
              </w:rPr>
            </w:pPr>
            <w:r w:rsidRPr="00CA167A">
              <w:rPr>
                <w:rFonts w:ascii="Times New Roman" w:hAnsi="Times New Roman" w:cs="Times New Roman"/>
                <w:bCs/>
                <w:sz w:val="28"/>
                <w:szCs w:val="28"/>
                <w:vertAlign w:val="superscript"/>
              </w:rPr>
              <w:t>1</w:t>
            </w:r>
            <w:r w:rsidRPr="00CA167A">
              <w:rPr>
                <w:rFonts w:ascii="Times New Roman" w:hAnsi="Times New Roman" w:cs="Times New Roman"/>
                <w:bCs/>
                <w:sz w:val="28"/>
                <w:szCs w:val="28"/>
                <w:lang w:val="en-US"/>
              </w:rPr>
              <w:t>p</w:t>
            </w:r>
            <w:r w:rsidRPr="00CA167A">
              <w:rPr>
                <w:rFonts w:ascii="Times New Roman" w:hAnsi="Times New Roman" w:cs="Times New Roman"/>
                <w:bCs/>
                <w:sz w:val="28"/>
                <w:szCs w:val="28"/>
              </w:rPr>
              <w:t>-</w:t>
            </w:r>
            <w:r w:rsidRPr="00CA167A">
              <w:rPr>
                <w:rFonts w:ascii="Times New Roman" w:hAnsi="Times New Roman" w:cs="Times New Roman"/>
                <w:bCs/>
                <w:sz w:val="28"/>
                <w:szCs w:val="28"/>
                <w:lang w:val="en-US"/>
              </w:rPr>
              <w:t>value</w:t>
            </w:r>
            <w:r w:rsidRPr="00CA167A">
              <w:rPr>
                <w:rFonts w:ascii="Times New Roman" w:hAnsi="Times New Roman" w:cs="Times New Roman"/>
                <w:bCs/>
                <w:sz w:val="28"/>
                <w:szCs w:val="28"/>
              </w:rPr>
              <w:t xml:space="preserve"> - корр</w:t>
            </w:r>
            <w:r>
              <w:rPr>
                <w:rFonts w:ascii="Times New Roman" w:hAnsi="Times New Roman" w:cs="Times New Roman"/>
                <w:bCs/>
                <w:sz w:val="28"/>
                <w:szCs w:val="28"/>
              </w:rPr>
              <w:t>еляция значима при р&lt;0,05</w:t>
            </w:r>
          </w:p>
          <w:p w14:paraId="66A24A50" w14:textId="77777777" w:rsidR="001C5E45" w:rsidRDefault="001C5E45" w:rsidP="001C5E45">
            <w:pPr>
              <w:spacing w:after="0" w:line="240" w:lineRule="auto"/>
              <w:rPr>
                <w:rFonts w:ascii="Times New Roman" w:hAnsi="Times New Roman" w:cs="Times New Roman"/>
                <w:sz w:val="28"/>
                <w:szCs w:val="28"/>
              </w:rPr>
            </w:pPr>
            <w:r>
              <w:rPr>
                <w:rFonts w:ascii="Times New Roman" w:hAnsi="Times New Roman" w:cs="Times New Roman"/>
                <w:sz w:val="28"/>
                <w:szCs w:val="28"/>
                <w:vertAlign w:val="superscript"/>
              </w:rPr>
              <w:t>2</w:t>
            </w:r>
            <w:r w:rsidRPr="006647EC">
              <w:rPr>
                <w:rFonts w:ascii="Times New Roman" w:hAnsi="Times New Roman" w:cs="Times New Roman"/>
                <w:sz w:val="28"/>
                <w:szCs w:val="28"/>
                <w:lang w:val="en-US"/>
              </w:rPr>
              <w:t>n</w:t>
            </w:r>
            <w:r w:rsidRPr="006647EC">
              <w:rPr>
                <w:rFonts w:ascii="Times New Roman" w:hAnsi="Times New Roman" w:cs="Times New Roman"/>
                <w:sz w:val="28"/>
                <w:szCs w:val="28"/>
              </w:rPr>
              <w:t xml:space="preserve"> – количество</w:t>
            </w:r>
            <w:r>
              <w:rPr>
                <w:rFonts w:ascii="Times New Roman" w:hAnsi="Times New Roman" w:cs="Times New Roman"/>
                <w:sz w:val="28"/>
                <w:szCs w:val="28"/>
              </w:rPr>
              <w:t>;</w:t>
            </w:r>
          </w:p>
          <w:p w14:paraId="600A6E34" w14:textId="7B09CFFA" w:rsidR="001C5E45" w:rsidRPr="0029542A" w:rsidRDefault="001C5E45" w:rsidP="001C5E45">
            <w:pPr>
              <w:spacing w:after="0" w:line="240" w:lineRule="auto"/>
              <w:rPr>
                <w:rFonts w:ascii="Times New Roman" w:hAnsi="Times New Roman" w:cs="Times New Roman"/>
              </w:rPr>
            </w:pPr>
            <w:r>
              <w:rPr>
                <w:rFonts w:ascii="Times New Roman" w:hAnsi="Times New Roman" w:cs="Times New Roman"/>
                <w:sz w:val="28"/>
                <w:szCs w:val="28"/>
                <w:vertAlign w:val="superscript"/>
              </w:rPr>
              <w:t>3</w:t>
            </w:r>
            <w:r>
              <w:rPr>
                <w:rFonts w:ascii="Times New Roman" w:hAnsi="Times New Roman" w:cs="Times New Roman"/>
                <w:sz w:val="28"/>
                <w:szCs w:val="28"/>
              </w:rPr>
              <w:t>ДИ – доверительный интервал</w:t>
            </w:r>
          </w:p>
        </w:tc>
      </w:tr>
    </w:tbl>
    <w:p w14:paraId="324AB06E" w14:textId="7AFDDBC7" w:rsidR="00C726CE" w:rsidRDefault="00C726CE">
      <w:pPr>
        <w:spacing w:after="160" w:line="259" w:lineRule="auto"/>
        <w:rPr>
          <w:rFonts w:ascii="Times New Roman" w:hAnsi="Times New Roman" w:cs="Times New Roman"/>
          <w:sz w:val="28"/>
          <w:szCs w:val="28"/>
        </w:rPr>
        <w:sectPr w:rsidR="00C726CE" w:rsidSect="00C726CE">
          <w:pgSz w:w="16838" w:h="11906" w:orient="landscape"/>
          <w:pgMar w:top="1701" w:right="1134" w:bottom="850" w:left="1134" w:header="708" w:footer="708" w:gutter="0"/>
          <w:cols w:space="708"/>
          <w:titlePg/>
          <w:docGrid w:linePitch="360"/>
        </w:sectPr>
      </w:pPr>
    </w:p>
    <w:p w14:paraId="64BF46E1" w14:textId="5CCC2C27" w:rsidR="00FF04DB" w:rsidRDefault="0070047C" w:rsidP="001A15D7">
      <w:pPr>
        <w:spacing w:after="0" w:line="240" w:lineRule="auto"/>
        <w:ind w:firstLine="709"/>
        <w:jc w:val="both"/>
        <w:rPr>
          <w:rFonts w:ascii="Times New Roman" w:hAnsi="Times New Roman" w:cs="Times New Roman"/>
          <w:sz w:val="28"/>
          <w:szCs w:val="28"/>
        </w:rPr>
      </w:pPr>
      <w:r w:rsidRPr="0070047C">
        <w:rPr>
          <w:rFonts w:ascii="Times New Roman" w:hAnsi="Times New Roman" w:cs="Times New Roman"/>
          <w:sz w:val="28"/>
          <w:szCs w:val="28"/>
        </w:rPr>
        <w:lastRenderedPageBreak/>
        <w:t xml:space="preserve">Однако уже на этом этапе </w:t>
      </w:r>
      <w:r w:rsidR="00A51142">
        <w:rPr>
          <w:rFonts w:ascii="Times New Roman" w:hAnsi="Times New Roman" w:cs="Times New Roman"/>
          <w:sz w:val="28"/>
          <w:szCs w:val="28"/>
        </w:rPr>
        <w:t>с</w:t>
      </w:r>
      <w:r w:rsidR="00A51142" w:rsidRPr="00C906B5">
        <w:rPr>
          <w:rFonts w:ascii="Times New Roman" w:hAnsi="Times New Roman" w:cs="Times New Roman"/>
          <w:sz w:val="28"/>
          <w:szCs w:val="28"/>
        </w:rPr>
        <w:t>редний показатель рефракционной ошибки, выраженный в сферическом эквиваленте (SER)</w:t>
      </w:r>
      <w:r w:rsidRPr="0070047C">
        <w:rPr>
          <w:rFonts w:ascii="Times New Roman" w:hAnsi="Times New Roman" w:cs="Times New Roman"/>
          <w:sz w:val="28"/>
          <w:szCs w:val="28"/>
        </w:rPr>
        <w:t xml:space="preserve"> </w:t>
      </w:r>
      <w:r w:rsidR="00A51142">
        <w:rPr>
          <w:rFonts w:ascii="Times New Roman" w:hAnsi="Times New Roman" w:cs="Times New Roman"/>
          <w:sz w:val="28"/>
          <w:szCs w:val="28"/>
        </w:rPr>
        <w:t xml:space="preserve">среди первоклассников </w:t>
      </w:r>
      <w:r w:rsidRPr="0070047C">
        <w:rPr>
          <w:rFonts w:ascii="Times New Roman" w:hAnsi="Times New Roman" w:cs="Times New Roman"/>
          <w:sz w:val="28"/>
          <w:szCs w:val="28"/>
        </w:rPr>
        <w:t>был несколько ниже в гимназических школах -0,274D (медиана -0,125; -0,375; 0,125) по сравнению с общеобразовательными -0,109D (медиана 0,375; -0,125; 0,375)</w:t>
      </w:r>
      <w:r w:rsidR="00A51142">
        <w:rPr>
          <w:rFonts w:ascii="Times New Roman" w:hAnsi="Times New Roman" w:cs="Times New Roman"/>
          <w:sz w:val="28"/>
          <w:szCs w:val="28"/>
        </w:rPr>
        <w:t xml:space="preserve">, что может говорить о начале миопизации </w:t>
      </w:r>
      <w:r w:rsidRPr="0070047C">
        <w:rPr>
          <w:rFonts w:ascii="Times New Roman" w:hAnsi="Times New Roman" w:cs="Times New Roman"/>
          <w:sz w:val="28"/>
          <w:szCs w:val="28"/>
        </w:rPr>
        <w:t xml:space="preserve">(рисунок 10). К среднему звену значения SER снижались </w:t>
      </w:r>
      <w:r w:rsidR="00A51142">
        <w:rPr>
          <w:rFonts w:ascii="Times New Roman" w:hAnsi="Times New Roman" w:cs="Times New Roman"/>
          <w:sz w:val="28"/>
          <w:szCs w:val="28"/>
        </w:rPr>
        <w:t xml:space="preserve">у детейобеих групп </w:t>
      </w:r>
      <w:r w:rsidRPr="0070047C">
        <w:rPr>
          <w:rFonts w:ascii="Times New Roman" w:hAnsi="Times New Roman" w:cs="Times New Roman"/>
          <w:sz w:val="28"/>
          <w:szCs w:val="28"/>
        </w:rPr>
        <w:t xml:space="preserve">и достигли </w:t>
      </w:r>
      <w:r w:rsidR="00A51142">
        <w:rPr>
          <w:rFonts w:ascii="Times New Roman" w:hAnsi="Times New Roman" w:cs="Times New Roman"/>
          <w:sz w:val="28"/>
          <w:szCs w:val="28"/>
        </w:rPr>
        <w:t xml:space="preserve">в среднем </w:t>
      </w:r>
      <w:r w:rsidRPr="0070047C">
        <w:rPr>
          <w:rFonts w:ascii="Times New Roman" w:hAnsi="Times New Roman" w:cs="Times New Roman"/>
          <w:sz w:val="28"/>
          <w:szCs w:val="28"/>
        </w:rPr>
        <w:t xml:space="preserve">-0,479D (медиана 0; -1,0; 0,375). </w:t>
      </w:r>
      <w:r w:rsidR="00A51142">
        <w:rPr>
          <w:rFonts w:ascii="Times New Roman" w:hAnsi="Times New Roman" w:cs="Times New Roman"/>
          <w:sz w:val="28"/>
          <w:szCs w:val="28"/>
        </w:rPr>
        <w:t>В</w:t>
      </w:r>
      <w:r w:rsidRPr="0070047C">
        <w:rPr>
          <w:rFonts w:ascii="Times New Roman" w:hAnsi="Times New Roman" w:cs="Times New Roman"/>
          <w:sz w:val="28"/>
          <w:szCs w:val="28"/>
        </w:rPr>
        <w:t xml:space="preserve"> гимназических школах </w:t>
      </w:r>
      <w:r w:rsidR="00A51142">
        <w:rPr>
          <w:rFonts w:ascii="Times New Roman" w:hAnsi="Times New Roman" w:cs="Times New Roman"/>
          <w:sz w:val="28"/>
          <w:szCs w:val="28"/>
        </w:rPr>
        <w:t xml:space="preserve">этот показатель </w:t>
      </w:r>
      <w:r w:rsidRPr="0070047C">
        <w:rPr>
          <w:rFonts w:ascii="Times New Roman" w:hAnsi="Times New Roman" w:cs="Times New Roman"/>
          <w:sz w:val="28"/>
          <w:szCs w:val="28"/>
        </w:rPr>
        <w:t xml:space="preserve">был ниже и </w:t>
      </w:r>
      <w:r w:rsidR="00A51142">
        <w:rPr>
          <w:rFonts w:ascii="Times New Roman" w:hAnsi="Times New Roman" w:cs="Times New Roman"/>
          <w:sz w:val="28"/>
          <w:szCs w:val="28"/>
        </w:rPr>
        <w:t>составлял</w:t>
      </w:r>
      <w:r w:rsidRPr="0070047C">
        <w:rPr>
          <w:rFonts w:ascii="Times New Roman" w:hAnsi="Times New Roman" w:cs="Times New Roman"/>
          <w:sz w:val="28"/>
          <w:szCs w:val="28"/>
        </w:rPr>
        <w:t xml:space="preserve"> -0,567D (медиана 0; </w:t>
      </w:r>
      <w:r w:rsidR="00A51142">
        <w:rPr>
          <w:rFonts w:ascii="Times New Roman" w:hAnsi="Times New Roman" w:cs="Times New Roman"/>
          <w:sz w:val="28"/>
          <w:szCs w:val="28"/>
        </w:rPr>
        <w:t>-1,25; 0,375) по сравнению с общеобразовательной группой</w:t>
      </w:r>
      <w:r w:rsidRPr="0070047C">
        <w:rPr>
          <w:rFonts w:ascii="Times New Roman" w:hAnsi="Times New Roman" w:cs="Times New Roman"/>
          <w:sz w:val="28"/>
          <w:szCs w:val="28"/>
        </w:rPr>
        <w:t xml:space="preserve"> - -0,399D (0; </w:t>
      </w:r>
      <w:r w:rsidR="00255E4B">
        <w:rPr>
          <w:rFonts w:ascii="Times New Roman" w:hAnsi="Times New Roman" w:cs="Times New Roman"/>
          <w:sz w:val="28"/>
          <w:szCs w:val="28"/>
        </w:rPr>
        <w:t>-</w:t>
      </w:r>
      <w:r w:rsidRPr="0070047C">
        <w:rPr>
          <w:rFonts w:ascii="Times New Roman" w:hAnsi="Times New Roman" w:cs="Times New Roman"/>
          <w:sz w:val="28"/>
          <w:szCs w:val="28"/>
        </w:rPr>
        <w:t xml:space="preserve">1,0; 0,375) (рисунок 10). </w:t>
      </w:r>
      <w:r w:rsidR="00C906B5" w:rsidRPr="00C906B5">
        <w:rPr>
          <w:rFonts w:ascii="Times New Roman" w:hAnsi="Times New Roman" w:cs="Times New Roman"/>
          <w:sz w:val="28"/>
          <w:szCs w:val="28"/>
        </w:rPr>
        <w:t xml:space="preserve">В среднем сферический эквивалент в общей выборке </w:t>
      </w:r>
      <w:r w:rsidR="00AF5023">
        <w:rPr>
          <w:rFonts w:ascii="Times New Roman" w:hAnsi="Times New Roman" w:cs="Times New Roman"/>
          <w:sz w:val="28"/>
          <w:szCs w:val="28"/>
        </w:rPr>
        <w:t xml:space="preserve">исследуемых </w:t>
      </w:r>
      <w:r w:rsidR="00C906B5" w:rsidRPr="00C906B5">
        <w:rPr>
          <w:rFonts w:ascii="Times New Roman" w:hAnsi="Times New Roman" w:cs="Times New Roman"/>
          <w:sz w:val="28"/>
          <w:szCs w:val="28"/>
        </w:rPr>
        <w:t xml:space="preserve">школьников г. Алматы </w:t>
      </w:r>
      <w:r w:rsidR="00AF5023">
        <w:rPr>
          <w:rFonts w:ascii="Times New Roman" w:hAnsi="Times New Roman" w:cs="Times New Roman"/>
          <w:sz w:val="28"/>
          <w:szCs w:val="28"/>
        </w:rPr>
        <w:t xml:space="preserve">был ниже нуля и </w:t>
      </w:r>
      <w:r w:rsidR="00C906B5" w:rsidRPr="00C906B5">
        <w:rPr>
          <w:rFonts w:ascii="Times New Roman" w:hAnsi="Times New Roman" w:cs="Times New Roman"/>
          <w:sz w:val="28"/>
          <w:szCs w:val="28"/>
        </w:rPr>
        <w:t xml:space="preserve">составил </w:t>
      </w:r>
      <w:r w:rsidR="00AF5023">
        <w:rPr>
          <w:rFonts w:ascii="Times New Roman" w:hAnsi="Times New Roman" w:cs="Times New Roman"/>
          <w:sz w:val="28"/>
          <w:szCs w:val="28"/>
        </w:rPr>
        <w:t xml:space="preserve">- </w:t>
      </w:r>
      <w:r w:rsidR="00C906B5" w:rsidRPr="00C906B5">
        <w:rPr>
          <w:rFonts w:ascii="Times New Roman" w:hAnsi="Times New Roman" w:cs="Times New Roman"/>
          <w:sz w:val="28"/>
          <w:szCs w:val="28"/>
        </w:rPr>
        <w:t>0,536D (медиана -0,125 D; -1,125; 0,375)</w:t>
      </w:r>
      <w:r w:rsidR="00FF04DB">
        <w:rPr>
          <w:rFonts w:ascii="Times New Roman" w:hAnsi="Times New Roman" w:cs="Times New Roman"/>
          <w:sz w:val="28"/>
          <w:szCs w:val="28"/>
        </w:rPr>
        <w:t>, колеблясь от - 0,109</w:t>
      </w:r>
      <w:r w:rsidR="00FF04DB">
        <w:rPr>
          <w:rFonts w:ascii="Times New Roman" w:hAnsi="Times New Roman" w:cs="Times New Roman"/>
          <w:sz w:val="28"/>
          <w:szCs w:val="28"/>
          <w:lang w:val="en-US"/>
        </w:rPr>
        <w:t>D</w:t>
      </w:r>
      <w:r w:rsidR="00FF04DB">
        <w:rPr>
          <w:rFonts w:ascii="Times New Roman" w:hAnsi="Times New Roman" w:cs="Times New Roman"/>
          <w:sz w:val="28"/>
          <w:szCs w:val="28"/>
        </w:rPr>
        <w:t xml:space="preserve"> </w:t>
      </w:r>
      <w:r w:rsidR="00FF04DB" w:rsidRPr="00C906B5">
        <w:rPr>
          <w:rFonts w:ascii="Times New Roman" w:hAnsi="Times New Roman" w:cs="Times New Roman"/>
          <w:sz w:val="28"/>
          <w:szCs w:val="28"/>
        </w:rPr>
        <w:t>(</w:t>
      </w:r>
      <w:r w:rsidR="00FF04DB">
        <w:rPr>
          <w:rFonts w:ascii="Times New Roman" w:hAnsi="Times New Roman" w:cs="Times New Roman"/>
          <w:sz w:val="28"/>
          <w:szCs w:val="28"/>
        </w:rPr>
        <w:t>0.375; -0.125; 0.375) –</w:t>
      </w:r>
      <w:r w:rsidR="00FF04DB" w:rsidRPr="00C906B5">
        <w:rPr>
          <w:rFonts w:ascii="Times New Roman" w:hAnsi="Times New Roman" w:cs="Times New Roman"/>
          <w:sz w:val="28"/>
          <w:szCs w:val="28"/>
        </w:rPr>
        <w:t xml:space="preserve"> </w:t>
      </w:r>
      <w:r w:rsidR="00FF04DB">
        <w:rPr>
          <w:rFonts w:ascii="Times New Roman" w:hAnsi="Times New Roman" w:cs="Times New Roman"/>
          <w:sz w:val="28"/>
          <w:szCs w:val="28"/>
        </w:rPr>
        <w:t>у первоклассников общеобразовательных школ, до – 1,082</w:t>
      </w:r>
      <w:r w:rsidR="00FF04DB">
        <w:rPr>
          <w:rFonts w:ascii="Times New Roman" w:hAnsi="Times New Roman" w:cs="Times New Roman"/>
          <w:sz w:val="28"/>
          <w:szCs w:val="28"/>
          <w:lang w:val="en-US"/>
        </w:rPr>
        <w:t>D</w:t>
      </w:r>
      <w:r w:rsidR="00FF04DB">
        <w:rPr>
          <w:rFonts w:ascii="Times New Roman" w:hAnsi="Times New Roman" w:cs="Times New Roman"/>
          <w:sz w:val="28"/>
          <w:szCs w:val="28"/>
        </w:rPr>
        <w:t xml:space="preserve"> (</w:t>
      </w:r>
      <w:r w:rsidR="00FF04DB" w:rsidRPr="00FF04DB">
        <w:rPr>
          <w:rFonts w:ascii="Times New Roman" w:hAnsi="Times New Roman" w:cs="Times New Roman"/>
          <w:sz w:val="28"/>
          <w:szCs w:val="28"/>
        </w:rPr>
        <w:t>-0.375 (-1.750; 0.250)</w:t>
      </w:r>
      <w:r w:rsidR="00FF04DB">
        <w:rPr>
          <w:rFonts w:ascii="Times New Roman" w:hAnsi="Times New Roman" w:cs="Times New Roman"/>
          <w:sz w:val="28"/>
          <w:szCs w:val="28"/>
        </w:rPr>
        <w:t>)</w:t>
      </w:r>
      <w:r w:rsidR="00FF04DB" w:rsidRPr="00FF04DB">
        <w:rPr>
          <w:rFonts w:ascii="Times New Roman" w:hAnsi="Times New Roman" w:cs="Times New Roman"/>
          <w:sz w:val="28"/>
          <w:szCs w:val="28"/>
        </w:rPr>
        <w:tab/>
      </w:r>
      <w:r w:rsidR="00FF04DB" w:rsidRPr="00FF04DB">
        <w:rPr>
          <w:rFonts w:ascii="Times New Roman" w:hAnsi="Times New Roman" w:cs="Times New Roman"/>
          <w:sz w:val="28"/>
          <w:szCs w:val="28"/>
        </w:rPr>
        <w:tab/>
        <w:t xml:space="preserve"> </w:t>
      </w:r>
      <w:r w:rsidR="00FF04DB">
        <w:rPr>
          <w:rFonts w:ascii="Times New Roman" w:hAnsi="Times New Roman" w:cs="Times New Roman"/>
          <w:sz w:val="28"/>
          <w:szCs w:val="28"/>
        </w:rPr>
        <w:t>– среди учащихся 9-х классов гимназий.</w:t>
      </w:r>
    </w:p>
    <w:p w14:paraId="5AE64C97" w14:textId="1108BC08" w:rsidR="00325B2D" w:rsidRDefault="00FF04DB"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F19">
        <w:rPr>
          <w:noProof/>
        </w:rPr>
        <mc:AlternateContent>
          <mc:Choice Requires="wps">
            <w:drawing>
              <wp:anchor distT="0" distB="0" distL="114300" distR="114300" simplePos="0" relativeHeight="251659264" behindDoc="0" locked="0" layoutInCell="1" allowOverlap="1" wp14:anchorId="070A87C3" wp14:editId="08B73A36">
                <wp:simplePos x="0" y="0"/>
                <wp:positionH relativeFrom="column">
                  <wp:posOffset>7416165</wp:posOffset>
                </wp:positionH>
                <wp:positionV relativeFrom="paragraph">
                  <wp:posOffset>1564640</wp:posOffset>
                </wp:positionV>
                <wp:extent cx="428625" cy="266700"/>
                <wp:effectExtent l="0" t="0" r="0" b="0"/>
                <wp:wrapNone/>
                <wp:docPr id="1569948974" name="TextBox 9"/>
                <wp:cNvGraphicFramePr/>
                <a:graphic xmlns:a="http://schemas.openxmlformats.org/drawingml/2006/main">
                  <a:graphicData uri="http://schemas.microsoft.com/office/word/2010/wordprocessingShape">
                    <wps:wsp>
                      <wps:cNvSpPr txBox="1"/>
                      <wps:spPr>
                        <a:xfrm>
                          <a:off x="0" y="0"/>
                          <a:ext cx="42862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58CC90" w14:textId="77777777" w:rsidR="00436E97" w:rsidRDefault="00436E97" w:rsidP="00191F19">
                            <w:pPr>
                              <w:rPr>
                                <w:rFonts w:hAnsi="Calibri"/>
                                <w:color w:val="000000" w:themeColor="text1"/>
                                <w:sz w:val="18"/>
                                <w:szCs w:val="18"/>
                              </w:rPr>
                            </w:pPr>
                            <w:r>
                              <w:rPr>
                                <w:rFonts w:hAnsi="Calibri"/>
                                <w:color w:val="000000" w:themeColor="text1"/>
                                <w:sz w:val="18"/>
                                <w:szCs w:val="18"/>
                              </w:rPr>
                              <w:t>-1,08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70A87C3" id="_x0000_t202" coordsize="21600,21600" o:spt="202" path="m,l,21600r21600,l21600,xe">
                <v:stroke joinstyle="miter"/>
                <v:path gradientshapeok="t" o:connecttype="rect"/>
              </v:shapetype>
              <v:shape id="TextBox 9" o:spid="_x0000_s1026" type="#_x0000_t202" style="position:absolute;left:0;text-align:left;margin-left:583.95pt;margin-top:123.2pt;width:33.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" filled="f" stroked="f">
                <v:textbox>
                  <w:txbxContent>
                    <w:p w14:paraId="7858CC90" w14:textId="77777777" w:rsidR="00436E97" w:rsidRDefault="00436E97" w:rsidP="00191F19">
                      <w:pPr>
                        <w:rPr>
                          <w:rFonts w:hAnsi="Calibri"/>
                          <w:color w:val="000000" w:themeColor="text1"/>
                          <w:sz w:val="18"/>
                          <w:szCs w:val="18"/>
                        </w:rPr>
                      </w:pPr>
                      <w:r>
                        <w:rPr>
                          <w:rFonts w:hAnsi="Calibri"/>
                          <w:color w:val="000000" w:themeColor="text1"/>
                          <w:sz w:val="18"/>
                          <w:szCs w:val="18"/>
                        </w:rPr>
                        <w:t>-1,08</w:t>
                      </w:r>
                    </w:p>
                  </w:txbxContent>
                </v:textbox>
              </v:shape>
            </w:pict>
          </mc:Fallback>
        </mc:AlternateContent>
      </w:r>
      <w:r w:rsidR="00191F19">
        <w:rPr>
          <w:noProof/>
        </w:rPr>
        <mc:AlternateContent>
          <mc:Choice Requires="wps">
            <w:drawing>
              <wp:anchor distT="0" distB="0" distL="114300" distR="114300" simplePos="0" relativeHeight="251660288" behindDoc="0" locked="0" layoutInCell="1" allowOverlap="1" wp14:anchorId="3902A7D2" wp14:editId="2C53F25D">
                <wp:simplePos x="0" y="0"/>
                <wp:positionH relativeFrom="column">
                  <wp:posOffset>7157085</wp:posOffset>
                </wp:positionH>
                <wp:positionV relativeFrom="paragraph">
                  <wp:posOffset>3157220</wp:posOffset>
                </wp:positionV>
                <wp:extent cx="428625" cy="266700"/>
                <wp:effectExtent l="0" t="0" r="0" b="0"/>
                <wp:wrapNone/>
                <wp:docPr id="1839185577" name="TextBox 10"/>
                <wp:cNvGraphicFramePr/>
                <a:graphic xmlns:a="http://schemas.openxmlformats.org/drawingml/2006/main">
                  <a:graphicData uri="http://schemas.microsoft.com/office/word/2010/wordprocessingShape">
                    <wps:wsp>
                      <wps:cNvSpPr txBox="1"/>
                      <wps:spPr>
                        <a:xfrm>
                          <a:off x="0" y="0"/>
                          <a:ext cx="42862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689E5E4" w14:textId="77777777" w:rsidR="00436E97" w:rsidRDefault="00436E97" w:rsidP="00191F19">
                            <w:pPr>
                              <w:rPr>
                                <w:rFonts w:hAnsi="Calibri"/>
                                <w:color w:val="000000" w:themeColor="text1"/>
                                <w:sz w:val="18"/>
                                <w:szCs w:val="18"/>
                              </w:rPr>
                            </w:pPr>
                            <w:r>
                              <w:rPr>
                                <w:rFonts w:hAnsi="Calibri"/>
                                <w:color w:val="000000" w:themeColor="text1"/>
                                <w:sz w:val="18"/>
                                <w:szCs w:val="18"/>
                              </w:rPr>
                              <w:t>-4,75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902A7D2" id="TextBox 10" o:spid="_x0000_s1027" type="#_x0000_t202" style="position:absolute;left:0;text-align:left;margin-left:563.55pt;margin-top:248.6pt;width:33.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" filled="f" stroked="f">
                <v:textbox>
                  <w:txbxContent>
                    <w:p w14:paraId="5689E5E4" w14:textId="77777777" w:rsidR="00436E97" w:rsidRDefault="00436E97" w:rsidP="00191F19">
                      <w:pPr>
                        <w:rPr>
                          <w:rFonts w:hAnsi="Calibri"/>
                          <w:color w:val="000000" w:themeColor="text1"/>
                          <w:sz w:val="18"/>
                          <w:szCs w:val="18"/>
                        </w:rPr>
                      </w:pPr>
                      <w:r>
                        <w:rPr>
                          <w:rFonts w:hAnsi="Calibri"/>
                          <w:color w:val="000000" w:themeColor="text1"/>
                          <w:sz w:val="18"/>
                          <w:szCs w:val="18"/>
                        </w:rPr>
                        <w:t>-4,75</w:t>
                      </w:r>
                    </w:p>
                  </w:txbxContent>
                </v:textbox>
              </v:shape>
            </w:pict>
          </mc:Fallback>
        </mc:AlternateContent>
      </w:r>
      <w:r w:rsidR="00191F19">
        <w:rPr>
          <w:noProof/>
        </w:rPr>
        <mc:AlternateContent>
          <mc:Choice Requires="wps">
            <w:drawing>
              <wp:anchor distT="0" distB="0" distL="114300" distR="114300" simplePos="0" relativeHeight="251662336" behindDoc="0" locked="0" layoutInCell="1" allowOverlap="1" wp14:anchorId="770D2101" wp14:editId="2B85AD7B">
                <wp:simplePos x="0" y="0"/>
                <wp:positionH relativeFrom="column">
                  <wp:posOffset>6494145</wp:posOffset>
                </wp:positionH>
                <wp:positionV relativeFrom="paragraph">
                  <wp:posOffset>3317240</wp:posOffset>
                </wp:positionV>
                <wp:extent cx="487680" cy="266700"/>
                <wp:effectExtent l="0" t="0" r="0" b="0"/>
                <wp:wrapNone/>
                <wp:docPr id="625377174" name="TextBox 12"/>
                <wp:cNvGraphicFramePr/>
                <a:graphic xmlns:a="http://schemas.openxmlformats.org/drawingml/2006/main">
                  <a:graphicData uri="http://schemas.microsoft.com/office/word/2010/wordprocessingShape">
                    <wps:wsp>
                      <wps:cNvSpPr txBox="1"/>
                      <wps:spPr>
                        <a:xfrm>
                          <a:off x="0" y="0"/>
                          <a:ext cx="48768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7914068" w14:textId="77777777" w:rsidR="00436E97" w:rsidRDefault="00436E97" w:rsidP="00191F19">
                            <w:pPr>
                              <w:rPr>
                                <w:rFonts w:hAnsi="Calibri"/>
                                <w:color w:val="000000" w:themeColor="text1"/>
                                <w:sz w:val="18"/>
                                <w:szCs w:val="18"/>
                              </w:rPr>
                            </w:pPr>
                            <w:r>
                              <w:rPr>
                                <w:rFonts w:hAnsi="Calibri"/>
                                <w:color w:val="000000" w:themeColor="text1"/>
                                <w:sz w:val="18"/>
                                <w:szCs w:val="18"/>
                              </w:rPr>
                              <w:t>-5,125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70D2101" id="TextBox 12" o:spid="_x0000_s1028" type="#_x0000_t202" style="position:absolute;left:0;text-align:left;margin-left:511.35pt;margin-top:261.2pt;width:38.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" filled="f" stroked="f">
                <v:textbox>
                  <w:txbxContent>
                    <w:p w14:paraId="57914068" w14:textId="77777777" w:rsidR="00436E97" w:rsidRDefault="00436E97" w:rsidP="00191F19">
                      <w:pPr>
                        <w:rPr>
                          <w:rFonts w:hAnsi="Calibri"/>
                          <w:color w:val="000000" w:themeColor="text1"/>
                          <w:sz w:val="18"/>
                          <w:szCs w:val="18"/>
                        </w:rPr>
                      </w:pPr>
                      <w:r>
                        <w:rPr>
                          <w:rFonts w:hAnsi="Calibri"/>
                          <w:color w:val="000000" w:themeColor="text1"/>
                          <w:sz w:val="18"/>
                          <w:szCs w:val="18"/>
                        </w:rPr>
                        <w:t>-5,125</w:t>
                      </w:r>
                    </w:p>
                  </w:txbxContent>
                </v:textbox>
              </v:shape>
            </w:pict>
          </mc:Fallback>
        </mc:AlternateContent>
      </w:r>
      <w:r w:rsidR="00191F19">
        <w:rPr>
          <w:noProof/>
        </w:rPr>
        <mc:AlternateContent>
          <mc:Choice Requires="wps">
            <w:drawing>
              <wp:anchor distT="0" distB="0" distL="114300" distR="114300" simplePos="0" relativeHeight="251668480" behindDoc="0" locked="0" layoutInCell="1" allowOverlap="1" wp14:anchorId="24716148" wp14:editId="425D1D67">
                <wp:simplePos x="0" y="0"/>
                <wp:positionH relativeFrom="column">
                  <wp:posOffset>6517005</wp:posOffset>
                </wp:positionH>
                <wp:positionV relativeFrom="paragraph">
                  <wp:posOffset>414020</wp:posOffset>
                </wp:positionV>
                <wp:extent cx="393065" cy="266700"/>
                <wp:effectExtent l="0" t="0" r="0" b="0"/>
                <wp:wrapNone/>
                <wp:docPr id="19" name="TextBox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CC13F4-6C45-4220-A591-9A4E65DFDDB1}"/>
                    </a:ext>
                  </a:extLst>
                </wp:docPr>
                <wp:cNvGraphicFramePr/>
                <a:graphic xmlns:a="http://schemas.openxmlformats.org/drawingml/2006/main">
                  <a:graphicData uri="http://schemas.microsoft.com/office/word/2010/wordprocessingShape">
                    <wps:wsp>
                      <wps:cNvSpPr txBox="1"/>
                      <wps:spPr>
                        <a:xfrm>
                          <a:off x="0" y="0"/>
                          <a:ext cx="39306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5441A1" w14:textId="77777777" w:rsidR="00436E97" w:rsidRDefault="00436E97" w:rsidP="00191F19">
                            <w:pPr>
                              <w:rPr>
                                <w:rFonts w:hAnsi="Calibri"/>
                                <w:color w:val="000000" w:themeColor="text1"/>
                                <w:sz w:val="18"/>
                                <w:szCs w:val="18"/>
                              </w:rPr>
                            </w:pPr>
                            <w:r>
                              <w:rPr>
                                <w:rFonts w:hAnsi="Calibri"/>
                                <w:color w:val="000000" w:themeColor="text1"/>
                                <w:sz w:val="18"/>
                                <w:szCs w:val="18"/>
                              </w:rPr>
                              <w:t>1,75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716148" id="TextBox 18" o:spid="_x0000_s1029" type="#_x0000_t202" style="position:absolute;left:0;text-align:left;margin-left:513.15pt;margin-top:32.6pt;width:30.9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" filled="f" stroked="f">
                <v:textbox>
                  <w:txbxContent>
                    <w:p w14:paraId="475441A1" w14:textId="77777777" w:rsidR="00436E97" w:rsidRDefault="00436E97" w:rsidP="00191F19">
                      <w:pPr>
                        <w:rPr>
                          <w:rFonts w:hAnsi="Calibri"/>
                          <w:color w:val="000000" w:themeColor="text1"/>
                          <w:sz w:val="18"/>
                          <w:szCs w:val="18"/>
                        </w:rPr>
                      </w:pPr>
                      <w:r>
                        <w:rPr>
                          <w:rFonts w:hAnsi="Calibri"/>
                          <w:color w:val="000000" w:themeColor="text1"/>
                          <w:sz w:val="18"/>
                          <w:szCs w:val="18"/>
                        </w:rPr>
                        <w:t>1,75</w:t>
                      </w:r>
                    </w:p>
                  </w:txbxContent>
                </v:textbox>
              </v:shape>
            </w:pict>
          </mc:Fallback>
        </mc:AlternateContent>
      </w:r>
      <w:r w:rsidR="00191F19">
        <w:rPr>
          <w:noProof/>
        </w:rPr>
        <mc:AlternateContent>
          <mc:Choice Requires="wps">
            <w:drawing>
              <wp:anchor distT="0" distB="0" distL="114300" distR="114300" simplePos="0" relativeHeight="251669504" behindDoc="0" locked="0" layoutInCell="1" allowOverlap="1" wp14:anchorId="21A0F639" wp14:editId="093DCA78">
                <wp:simplePos x="0" y="0"/>
                <wp:positionH relativeFrom="column">
                  <wp:posOffset>7187565</wp:posOffset>
                </wp:positionH>
                <wp:positionV relativeFrom="paragraph">
                  <wp:posOffset>520700</wp:posOffset>
                </wp:positionV>
                <wp:extent cx="393065" cy="266700"/>
                <wp:effectExtent l="0" t="0" r="0" b="0"/>
                <wp:wrapNone/>
                <wp:docPr id="20" name="TextBox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96EFD3-37F5-4255-B5FB-858E48F39CBB}"/>
                    </a:ext>
                  </a:extLst>
                </wp:docPr>
                <wp:cNvGraphicFramePr/>
                <a:graphic xmlns:a="http://schemas.openxmlformats.org/drawingml/2006/main">
                  <a:graphicData uri="http://schemas.microsoft.com/office/word/2010/wordprocessingShape">
                    <wps:wsp>
                      <wps:cNvSpPr txBox="1"/>
                      <wps:spPr>
                        <a:xfrm>
                          <a:off x="0" y="0"/>
                          <a:ext cx="39306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665C14" w14:textId="77777777" w:rsidR="00436E97" w:rsidRDefault="00436E97" w:rsidP="00191F19">
                            <w:pPr>
                              <w:rPr>
                                <w:rFonts w:hAnsi="Calibri"/>
                                <w:color w:val="000000" w:themeColor="text1"/>
                                <w:sz w:val="18"/>
                                <w:szCs w:val="18"/>
                              </w:rPr>
                            </w:pPr>
                            <w:r>
                              <w:rPr>
                                <w:rFonts w:hAnsi="Calibri"/>
                                <w:color w:val="000000" w:themeColor="text1"/>
                                <w:sz w:val="18"/>
                                <w:szCs w:val="18"/>
                              </w:rPr>
                              <w:t>1,50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1A0F639" id="TextBox 19" o:spid="_x0000_s1030" type="#_x0000_t202" style="position:absolute;left:0;text-align:left;margin-left:565.95pt;margin-top:41pt;width:30.9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" filled="f" stroked="f">
                <v:textbox>
                  <w:txbxContent>
                    <w:p w14:paraId="29665C14" w14:textId="77777777" w:rsidR="00436E97" w:rsidRDefault="00436E97" w:rsidP="00191F19">
                      <w:pPr>
                        <w:rPr>
                          <w:rFonts w:hAnsi="Calibri"/>
                          <w:color w:val="000000" w:themeColor="text1"/>
                          <w:sz w:val="18"/>
                          <w:szCs w:val="18"/>
                        </w:rPr>
                      </w:pPr>
                      <w:r>
                        <w:rPr>
                          <w:rFonts w:hAnsi="Calibri"/>
                          <w:color w:val="000000" w:themeColor="text1"/>
                          <w:sz w:val="18"/>
                          <w:szCs w:val="18"/>
                        </w:rPr>
                        <w:t>1,50</w:t>
                      </w:r>
                    </w:p>
                  </w:txbxContent>
                </v:textbox>
              </v:shape>
            </w:pict>
          </mc:Fallback>
        </mc:AlternateContent>
      </w:r>
      <w:r w:rsidR="00191F19">
        <w:rPr>
          <w:noProof/>
        </w:rPr>
        <mc:AlternateContent>
          <mc:Choice Requires="wps">
            <w:drawing>
              <wp:anchor distT="0" distB="0" distL="114300" distR="114300" simplePos="0" relativeHeight="251671552" behindDoc="0" locked="0" layoutInCell="1" allowOverlap="1" wp14:anchorId="3213BD4B" wp14:editId="228D0D1A">
                <wp:simplePos x="0" y="0"/>
                <wp:positionH relativeFrom="column">
                  <wp:posOffset>1396365</wp:posOffset>
                </wp:positionH>
                <wp:positionV relativeFrom="paragraph">
                  <wp:posOffset>741680</wp:posOffset>
                </wp:positionV>
                <wp:extent cx="393065" cy="266700"/>
                <wp:effectExtent l="0" t="0" r="0" b="0"/>
                <wp:wrapNone/>
                <wp:docPr id="1883720361" name="TextBox 21"/>
                <wp:cNvGraphicFramePr/>
                <a:graphic xmlns:a="http://schemas.openxmlformats.org/drawingml/2006/main">
                  <a:graphicData uri="http://schemas.microsoft.com/office/word/2010/wordprocessingShape">
                    <wps:wsp>
                      <wps:cNvSpPr txBox="1"/>
                      <wps:spPr>
                        <a:xfrm>
                          <a:off x="0" y="0"/>
                          <a:ext cx="39306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881DC6" w14:textId="77777777" w:rsidR="00436E97" w:rsidRDefault="00436E97" w:rsidP="00191F19">
                            <w:pPr>
                              <w:rPr>
                                <w:rFonts w:hAnsi="Calibri"/>
                                <w:color w:val="000000" w:themeColor="text1"/>
                                <w:sz w:val="18"/>
                                <w:szCs w:val="18"/>
                              </w:rPr>
                            </w:pPr>
                            <w:r>
                              <w:rPr>
                                <w:rFonts w:hAnsi="Calibri"/>
                                <w:color w:val="000000" w:themeColor="text1"/>
                                <w:sz w:val="18"/>
                                <w:szCs w:val="18"/>
                              </w:rPr>
                              <w:t>1,00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213BD4B" id="TextBox 21" o:spid="_x0000_s1031" type="#_x0000_t202" style="position:absolute;left:0;text-align:left;margin-left:109.95pt;margin-top:58.4pt;width:30.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" filled="f" stroked="f">
                <v:textbox>
                  <w:txbxContent>
                    <w:p w14:paraId="5E881DC6" w14:textId="77777777" w:rsidR="00436E97" w:rsidRDefault="00436E97" w:rsidP="00191F19">
                      <w:pPr>
                        <w:rPr>
                          <w:rFonts w:hAnsi="Calibri"/>
                          <w:color w:val="000000" w:themeColor="text1"/>
                          <w:sz w:val="18"/>
                          <w:szCs w:val="18"/>
                        </w:rPr>
                      </w:pPr>
                      <w:r>
                        <w:rPr>
                          <w:rFonts w:hAnsi="Calibri"/>
                          <w:color w:val="000000" w:themeColor="text1"/>
                          <w:sz w:val="18"/>
                          <w:szCs w:val="18"/>
                        </w:rPr>
                        <w:t>1,00</w:t>
                      </w:r>
                    </w:p>
                  </w:txbxContent>
                </v:textbox>
              </v:shape>
            </w:pict>
          </mc:Fallback>
        </mc:AlternateContent>
      </w:r>
    </w:p>
    <w:p w14:paraId="563983A2" w14:textId="7DEF7B3C" w:rsidR="00325B2D" w:rsidRDefault="001E0803" w:rsidP="005C37DF">
      <w:pPr>
        <w:spacing w:after="0" w:line="24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6672" behindDoc="0" locked="0" layoutInCell="1" allowOverlap="1" wp14:anchorId="206BAED0" wp14:editId="16DF09ED">
                <wp:simplePos x="0" y="0"/>
                <wp:positionH relativeFrom="column">
                  <wp:posOffset>4002405</wp:posOffset>
                </wp:positionH>
                <wp:positionV relativeFrom="paragraph">
                  <wp:posOffset>1314450</wp:posOffset>
                </wp:positionV>
                <wp:extent cx="487942" cy="266700"/>
                <wp:effectExtent l="0" t="0" r="0" b="0"/>
                <wp:wrapNone/>
                <wp:docPr id="27" name="TextBox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196FA4-6A3B-401A-88A6-04C11409E391}"/>
                    </a:ext>
                  </a:extLst>
                </wp:docPr>
                <wp:cNvGraphicFramePr/>
                <a:graphic xmlns:a="http://schemas.openxmlformats.org/drawingml/2006/main">
                  <a:graphicData uri="http://schemas.microsoft.com/office/word/2010/wordprocessingShape">
                    <wps:wsp>
                      <wps:cNvSpPr txBox="1"/>
                      <wps:spPr>
                        <a:xfrm>
                          <a:off x="0" y="0"/>
                          <a:ext cx="487942"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14FAE5" w14:textId="77777777" w:rsidR="00436E97" w:rsidRDefault="00436E97" w:rsidP="00191F19">
                            <w:pPr>
                              <w:rPr>
                                <w:rFonts w:hAnsi="Calibri"/>
                                <w:color w:val="000000" w:themeColor="text1"/>
                                <w:sz w:val="18"/>
                                <w:szCs w:val="18"/>
                              </w:rPr>
                            </w:pPr>
                            <w:r>
                              <w:rPr>
                                <w:rFonts w:hAnsi="Calibri"/>
                                <w:color w:val="000000" w:themeColor="text1"/>
                                <w:sz w:val="18"/>
                                <w:szCs w:val="18"/>
                              </w:rPr>
                              <w:t>-0,840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6BAED0" id="TextBox 26" o:spid="_x0000_s1032" type="#_x0000_t202" style="position:absolute;left:0;text-align:left;margin-left:315.15pt;margin-top:103.5pt;width:38.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" filled="f" stroked="f">
                <v:textbox>
                  <w:txbxContent>
                    <w:p w14:paraId="3C14FAE5" w14:textId="77777777" w:rsidR="00436E97" w:rsidRDefault="00436E97" w:rsidP="00191F19">
                      <w:pPr>
                        <w:rPr>
                          <w:rFonts w:hAnsi="Calibri"/>
                          <w:color w:val="000000" w:themeColor="text1"/>
                          <w:sz w:val="18"/>
                          <w:szCs w:val="18"/>
                        </w:rPr>
                      </w:pPr>
                      <w:r>
                        <w:rPr>
                          <w:rFonts w:hAnsi="Calibri"/>
                          <w:color w:val="000000" w:themeColor="text1"/>
                          <w:sz w:val="18"/>
                          <w:szCs w:val="18"/>
                        </w:rPr>
                        <w:t>-0,840</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4050C6B" wp14:editId="4F407FEB">
                <wp:simplePos x="0" y="0"/>
                <wp:positionH relativeFrom="column">
                  <wp:posOffset>2074545</wp:posOffset>
                </wp:positionH>
                <wp:positionV relativeFrom="paragraph">
                  <wp:posOffset>933450</wp:posOffset>
                </wp:positionV>
                <wp:extent cx="487680" cy="266700"/>
                <wp:effectExtent l="0" t="0" r="0" b="0"/>
                <wp:wrapNone/>
                <wp:docPr id="24" name="TextBox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DED4BE-603F-4D04-BA61-F5CA89EDAC8B}"/>
                    </a:ext>
                  </a:extLst>
                </wp:docPr>
                <wp:cNvGraphicFramePr/>
                <a:graphic xmlns:a="http://schemas.openxmlformats.org/drawingml/2006/main">
                  <a:graphicData uri="http://schemas.microsoft.com/office/word/2010/wordprocessingShape">
                    <wps:wsp>
                      <wps:cNvSpPr txBox="1"/>
                      <wps:spPr>
                        <a:xfrm>
                          <a:off x="0" y="0"/>
                          <a:ext cx="48768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97B202" w14:textId="77777777" w:rsidR="00436E97" w:rsidRDefault="00436E97" w:rsidP="00191F19">
                            <w:pPr>
                              <w:rPr>
                                <w:rFonts w:hAnsi="Calibri"/>
                                <w:color w:val="000000" w:themeColor="text1"/>
                                <w:sz w:val="18"/>
                                <w:szCs w:val="18"/>
                              </w:rPr>
                            </w:pPr>
                            <w:r>
                              <w:rPr>
                                <w:rFonts w:hAnsi="Calibri"/>
                                <w:color w:val="000000" w:themeColor="text1"/>
                                <w:sz w:val="18"/>
                                <w:szCs w:val="18"/>
                              </w:rPr>
                              <w:t>-0,274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4050C6B" id="TextBox 23" o:spid="_x0000_s1033" type="#_x0000_t202" style="position:absolute;left:0;text-align:left;margin-left:163.35pt;margin-top:73.5pt;width:38.4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" filled="f" stroked="f">
                <v:textbox>
                  <w:txbxContent>
                    <w:p w14:paraId="6B97B202" w14:textId="77777777" w:rsidR="00436E97" w:rsidRDefault="00436E97" w:rsidP="00191F19">
                      <w:pPr>
                        <w:rPr>
                          <w:rFonts w:hAnsi="Calibri"/>
                          <w:color w:val="000000" w:themeColor="text1"/>
                          <w:sz w:val="18"/>
                          <w:szCs w:val="18"/>
                        </w:rPr>
                      </w:pPr>
                      <w:r>
                        <w:rPr>
                          <w:rFonts w:hAnsi="Calibri"/>
                          <w:color w:val="000000" w:themeColor="text1"/>
                          <w:sz w:val="18"/>
                          <w:szCs w:val="18"/>
                        </w:rPr>
                        <w:t>-0,274</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C65879F" wp14:editId="23A0A39E">
                <wp:simplePos x="0" y="0"/>
                <wp:positionH relativeFrom="column">
                  <wp:posOffset>832485</wp:posOffset>
                </wp:positionH>
                <wp:positionV relativeFrom="paragraph">
                  <wp:posOffset>887730</wp:posOffset>
                </wp:positionV>
                <wp:extent cx="487680" cy="266700"/>
                <wp:effectExtent l="0" t="0" r="0" b="0"/>
                <wp:wrapNone/>
                <wp:docPr id="23" name="TextBox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42D4D6-E8DB-4940-A681-F6855BB6521D}"/>
                    </a:ext>
                  </a:extLst>
                </wp:docPr>
                <wp:cNvGraphicFramePr/>
                <a:graphic xmlns:a="http://schemas.openxmlformats.org/drawingml/2006/main">
                  <a:graphicData uri="http://schemas.microsoft.com/office/word/2010/wordprocessingShape">
                    <wps:wsp>
                      <wps:cNvSpPr txBox="1"/>
                      <wps:spPr>
                        <a:xfrm>
                          <a:off x="0" y="0"/>
                          <a:ext cx="48768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F894DA" w14:textId="77777777" w:rsidR="00436E97" w:rsidRDefault="00436E97" w:rsidP="00191F19">
                            <w:pPr>
                              <w:rPr>
                                <w:rFonts w:hAnsi="Calibri"/>
                                <w:color w:val="000000" w:themeColor="text1"/>
                                <w:sz w:val="18"/>
                                <w:szCs w:val="18"/>
                              </w:rPr>
                            </w:pPr>
                            <w:r>
                              <w:rPr>
                                <w:rFonts w:hAnsi="Calibri"/>
                                <w:color w:val="000000" w:themeColor="text1"/>
                                <w:sz w:val="18"/>
                                <w:szCs w:val="18"/>
                              </w:rPr>
                              <w:t>-0,109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65879F" id="TextBox 22" o:spid="_x0000_s1034" type="#_x0000_t202" style="position:absolute;left:0;text-align:left;margin-left:65.55pt;margin-top:69.9pt;width:38.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" filled="f" stroked="f">
                <v:textbox>
                  <w:txbxContent>
                    <w:p w14:paraId="23F894DA" w14:textId="77777777" w:rsidR="00436E97" w:rsidRDefault="00436E97" w:rsidP="00191F19">
                      <w:pPr>
                        <w:rPr>
                          <w:rFonts w:hAnsi="Calibri"/>
                          <w:color w:val="000000" w:themeColor="text1"/>
                          <w:sz w:val="18"/>
                          <w:szCs w:val="18"/>
                        </w:rPr>
                      </w:pPr>
                      <w:r>
                        <w:rPr>
                          <w:rFonts w:hAnsi="Calibri"/>
                          <w:color w:val="000000" w:themeColor="text1"/>
                          <w:sz w:val="18"/>
                          <w:szCs w:val="18"/>
                        </w:rPr>
                        <w:t>-0,109</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58FCFD9" wp14:editId="78E72E1B">
                <wp:simplePos x="0" y="0"/>
                <wp:positionH relativeFrom="column">
                  <wp:posOffset>1922145</wp:posOffset>
                </wp:positionH>
                <wp:positionV relativeFrom="paragraph">
                  <wp:posOffset>582930</wp:posOffset>
                </wp:positionV>
                <wp:extent cx="452120" cy="266700"/>
                <wp:effectExtent l="0" t="0" r="0" b="0"/>
                <wp:wrapNone/>
                <wp:docPr id="18" name="TextBox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313EE5-9FB4-4ADA-8093-9DEC64CFE178}"/>
                    </a:ext>
                  </a:extLst>
                </wp:docPr>
                <wp:cNvGraphicFramePr/>
                <a:graphic xmlns:a="http://schemas.openxmlformats.org/drawingml/2006/main">
                  <a:graphicData uri="http://schemas.microsoft.com/office/word/2010/wordprocessingShape">
                    <wps:wsp>
                      <wps:cNvSpPr txBox="1"/>
                      <wps:spPr>
                        <a:xfrm>
                          <a:off x="0" y="0"/>
                          <a:ext cx="45212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DEE8458" w14:textId="77777777" w:rsidR="00436E97" w:rsidRDefault="00436E97" w:rsidP="00191F19">
                            <w:pPr>
                              <w:rPr>
                                <w:rFonts w:hAnsi="Calibri"/>
                                <w:color w:val="000000" w:themeColor="text1"/>
                                <w:sz w:val="18"/>
                                <w:szCs w:val="18"/>
                              </w:rPr>
                            </w:pPr>
                            <w:r>
                              <w:rPr>
                                <w:rFonts w:hAnsi="Calibri"/>
                                <w:color w:val="000000" w:themeColor="text1"/>
                                <w:sz w:val="18"/>
                                <w:szCs w:val="18"/>
                              </w:rPr>
                              <w:t>0,875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8FCFD9" id="TextBox 17" o:spid="_x0000_s1035" type="#_x0000_t202" style="position:absolute;left:0;text-align:left;margin-left:151.35pt;margin-top:45.9pt;width:35.6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" filled="f" stroked="f">
                <v:textbox>
                  <w:txbxContent>
                    <w:p w14:paraId="7DEE8458" w14:textId="77777777" w:rsidR="00436E97" w:rsidRDefault="00436E97" w:rsidP="00191F19">
                      <w:pPr>
                        <w:rPr>
                          <w:rFonts w:hAnsi="Calibri"/>
                          <w:color w:val="000000" w:themeColor="text1"/>
                          <w:sz w:val="18"/>
                          <w:szCs w:val="18"/>
                        </w:rPr>
                      </w:pPr>
                      <w:r>
                        <w:rPr>
                          <w:rFonts w:hAnsi="Calibri"/>
                          <w:color w:val="000000" w:themeColor="text1"/>
                          <w:sz w:val="18"/>
                          <w:szCs w:val="18"/>
                        </w:rPr>
                        <w:t>0,875</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24CD193" wp14:editId="6894A15C">
                <wp:simplePos x="0" y="0"/>
                <wp:positionH relativeFrom="page">
                  <wp:align>center</wp:align>
                </wp:positionH>
                <wp:positionV relativeFrom="paragraph">
                  <wp:posOffset>1169670</wp:posOffset>
                </wp:positionV>
                <wp:extent cx="487680" cy="266700"/>
                <wp:effectExtent l="0" t="0" r="0" b="0"/>
                <wp:wrapNone/>
                <wp:docPr id="25" name="TextBox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21549-2558-44F3-83D3-9BCC6724B7CC}"/>
                    </a:ext>
                  </a:extLst>
                </wp:docPr>
                <wp:cNvGraphicFramePr/>
                <a:graphic xmlns:a="http://schemas.openxmlformats.org/drawingml/2006/main">
                  <a:graphicData uri="http://schemas.microsoft.com/office/word/2010/wordprocessingShape">
                    <wps:wsp>
                      <wps:cNvSpPr txBox="1"/>
                      <wps:spPr>
                        <a:xfrm>
                          <a:off x="0" y="0"/>
                          <a:ext cx="48768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22AD9C" w14:textId="77777777" w:rsidR="00436E97" w:rsidRDefault="00436E97" w:rsidP="00191F19">
                            <w:pPr>
                              <w:rPr>
                                <w:rFonts w:hAnsi="Calibri"/>
                                <w:color w:val="000000" w:themeColor="text1"/>
                                <w:sz w:val="18"/>
                                <w:szCs w:val="18"/>
                              </w:rPr>
                            </w:pPr>
                            <w:r>
                              <w:rPr>
                                <w:rFonts w:hAnsi="Calibri"/>
                                <w:color w:val="000000" w:themeColor="text1"/>
                                <w:sz w:val="18"/>
                                <w:szCs w:val="18"/>
                              </w:rPr>
                              <w:t>-0,399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4CD193" id="TextBox 24" o:spid="_x0000_s1036" type="#_x0000_t202" style="position:absolute;left:0;text-align:left;margin-left:0;margin-top:92.1pt;width:38.4pt;height:21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" filled="f" stroked="f">
                <v:textbox>
                  <w:txbxContent>
                    <w:p w14:paraId="2D22AD9C" w14:textId="77777777" w:rsidR="00436E97" w:rsidRDefault="00436E97" w:rsidP="00191F19">
                      <w:pPr>
                        <w:rPr>
                          <w:rFonts w:hAnsi="Calibri"/>
                          <w:color w:val="000000" w:themeColor="text1"/>
                          <w:sz w:val="18"/>
                          <w:szCs w:val="18"/>
                        </w:rPr>
                      </w:pPr>
                      <w:r>
                        <w:rPr>
                          <w:rFonts w:hAnsi="Calibri"/>
                          <w:color w:val="000000" w:themeColor="text1"/>
                          <w:sz w:val="18"/>
                          <w:szCs w:val="18"/>
                        </w:rPr>
                        <w:t>-0,399</w:t>
                      </w:r>
                    </w:p>
                  </w:txbxContent>
                </v:textbox>
                <w10:wrap anchorx="page"/>
              </v:shape>
            </w:pict>
          </mc:Fallback>
        </mc:AlternateContent>
      </w:r>
      <w:r w:rsidR="00EE3F8B">
        <w:rPr>
          <w:noProof/>
        </w:rPr>
        <mc:AlternateContent>
          <mc:Choice Requires="wps">
            <w:drawing>
              <wp:anchor distT="0" distB="0" distL="114300" distR="114300" simplePos="0" relativeHeight="251681792" behindDoc="0" locked="0" layoutInCell="1" allowOverlap="1" wp14:anchorId="6348C6FE" wp14:editId="2A057FB8">
                <wp:simplePos x="0" y="0"/>
                <wp:positionH relativeFrom="column">
                  <wp:posOffset>4634230</wp:posOffset>
                </wp:positionH>
                <wp:positionV relativeFrom="paragraph">
                  <wp:posOffset>314960</wp:posOffset>
                </wp:positionV>
                <wp:extent cx="388889" cy="233205"/>
                <wp:effectExtent l="0" t="0" r="0" b="0"/>
                <wp:wrapNone/>
                <wp:docPr id="406097279" name="TextBox 18"/>
                <wp:cNvGraphicFramePr/>
                <a:graphic xmlns:a="http://schemas.openxmlformats.org/drawingml/2006/main">
                  <a:graphicData uri="http://schemas.microsoft.com/office/word/2010/wordprocessingShape">
                    <wps:wsp>
                      <wps:cNvSpPr txBox="1"/>
                      <wps:spPr>
                        <a:xfrm>
                          <a:off x="0" y="0"/>
                          <a:ext cx="388889"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208BF3" w14:textId="77777777" w:rsidR="00436E97" w:rsidRDefault="00436E97" w:rsidP="00EE3F8B">
                            <w:pPr>
                              <w:rPr>
                                <w:rFonts w:hAnsi="Calibri"/>
                                <w:color w:val="000000" w:themeColor="text1"/>
                                <w:sz w:val="18"/>
                                <w:szCs w:val="18"/>
                              </w:rPr>
                            </w:pPr>
                            <w:r>
                              <w:rPr>
                                <w:rFonts w:hAnsi="Calibri"/>
                                <w:color w:val="000000" w:themeColor="text1"/>
                                <w:sz w:val="18"/>
                                <w:szCs w:val="18"/>
                              </w:rPr>
                              <w:t>1,75</w:t>
                            </w:r>
                          </w:p>
                        </w:txbxContent>
                      </wps:txbx>
                      <wps:bodyPr vertOverflow="clip" horzOverflow="clip" wrap="none" rtlCol="0" anchor="t">
                        <a:spAutoFit/>
                      </wps:bodyPr>
                    </wps:wsp>
                  </a:graphicData>
                </a:graphic>
              </wp:anchor>
            </w:drawing>
          </mc:Choice>
          <mc:Fallback>
            <w:pict>
              <v:shape w14:anchorId="6348C6FE" id="_x0000_s1037" type="#_x0000_t202" style="position:absolute;left:0;text-align:left;margin-left:364.9pt;margin-top:24.8pt;width:30.6pt;height:18.3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" filled="f" stroked="f">
                <v:textbox style="mso-fit-shape-to-text:t">
                  <w:txbxContent>
                    <w:p w14:paraId="4B208BF3" w14:textId="77777777" w:rsidR="00436E97" w:rsidRDefault="00436E97" w:rsidP="00EE3F8B">
                      <w:pPr>
                        <w:rPr>
                          <w:rFonts w:hAnsi="Calibri"/>
                          <w:color w:val="000000" w:themeColor="text1"/>
                          <w:sz w:val="18"/>
                          <w:szCs w:val="18"/>
                        </w:rPr>
                      </w:pPr>
                      <w:r>
                        <w:rPr>
                          <w:rFonts w:hAnsi="Calibri"/>
                          <w:color w:val="000000" w:themeColor="text1"/>
                          <w:sz w:val="18"/>
                          <w:szCs w:val="18"/>
                        </w:rPr>
                        <w:t>1,75</w:t>
                      </w:r>
                    </w:p>
                  </w:txbxContent>
                </v:textbox>
              </v:shape>
            </w:pict>
          </mc:Fallback>
        </mc:AlternateContent>
      </w:r>
      <w:r w:rsidR="00EE3F8B">
        <w:rPr>
          <w:noProof/>
        </w:rPr>
        <mc:AlternateContent>
          <mc:Choice Requires="wps">
            <w:drawing>
              <wp:anchor distT="0" distB="0" distL="114300" distR="114300" simplePos="0" relativeHeight="251682816" behindDoc="0" locked="0" layoutInCell="1" allowOverlap="1" wp14:anchorId="75C2A981" wp14:editId="0F5AC8C2">
                <wp:simplePos x="0" y="0"/>
                <wp:positionH relativeFrom="column">
                  <wp:posOffset>5158740</wp:posOffset>
                </wp:positionH>
                <wp:positionV relativeFrom="paragraph">
                  <wp:posOffset>391160</wp:posOffset>
                </wp:positionV>
                <wp:extent cx="388620" cy="233045"/>
                <wp:effectExtent l="0" t="0" r="0" b="0"/>
                <wp:wrapNone/>
                <wp:docPr id="1667340642" name="TextBox 19"/>
                <wp:cNvGraphicFramePr/>
                <a:graphic xmlns:a="http://schemas.openxmlformats.org/drawingml/2006/main">
                  <a:graphicData uri="http://schemas.microsoft.com/office/word/2010/wordprocessingShape">
                    <wps:wsp>
                      <wps:cNvSpPr txBox="1"/>
                      <wps:spPr>
                        <a:xfrm>
                          <a:off x="0" y="0"/>
                          <a:ext cx="38862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EA542D" w14:textId="77777777" w:rsidR="00436E97" w:rsidRDefault="00436E97" w:rsidP="00EE3F8B">
                            <w:pPr>
                              <w:rPr>
                                <w:rFonts w:hAnsi="Calibri"/>
                                <w:color w:val="000000" w:themeColor="text1"/>
                                <w:sz w:val="18"/>
                                <w:szCs w:val="18"/>
                              </w:rPr>
                            </w:pPr>
                            <w:r>
                              <w:rPr>
                                <w:rFonts w:hAnsi="Calibri"/>
                                <w:color w:val="000000" w:themeColor="text1"/>
                                <w:sz w:val="18"/>
                                <w:szCs w:val="18"/>
                              </w:rPr>
                              <w:t>1,50</w:t>
                            </w:r>
                          </w:p>
                        </w:txbxContent>
                      </wps:txbx>
                      <wps:bodyPr vertOverflow="clip" horzOverflow="clip" wrap="none" rtlCol="0" anchor="t">
                        <a:spAutoFit/>
                      </wps:bodyPr>
                    </wps:wsp>
                  </a:graphicData>
                </a:graphic>
              </wp:anchor>
            </w:drawing>
          </mc:Choice>
          <mc:Fallback>
            <w:pict>
              <v:shape w14:anchorId="75C2A981" id="_x0000_s1038" type="#_x0000_t202" style="position:absolute;left:0;text-align:left;margin-left:406.2pt;margin-top:30.8pt;width:30.6pt;height:18.3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" filled="f" stroked="f">
                <v:textbox style="mso-fit-shape-to-text:t">
                  <w:txbxContent>
                    <w:p w14:paraId="05EA542D" w14:textId="77777777" w:rsidR="00436E97" w:rsidRDefault="00436E97" w:rsidP="00EE3F8B">
                      <w:pPr>
                        <w:rPr>
                          <w:rFonts w:hAnsi="Calibri"/>
                          <w:color w:val="000000" w:themeColor="text1"/>
                          <w:sz w:val="18"/>
                          <w:szCs w:val="18"/>
                        </w:rPr>
                      </w:pPr>
                      <w:r>
                        <w:rPr>
                          <w:rFonts w:hAnsi="Calibri"/>
                          <w:color w:val="000000" w:themeColor="text1"/>
                          <w:sz w:val="18"/>
                          <w:szCs w:val="18"/>
                        </w:rPr>
                        <w:t>1,50</w:t>
                      </w:r>
                    </w:p>
                  </w:txbxContent>
                </v:textbox>
              </v:shape>
            </w:pict>
          </mc:Fallback>
        </mc:AlternateContent>
      </w:r>
      <w:r w:rsidR="00EE3F8B">
        <w:rPr>
          <w:noProof/>
        </w:rPr>
        <mc:AlternateContent>
          <mc:Choice Requires="wps">
            <w:drawing>
              <wp:anchor distT="0" distB="0" distL="114300" distR="114300" simplePos="0" relativeHeight="251678720" behindDoc="0" locked="0" layoutInCell="1" allowOverlap="1" wp14:anchorId="5827DD8A" wp14:editId="0A49B7AF">
                <wp:simplePos x="0" y="0"/>
                <wp:positionH relativeFrom="column">
                  <wp:posOffset>5341620</wp:posOffset>
                </wp:positionH>
                <wp:positionV relativeFrom="paragraph">
                  <wp:posOffset>1320800</wp:posOffset>
                </wp:positionV>
                <wp:extent cx="424219" cy="233205"/>
                <wp:effectExtent l="0" t="0" r="0" b="0"/>
                <wp:wrapNone/>
                <wp:docPr id="839653791" name="TextBox 9"/>
                <wp:cNvGraphicFramePr/>
                <a:graphic xmlns:a="http://schemas.openxmlformats.org/drawingml/2006/main">
                  <a:graphicData uri="http://schemas.microsoft.com/office/word/2010/wordprocessingShape">
                    <wps:wsp>
                      <wps:cNvSpPr txBox="1"/>
                      <wps:spPr>
                        <a:xfrm>
                          <a:off x="0" y="0"/>
                          <a:ext cx="424219"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1AD6E54" w14:textId="77777777" w:rsidR="00436E97" w:rsidRDefault="00436E97" w:rsidP="00EE3F8B">
                            <w:pPr>
                              <w:rPr>
                                <w:rFonts w:hAnsi="Calibri"/>
                                <w:color w:val="000000" w:themeColor="text1"/>
                                <w:sz w:val="18"/>
                                <w:szCs w:val="18"/>
                              </w:rPr>
                            </w:pPr>
                            <w:r>
                              <w:rPr>
                                <w:rFonts w:hAnsi="Calibri"/>
                                <w:color w:val="000000" w:themeColor="text1"/>
                                <w:sz w:val="18"/>
                                <w:szCs w:val="18"/>
                              </w:rPr>
                              <w:t>-1,08</w:t>
                            </w:r>
                          </w:p>
                        </w:txbxContent>
                      </wps:txbx>
                      <wps:bodyPr vertOverflow="clip" horzOverflow="clip" wrap="none" rtlCol="0" anchor="t">
                        <a:spAutoFit/>
                      </wps:bodyPr>
                    </wps:wsp>
                  </a:graphicData>
                </a:graphic>
              </wp:anchor>
            </w:drawing>
          </mc:Choice>
          <mc:Fallback>
            <w:pict>
              <v:shape w14:anchorId="5827DD8A" id="_x0000_s1039" type="#_x0000_t202" style="position:absolute;left:0;text-align:left;margin-left:420.6pt;margin-top:104pt;width:33.4pt;height:18.3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" filled="f" stroked="f">
                <v:textbox style="mso-fit-shape-to-text:t">
                  <w:txbxContent>
                    <w:p w14:paraId="21AD6E54" w14:textId="77777777" w:rsidR="00436E97" w:rsidRDefault="00436E97" w:rsidP="00EE3F8B">
                      <w:pPr>
                        <w:rPr>
                          <w:rFonts w:hAnsi="Calibri"/>
                          <w:color w:val="000000" w:themeColor="text1"/>
                          <w:sz w:val="18"/>
                          <w:szCs w:val="18"/>
                        </w:rPr>
                      </w:pPr>
                      <w:r>
                        <w:rPr>
                          <w:rFonts w:hAnsi="Calibri"/>
                          <w:color w:val="000000" w:themeColor="text1"/>
                          <w:sz w:val="18"/>
                          <w:szCs w:val="18"/>
                        </w:rPr>
                        <w:t>-1,08</w:t>
                      </w:r>
                    </w:p>
                  </w:txbxContent>
                </v:textbox>
              </v:shape>
            </w:pict>
          </mc:Fallback>
        </mc:AlternateContent>
      </w:r>
      <w:r w:rsidR="00EE3F8B">
        <w:rPr>
          <w:noProof/>
        </w:rPr>
        <mc:AlternateContent>
          <mc:Choice Requires="wps">
            <w:drawing>
              <wp:anchor distT="0" distB="0" distL="114300" distR="114300" simplePos="0" relativeHeight="251679744" behindDoc="0" locked="0" layoutInCell="1" allowOverlap="1" wp14:anchorId="794A0D57" wp14:editId="5641583F">
                <wp:simplePos x="0" y="0"/>
                <wp:positionH relativeFrom="column">
                  <wp:posOffset>5158740</wp:posOffset>
                </wp:positionH>
                <wp:positionV relativeFrom="paragraph">
                  <wp:posOffset>2402840</wp:posOffset>
                </wp:positionV>
                <wp:extent cx="424180" cy="233045"/>
                <wp:effectExtent l="0" t="0" r="0" b="0"/>
                <wp:wrapNone/>
                <wp:docPr id="1800655433" name="TextBox 10"/>
                <wp:cNvGraphicFramePr/>
                <a:graphic xmlns:a="http://schemas.openxmlformats.org/drawingml/2006/main">
                  <a:graphicData uri="http://schemas.microsoft.com/office/word/2010/wordprocessingShape">
                    <wps:wsp>
                      <wps:cNvSpPr txBox="1"/>
                      <wps:spPr>
                        <a:xfrm>
                          <a:off x="0" y="0"/>
                          <a:ext cx="42418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62A4DF" w14:textId="77777777" w:rsidR="00436E97" w:rsidRDefault="00436E97" w:rsidP="00EE3F8B">
                            <w:pPr>
                              <w:rPr>
                                <w:rFonts w:hAnsi="Calibri"/>
                                <w:color w:val="000000" w:themeColor="text1"/>
                                <w:sz w:val="18"/>
                                <w:szCs w:val="18"/>
                              </w:rPr>
                            </w:pPr>
                            <w:r>
                              <w:rPr>
                                <w:rFonts w:hAnsi="Calibri"/>
                                <w:color w:val="000000" w:themeColor="text1"/>
                                <w:sz w:val="18"/>
                                <w:szCs w:val="18"/>
                              </w:rPr>
                              <w:t>-4,75</w:t>
                            </w:r>
                          </w:p>
                        </w:txbxContent>
                      </wps:txbx>
                      <wps:bodyPr vertOverflow="clip" horzOverflow="clip" wrap="none" rtlCol="0" anchor="t">
                        <a:spAutoFit/>
                      </wps:bodyPr>
                    </wps:wsp>
                  </a:graphicData>
                </a:graphic>
              </wp:anchor>
            </w:drawing>
          </mc:Choice>
          <mc:Fallback>
            <w:pict>
              <v:shape w14:anchorId="794A0D57" id="_x0000_s1040" type="#_x0000_t202" style="position:absolute;left:0;text-align:left;margin-left:406.2pt;margin-top:189.2pt;width:33.4pt;height:18.3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" filled="f" stroked="f">
                <v:textbox style="mso-fit-shape-to-text:t">
                  <w:txbxContent>
                    <w:p w14:paraId="4462A4DF" w14:textId="77777777" w:rsidR="00436E97" w:rsidRDefault="00436E97" w:rsidP="00EE3F8B">
                      <w:pPr>
                        <w:rPr>
                          <w:rFonts w:hAnsi="Calibri"/>
                          <w:color w:val="000000" w:themeColor="text1"/>
                          <w:sz w:val="18"/>
                          <w:szCs w:val="18"/>
                        </w:rPr>
                      </w:pPr>
                      <w:r>
                        <w:rPr>
                          <w:rFonts w:hAnsi="Calibri"/>
                          <w:color w:val="000000" w:themeColor="text1"/>
                          <w:sz w:val="18"/>
                          <w:szCs w:val="18"/>
                        </w:rPr>
                        <w:t>-4,75</w:t>
                      </w:r>
                    </w:p>
                  </w:txbxContent>
                </v:textbox>
              </v:shape>
            </w:pict>
          </mc:Fallback>
        </mc:AlternateContent>
      </w:r>
      <w:r w:rsidR="00EE3F8B">
        <w:rPr>
          <w:noProof/>
        </w:rPr>
        <mc:AlternateContent>
          <mc:Choice Requires="wps">
            <w:drawing>
              <wp:anchor distT="0" distB="0" distL="114300" distR="114300" simplePos="0" relativeHeight="251680768" behindDoc="0" locked="0" layoutInCell="1" allowOverlap="1" wp14:anchorId="6AC8701D" wp14:editId="67579B50">
                <wp:simplePos x="0" y="0"/>
                <wp:positionH relativeFrom="column">
                  <wp:posOffset>4541520</wp:posOffset>
                </wp:positionH>
                <wp:positionV relativeFrom="paragraph">
                  <wp:posOffset>2572385</wp:posOffset>
                </wp:positionV>
                <wp:extent cx="482600" cy="233045"/>
                <wp:effectExtent l="0" t="0" r="0" b="0"/>
                <wp:wrapNone/>
                <wp:docPr id="1953959145" name="TextBox 12"/>
                <wp:cNvGraphicFramePr/>
                <a:graphic xmlns:a="http://schemas.openxmlformats.org/drawingml/2006/main">
                  <a:graphicData uri="http://schemas.microsoft.com/office/word/2010/wordprocessingShape">
                    <wps:wsp>
                      <wps:cNvSpPr txBox="1"/>
                      <wps:spPr>
                        <a:xfrm>
                          <a:off x="0" y="0"/>
                          <a:ext cx="48260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B9A9DD9" w14:textId="77777777" w:rsidR="00436E97" w:rsidRDefault="00436E97" w:rsidP="00EE3F8B">
                            <w:pPr>
                              <w:rPr>
                                <w:rFonts w:hAnsi="Calibri"/>
                                <w:color w:val="000000" w:themeColor="text1"/>
                                <w:sz w:val="18"/>
                                <w:szCs w:val="18"/>
                              </w:rPr>
                            </w:pPr>
                            <w:r>
                              <w:rPr>
                                <w:rFonts w:hAnsi="Calibri"/>
                                <w:color w:val="000000" w:themeColor="text1"/>
                                <w:sz w:val="18"/>
                                <w:szCs w:val="18"/>
                              </w:rPr>
                              <w:t>-5,125</w:t>
                            </w:r>
                          </w:p>
                        </w:txbxContent>
                      </wps:txbx>
                      <wps:bodyPr vertOverflow="clip" horzOverflow="clip" wrap="none" rtlCol="0" anchor="t">
                        <a:spAutoFit/>
                      </wps:bodyPr>
                    </wps:wsp>
                  </a:graphicData>
                </a:graphic>
              </wp:anchor>
            </w:drawing>
          </mc:Choice>
          <mc:Fallback>
            <w:pict>
              <v:shape w14:anchorId="6AC8701D" id="_x0000_s1041" type="#_x0000_t202" style="position:absolute;left:0;text-align:left;margin-left:357.6pt;margin-top:202.55pt;width:38pt;height:18.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" filled="f" stroked="f">
                <v:textbox style="mso-fit-shape-to-text:t">
                  <w:txbxContent>
                    <w:p w14:paraId="3B9A9DD9" w14:textId="77777777" w:rsidR="00436E97" w:rsidRDefault="00436E97" w:rsidP="00EE3F8B">
                      <w:pPr>
                        <w:rPr>
                          <w:rFonts w:hAnsi="Calibri"/>
                          <w:color w:val="000000" w:themeColor="text1"/>
                          <w:sz w:val="18"/>
                          <w:szCs w:val="18"/>
                        </w:rPr>
                      </w:pPr>
                      <w:r>
                        <w:rPr>
                          <w:rFonts w:hAnsi="Calibri"/>
                          <w:color w:val="000000" w:themeColor="text1"/>
                          <w:sz w:val="18"/>
                          <w:szCs w:val="18"/>
                        </w:rPr>
                        <w:t>-5,125</w:t>
                      </w:r>
                    </w:p>
                  </w:txbxContent>
                </v:textbox>
              </v:shape>
            </w:pict>
          </mc:Fallback>
        </mc:AlternateContent>
      </w:r>
      <w:r w:rsidR="00191F19">
        <w:rPr>
          <w:noProof/>
        </w:rPr>
        <mc:AlternateContent>
          <mc:Choice Requires="wps">
            <w:drawing>
              <wp:anchor distT="0" distB="0" distL="114300" distR="114300" simplePos="0" relativeHeight="251663360" behindDoc="0" locked="0" layoutInCell="1" allowOverlap="1" wp14:anchorId="283FB135" wp14:editId="57D53CC2">
                <wp:simplePos x="0" y="0"/>
                <wp:positionH relativeFrom="column">
                  <wp:posOffset>3484245</wp:posOffset>
                </wp:positionH>
                <wp:positionV relativeFrom="paragraph">
                  <wp:posOffset>2084070</wp:posOffset>
                </wp:positionV>
                <wp:extent cx="443230" cy="266700"/>
                <wp:effectExtent l="0" t="0" r="0" b="0"/>
                <wp:wrapNone/>
                <wp:docPr id="866876280" name="TextBox 13"/>
                <wp:cNvGraphicFramePr/>
                <a:graphic xmlns:a="http://schemas.openxmlformats.org/drawingml/2006/main">
                  <a:graphicData uri="http://schemas.microsoft.com/office/word/2010/wordprocessingShape">
                    <wps:wsp>
                      <wps:cNvSpPr txBox="1"/>
                      <wps:spPr>
                        <a:xfrm>
                          <a:off x="0" y="0"/>
                          <a:ext cx="44323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A225DD" w14:textId="77777777" w:rsidR="00436E97" w:rsidRDefault="00436E97" w:rsidP="00191F19">
                            <w:pPr>
                              <w:rPr>
                                <w:rFonts w:hAnsi="Calibri"/>
                                <w:color w:val="000000" w:themeColor="text1"/>
                                <w:sz w:val="18"/>
                                <w:szCs w:val="18"/>
                              </w:rPr>
                            </w:pPr>
                            <w:r>
                              <w:rPr>
                                <w:rFonts w:hAnsi="Calibri"/>
                                <w:color w:val="000000" w:themeColor="text1"/>
                                <w:sz w:val="18"/>
                                <w:szCs w:val="18"/>
                              </w:rPr>
                              <w:t>-3,50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83FB135" id="TextBox 13" o:spid="_x0000_s1042" type="#_x0000_t202" style="position:absolute;left:0;text-align:left;margin-left:274.35pt;margin-top:164.1pt;width:34.9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" filled="f" stroked="f">
                <v:textbox>
                  <w:txbxContent>
                    <w:p w14:paraId="6EA225DD" w14:textId="77777777" w:rsidR="00436E97" w:rsidRDefault="00436E97" w:rsidP="00191F19">
                      <w:pPr>
                        <w:rPr>
                          <w:rFonts w:hAnsi="Calibri"/>
                          <w:color w:val="000000" w:themeColor="text1"/>
                          <w:sz w:val="18"/>
                          <w:szCs w:val="18"/>
                        </w:rPr>
                      </w:pPr>
                      <w:r>
                        <w:rPr>
                          <w:rFonts w:hAnsi="Calibri"/>
                          <w:color w:val="000000" w:themeColor="text1"/>
                          <w:sz w:val="18"/>
                          <w:szCs w:val="18"/>
                        </w:rPr>
                        <w:t>-3,50</w:t>
                      </w:r>
                    </w:p>
                  </w:txbxContent>
                </v:textbox>
              </v:shape>
            </w:pict>
          </mc:Fallback>
        </mc:AlternateContent>
      </w:r>
      <w:r w:rsidR="00191F19">
        <w:rPr>
          <w:noProof/>
        </w:rPr>
        <mc:AlternateContent>
          <mc:Choice Requires="wps">
            <w:drawing>
              <wp:anchor distT="0" distB="0" distL="114300" distR="114300" simplePos="0" relativeHeight="251664384" behindDoc="0" locked="0" layoutInCell="1" allowOverlap="1" wp14:anchorId="31D1B78B" wp14:editId="45DACA44">
                <wp:simplePos x="0" y="0"/>
                <wp:positionH relativeFrom="column">
                  <wp:posOffset>2943225</wp:posOffset>
                </wp:positionH>
                <wp:positionV relativeFrom="paragraph">
                  <wp:posOffset>1916430</wp:posOffset>
                </wp:positionV>
                <wp:extent cx="369570" cy="266700"/>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99621F-AAC3-DE93-2147-7A46150ADC40}"/>
                    </a:ext>
                  </a:extLst>
                </wp:docPr>
                <wp:cNvGraphicFramePr/>
                <a:graphic xmlns:a="http://schemas.openxmlformats.org/drawingml/2006/main">
                  <a:graphicData uri="http://schemas.microsoft.com/office/word/2010/wordprocessingShape">
                    <wps:wsp>
                      <wps:cNvSpPr txBox="1"/>
                      <wps:spPr>
                        <a:xfrm>
                          <a:off x="0" y="0"/>
                          <a:ext cx="36957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E340F0" w14:textId="77777777" w:rsidR="00436E97" w:rsidRDefault="00436E97" w:rsidP="00191F19">
                            <w:pPr>
                              <w:rPr>
                                <w:rFonts w:hAnsi="Calibri"/>
                                <w:color w:val="000000" w:themeColor="text1"/>
                                <w:sz w:val="18"/>
                                <w:szCs w:val="18"/>
                              </w:rPr>
                            </w:pPr>
                            <w:r>
                              <w:rPr>
                                <w:rFonts w:hAnsi="Calibri"/>
                                <w:color w:val="000000" w:themeColor="text1"/>
                                <w:sz w:val="18"/>
                                <w:szCs w:val="18"/>
                              </w:rPr>
                              <w:t>-3,0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1D1B78B" id="TextBox 14" o:spid="_x0000_s1043" type="#_x0000_t202" style="position:absolute;left:0;text-align:left;margin-left:231.75pt;margin-top:150.9pt;width:29.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" filled="f" stroked="f">
                <v:textbox>
                  <w:txbxContent>
                    <w:p w14:paraId="00E340F0" w14:textId="77777777" w:rsidR="00436E97" w:rsidRDefault="00436E97" w:rsidP="00191F19">
                      <w:pPr>
                        <w:rPr>
                          <w:rFonts w:hAnsi="Calibri"/>
                          <w:color w:val="000000" w:themeColor="text1"/>
                          <w:sz w:val="18"/>
                          <w:szCs w:val="18"/>
                        </w:rPr>
                      </w:pPr>
                      <w:r>
                        <w:rPr>
                          <w:rFonts w:hAnsi="Calibri"/>
                          <w:color w:val="000000" w:themeColor="text1"/>
                          <w:sz w:val="18"/>
                          <w:szCs w:val="18"/>
                        </w:rPr>
                        <w:t>-3,0</w:t>
                      </w:r>
                    </w:p>
                  </w:txbxContent>
                </v:textbox>
              </v:shape>
            </w:pict>
          </mc:Fallback>
        </mc:AlternateContent>
      </w:r>
      <w:r w:rsidR="00191F19">
        <w:rPr>
          <w:noProof/>
        </w:rPr>
        <mc:AlternateContent>
          <mc:Choice Requires="wps">
            <w:drawing>
              <wp:anchor distT="0" distB="0" distL="114300" distR="114300" simplePos="0" relativeHeight="251675648" behindDoc="0" locked="0" layoutInCell="1" allowOverlap="1" wp14:anchorId="5A34B621" wp14:editId="1B0D740C">
                <wp:simplePos x="0" y="0"/>
                <wp:positionH relativeFrom="column">
                  <wp:posOffset>3728085</wp:posOffset>
                </wp:positionH>
                <wp:positionV relativeFrom="paragraph">
                  <wp:posOffset>994410</wp:posOffset>
                </wp:positionV>
                <wp:extent cx="487680" cy="266700"/>
                <wp:effectExtent l="0" t="0" r="0" b="0"/>
                <wp:wrapNone/>
                <wp:docPr id="438705135" name="TextBox 25"/>
                <wp:cNvGraphicFramePr/>
                <a:graphic xmlns:a="http://schemas.openxmlformats.org/drawingml/2006/main">
                  <a:graphicData uri="http://schemas.microsoft.com/office/word/2010/wordprocessingShape">
                    <wps:wsp>
                      <wps:cNvSpPr txBox="1"/>
                      <wps:spPr>
                        <a:xfrm>
                          <a:off x="0" y="0"/>
                          <a:ext cx="48768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0B969B9" w14:textId="77777777" w:rsidR="00436E97" w:rsidRDefault="00436E97" w:rsidP="00191F19">
                            <w:pPr>
                              <w:rPr>
                                <w:rFonts w:hAnsi="Calibri"/>
                                <w:color w:val="000000" w:themeColor="text1"/>
                                <w:sz w:val="18"/>
                                <w:szCs w:val="18"/>
                              </w:rPr>
                            </w:pPr>
                            <w:r>
                              <w:rPr>
                                <w:rFonts w:hAnsi="Calibri"/>
                                <w:color w:val="000000" w:themeColor="text1"/>
                                <w:sz w:val="18"/>
                                <w:szCs w:val="18"/>
                              </w:rPr>
                              <w:t>-0,567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34B621" id="TextBox 25" o:spid="_x0000_s1044" type="#_x0000_t202" style="position:absolute;left:0;text-align:left;margin-left:293.55pt;margin-top:78.3pt;width:38.4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" filled="f" stroked="f">
                <v:textbox>
                  <w:txbxContent>
                    <w:p w14:paraId="70B969B9" w14:textId="77777777" w:rsidR="00436E97" w:rsidRDefault="00436E97" w:rsidP="00191F19">
                      <w:pPr>
                        <w:rPr>
                          <w:rFonts w:hAnsi="Calibri"/>
                          <w:color w:val="000000" w:themeColor="text1"/>
                          <w:sz w:val="18"/>
                          <w:szCs w:val="18"/>
                        </w:rPr>
                      </w:pPr>
                      <w:r>
                        <w:rPr>
                          <w:rFonts w:hAnsi="Calibri"/>
                          <w:color w:val="000000" w:themeColor="text1"/>
                          <w:sz w:val="18"/>
                          <w:szCs w:val="18"/>
                        </w:rPr>
                        <w:t>-0,567</w:t>
                      </w:r>
                    </w:p>
                  </w:txbxContent>
                </v:textbox>
              </v:shape>
            </w:pict>
          </mc:Fallback>
        </mc:AlternateContent>
      </w:r>
      <w:r w:rsidR="00191F19">
        <w:rPr>
          <w:noProof/>
        </w:rPr>
        <mc:AlternateContent>
          <mc:Choice Requires="wps">
            <w:drawing>
              <wp:anchor distT="0" distB="0" distL="114300" distR="114300" simplePos="0" relativeHeight="251661312" behindDoc="0" locked="0" layoutInCell="1" allowOverlap="1" wp14:anchorId="605E6528" wp14:editId="6DEB8C32">
                <wp:simplePos x="0" y="0"/>
                <wp:positionH relativeFrom="column">
                  <wp:posOffset>3481705</wp:posOffset>
                </wp:positionH>
                <wp:positionV relativeFrom="paragraph">
                  <wp:posOffset>125730</wp:posOffset>
                </wp:positionV>
                <wp:extent cx="452120" cy="266700"/>
                <wp:effectExtent l="0" t="0" r="0" b="0"/>
                <wp:wrapNone/>
                <wp:docPr id="1372655991" name="TextBox 11"/>
                <wp:cNvGraphicFramePr/>
                <a:graphic xmlns:a="http://schemas.openxmlformats.org/drawingml/2006/main">
                  <a:graphicData uri="http://schemas.microsoft.com/office/word/2010/wordprocessingShape">
                    <wps:wsp>
                      <wps:cNvSpPr txBox="1"/>
                      <wps:spPr>
                        <a:xfrm>
                          <a:off x="0" y="0"/>
                          <a:ext cx="45212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8A02DF" w14:textId="77777777" w:rsidR="00436E97" w:rsidRDefault="00436E97" w:rsidP="00191F19">
                            <w:pPr>
                              <w:rPr>
                                <w:rFonts w:hAnsi="Calibri"/>
                                <w:color w:val="000000" w:themeColor="text1"/>
                                <w:sz w:val="18"/>
                                <w:szCs w:val="18"/>
                              </w:rPr>
                            </w:pPr>
                            <w:r>
                              <w:rPr>
                                <w:rFonts w:hAnsi="Calibri"/>
                                <w:color w:val="000000" w:themeColor="text1"/>
                                <w:sz w:val="18"/>
                                <w:szCs w:val="18"/>
                              </w:rPr>
                              <w:t>2,375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5E6528" id="TextBox 11" o:spid="_x0000_s1045" type="#_x0000_t202" style="position:absolute;left:0;text-align:left;margin-left:274.15pt;margin-top:9.9pt;width:35.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" filled="f" stroked="f">
                <v:textbox>
                  <w:txbxContent>
                    <w:p w14:paraId="148A02DF" w14:textId="77777777" w:rsidR="00436E97" w:rsidRDefault="00436E97" w:rsidP="00191F19">
                      <w:pPr>
                        <w:rPr>
                          <w:rFonts w:hAnsi="Calibri"/>
                          <w:color w:val="000000" w:themeColor="text1"/>
                          <w:sz w:val="18"/>
                          <w:szCs w:val="18"/>
                        </w:rPr>
                      </w:pPr>
                      <w:r>
                        <w:rPr>
                          <w:rFonts w:hAnsi="Calibri"/>
                          <w:color w:val="000000" w:themeColor="text1"/>
                          <w:sz w:val="18"/>
                          <w:szCs w:val="18"/>
                        </w:rPr>
                        <w:t>2,375</w:t>
                      </w:r>
                    </w:p>
                  </w:txbxContent>
                </v:textbox>
              </v:shape>
            </w:pict>
          </mc:Fallback>
        </mc:AlternateContent>
      </w:r>
      <w:r w:rsidR="00191F19">
        <w:rPr>
          <w:noProof/>
        </w:rPr>
        <mc:AlternateContent>
          <mc:Choice Requires="wps">
            <w:drawing>
              <wp:anchor distT="0" distB="0" distL="114300" distR="114300" simplePos="0" relativeHeight="251670528" behindDoc="0" locked="0" layoutInCell="1" allowOverlap="1" wp14:anchorId="60B3A099" wp14:editId="1DC2DC64">
                <wp:simplePos x="0" y="0"/>
                <wp:positionH relativeFrom="column">
                  <wp:posOffset>2752725</wp:posOffset>
                </wp:positionH>
                <wp:positionV relativeFrom="paragraph">
                  <wp:posOffset>125730</wp:posOffset>
                </wp:positionV>
                <wp:extent cx="452120" cy="266700"/>
                <wp:effectExtent l="0" t="0" r="0" b="0"/>
                <wp:wrapNone/>
                <wp:docPr id="21" name="TextBox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DDEE53-8434-460C-BCB4-9378AA82E56E}"/>
                    </a:ext>
                  </a:extLst>
                </wp:docPr>
                <wp:cNvGraphicFramePr/>
                <a:graphic xmlns:a="http://schemas.openxmlformats.org/drawingml/2006/main">
                  <a:graphicData uri="http://schemas.microsoft.com/office/word/2010/wordprocessingShape">
                    <wps:wsp>
                      <wps:cNvSpPr txBox="1"/>
                      <wps:spPr>
                        <a:xfrm>
                          <a:off x="0" y="0"/>
                          <a:ext cx="45212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090B64" w14:textId="77777777" w:rsidR="00436E97" w:rsidRDefault="00436E97" w:rsidP="00191F19">
                            <w:pPr>
                              <w:rPr>
                                <w:rFonts w:hAnsi="Calibri"/>
                                <w:color w:val="000000" w:themeColor="text1"/>
                                <w:sz w:val="18"/>
                                <w:szCs w:val="18"/>
                              </w:rPr>
                            </w:pPr>
                            <w:r>
                              <w:rPr>
                                <w:rFonts w:hAnsi="Calibri"/>
                                <w:color w:val="000000" w:themeColor="text1"/>
                                <w:sz w:val="18"/>
                                <w:szCs w:val="18"/>
                              </w:rPr>
                              <w:t>2,375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B3A099" id="TextBox 20" o:spid="_x0000_s1046" type="#_x0000_t202" style="position:absolute;left:0;text-align:left;margin-left:216.75pt;margin-top:9.9pt;width:35.6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" filled="f" stroked="f">
                <v:textbox>
                  <w:txbxContent>
                    <w:p w14:paraId="7C090B64" w14:textId="77777777" w:rsidR="00436E97" w:rsidRDefault="00436E97" w:rsidP="00191F19">
                      <w:pPr>
                        <w:rPr>
                          <w:rFonts w:hAnsi="Calibri"/>
                          <w:color w:val="000000" w:themeColor="text1"/>
                          <w:sz w:val="18"/>
                          <w:szCs w:val="18"/>
                        </w:rPr>
                      </w:pPr>
                      <w:r>
                        <w:rPr>
                          <w:rFonts w:hAnsi="Calibri"/>
                          <w:color w:val="000000" w:themeColor="text1"/>
                          <w:sz w:val="18"/>
                          <w:szCs w:val="18"/>
                        </w:rPr>
                        <w:t>2,375</w:t>
                      </w:r>
                    </w:p>
                  </w:txbxContent>
                </v:textbox>
              </v:shape>
            </w:pict>
          </mc:Fallback>
        </mc:AlternateContent>
      </w:r>
      <w:r w:rsidR="00191F19">
        <w:rPr>
          <w:noProof/>
        </w:rPr>
        <mc:AlternateContent>
          <mc:Choice Requires="wps">
            <w:drawing>
              <wp:anchor distT="0" distB="0" distL="114300" distR="114300" simplePos="0" relativeHeight="251665408" behindDoc="0" locked="0" layoutInCell="1" allowOverlap="1" wp14:anchorId="71B9B0BB" wp14:editId="687B125A">
                <wp:simplePos x="0" y="0"/>
                <wp:positionH relativeFrom="column">
                  <wp:posOffset>1813560</wp:posOffset>
                </wp:positionH>
                <wp:positionV relativeFrom="paragraph">
                  <wp:posOffset>1337310</wp:posOffset>
                </wp:positionV>
                <wp:extent cx="428625" cy="266700"/>
                <wp:effectExtent l="0" t="0" r="0" b="0"/>
                <wp:wrapNone/>
                <wp:docPr id="570773173" name="TextBox 15"/>
                <wp:cNvGraphicFramePr/>
                <a:graphic xmlns:a="http://schemas.openxmlformats.org/drawingml/2006/main">
                  <a:graphicData uri="http://schemas.microsoft.com/office/word/2010/wordprocessingShape">
                    <wps:wsp>
                      <wps:cNvSpPr txBox="1"/>
                      <wps:spPr>
                        <a:xfrm>
                          <a:off x="0" y="0"/>
                          <a:ext cx="428625"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AC39B7" w14:textId="77777777" w:rsidR="00436E97" w:rsidRDefault="00436E97" w:rsidP="00191F19">
                            <w:pPr>
                              <w:rPr>
                                <w:rFonts w:hAnsi="Calibri"/>
                                <w:color w:val="000000" w:themeColor="text1"/>
                                <w:sz w:val="18"/>
                                <w:szCs w:val="18"/>
                              </w:rPr>
                            </w:pPr>
                            <w:r>
                              <w:rPr>
                                <w:rFonts w:hAnsi="Calibri"/>
                                <w:color w:val="000000" w:themeColor="text1"/>
                                <w:sz w:val="18"/>
                                <w:szCs w:val="18"/>
                              </w:rPr>
                              <w:t>-1,00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1B9B0BB" id="TextBox 15" o:spid="_x0000_s1047" type="#_x0000_t202" style="position:absolute;left:0;text-align:left;margin-left:142.8pt;margin-top:105.3pt;width:33.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" filled="f" stroked="f">
                <v:textbox>
                  <w:txbxContent>
                    <w:p w14:paraId="6CAC39B7" w14:textId="77777777" w:rsidR="00436E97" w:rsidRDefault="00436E97" w:rsidP="00191F19">
                      <w:pPr>
                        <w:rPr>
                          <w:rFonts w:hAnsi="Calibri"/>
                          <w:color w:val="000000" w:themeColor="text1"/>
                          <w:sz w:val="18"/>
                          <w:szCs w:val="18"/>
                        </w:rPr>
                      </w:pPr>
                      <w:r>
                        <w:rPr>
                          <w:rFonts w:hAnsi="Calibri"/>
                          <w:color w:val="000000" w:themeColor="text1"/>
                          <w:sz w:val="18"/>
                          <w:szCs w:val="18"/>
                        </w:rPr>
                        <w:t>-1,00</w:t>
                      </w:r>
                    </w:p>
                  </w:txbxContent>
                </v:textbox>
              </v:shape>
            </w:pict>
          </mc:Fallback>
        </mc:AlternateContent>
      </w:r>
      <w:r w:rsidR="00191F19">
        <w:rPr>
          <w:noProof/>
        </w:rPr>
        <mc:AlternateContent>
          <mc:Choice Requires="wps">
            <w:drawing>
              <wp:anchor distT="0" distB="0" distL="114300" distR="114300" simplePos="0" relativeHeight="251666432" behindDoc="0" locked="0" layoutInCell="1" allowOverlap="1" wp14:anchorId="3DEC78AD" wp14:editId="7BD90678">
                <wp:simplePos x="0" y="0"/>
                <wp:positionH relativeFrom="column">
                  <wp:posOffset>1251585</wp:posOffset>
                </wp:positionH>
                <wp:positionV relativeFrom="paragraph">
                  <wp:posOffset>1322070</wp:posOffset>
                </wp:positionV>
                <wp:extent cx="496570" cy="266700"/>
                <wp:effectExtent l="0" t="0" r="0" b="0"/>
                <wp:wrapNone/>
                <wp:docPr id="1277251060" name="TextBox 16"/>
                <wp:cNvGraphicFramePr/>
                <a:graphic xmlns:a="http://schemas.openxmlformats.org/drawingml/2006/main">
                  <a:graphicData uri="http://schemas.microsoft.com/office/word/2010/wordprocessingShape">
                    <wps:wsp>
                      <wps:cNvSpPr txBox="1"/>
                      <wps:spPr>
                        <a:xfrm>
                          <a:off x="0" y="0"/>
                          <a:ext cx="49657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4219D7" w14:textId="77777777" w:rsidR="00436E97" w:rsidRDefault="00436E97" w:rsidP="00191F19">
                            <w:pPr>
                              <w:rPr>
                                <w:rFonts w:hAnsi="Calibri"/>
                                <w:color w:val="000000" w:themeColor="text1"/>
                                <w:sz w:val="18"/>
                                <w:szCs w:val="18"/>
                              </w:rPr>
                            </w:pPr>
                            <w:r>
                              <w:rPr>
                                <w:rFonts w:hAnsi="Calibri"/>
                                <w:color w:val="000000" w:themeColor="text1"/>
                                <w:sz w:val="18"/>
                                <w:szCs w:val="18"/>
                              </w:rPr>
                              <w:t>-0,875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DEC78AD" id="TextBox 16" o:spid="_x0000_s1048" type="#_x0000_t202" style="position:absolute;left:0;text-align:left;margin-left:98.55pt;margin-top:104.1pt;width:39.1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" filled="f" stroked="f">
                <v:textbox>
                  <w:txbxContent>
                    <w:p w14:paraId="764219D7" w14:textId="77777777" w:rsidR="00436E97" w:rsidRDefault="00436E97" w:rsidP="00191F19">
                      <w:pPr>
                        <w:rPr>
                          <w:rFonts w:hAnsi="Calibri"/>
                          <w:color w:val="000000" w:themeColor="text1"/>
                          <w:sz w:val="18"/>
                          <w:szCs w:val="18"/>
                        </w:rPr>
                      </w:pPr>
                      <w:r>
                        <w:rPr>
                          <w:rFonts w:hAnsi="Calibri"/>
                          <w:color w:val="000000" w:themeColor="text1"/>
                          <w:sz w:val="18"/>
                          <w:szCs w:val="18"/>
                        </w:rPr>
                        <w:t>-0,875</w:t>
                      </w:r>
                    </w:p>
                  </w:txbxContent>
                </v:textbox>
              </v:shape>
            </w:pict>
          </mc:Fallback>
        </mc:AlternateContent>
      </w:r>
      <w:r w:rsidR="00325B2D">
        <w:rPr>
          <w:noProof/>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6D83F8BC" wp14:editId="7D1F4C43">
                <wp:extent cx="5379720" cy="3535680"/>
                <wp:effectExtent l="0" t="0" r="11430" b="7620"/>
                <wp:docPr id="640428744" name="Диаграмма 1">
                  <a:extLst xmlns:a="http://schemas.openxmlformats.org/drawingml/2006/main">
                    <a:ext uri="{FF2B5EF4-FFF2-40B4-BE49-F238E27FC236}">
                      <a16:creationId xmlns:a16="http://schemas.microsoft.com/office/drawing/2014/main" id="{D1233CA0-FA91-424C-B997-B7256681891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6D83F8BC" wp14:editId="7D1F4C43">
                <wp:extent cx="5379720" cy="3535680"/>
                <wp:effectExtent l="0" t="0" r="11430" b="7620"/>
                <wp:docPr id="64042874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33CA0-FA91-424C-B997-B7256681891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40428744" name="Диаграмма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33CA0-FA91-424C-B997-B7256681891E}"/>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5379720" cy="3535680"/>
                        </a:xfrm>
                        <a:prstGeom prst="rect">
                          <a:avLst/>
                        </a:prstGeom>
                      </pic:spPr>
                    </pic:pic>
                  </a:graphicData>
                </a:graphic>
              </wp:inline>
            </w:drawing>
          </mc:Fallback>
        </mc:AlternateContent>
      </w:r>
    </w:p>
    <w:p w14:paraId="341EAD3B" w14:textId="77777777" w:rsidR="00935E78" w:rsidRDefault="00935E78" w:rsidP="005C37DF">
      <w:pPr>
        <w:spacing w:after="0" w:line="240" w:lineRule="auto"/>
        <w:ind w:firstLine="709"/>
        <w:jc w:val="both"/>
        <w:rPr>
          <w:rFonts w:ascii="Times New Roman" w:hAnsi="Times New Roman" w:cs="Times New Roman"/>
          <w:sz w:val="28"/>
          <w:szCs w:val="28"/>
        </w:rPr>
      </w:pPr>
    </w:p>
    <w:p w14:paraId="007F130E" w14:textId="736DE240" w:rsidR="00D97F8D" w:rsidRDefault="00D97F8D" w:rsidP="00D97F8D">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Рисунок </w:t>
      </w:r>
      <w:r w:rsidR="007263F7">
        <w:rPr>
          <w:rFonts w:ascii="Times New Roman" w:hAnsi="Times New Roman" w:cs="Times New Roman"/>
          <w:sz w:val="28"/>
          <w:szCs w:val="28"/>
        </w:rPr>
        <w:t>10</w:t>
      </w:r>
      <w:r>
        <w:rPr>
          <w:rFonts w:ascii="Times New Roman" w:hAnsi="Times New Roman" w:cs="Times New Roman"/>
          <w:sz w:val="28"/>
          <w:szCs w:val="28"/>
        </w:rPr>
        <w:t xml:space="preserve"> -</w:t>
      </w:r>
      <w:r w:rsidRPr="004804AA">
        <w:rPr>
          <w:rFonts w:ascii="Times New Roman" w:hAnsi="Times New Roman" w:cs="Times New Roman"/>
          <w:sz w:val="28"/>
          <w:szCs w:val="28"/>
        </w:rPr>
        <w:t xml:space="preserve"> Динамика среднего сферического эквивалента </w:t>
      </w:r>
      <w:r w:rsidR="00673700" w:rsidRPr="00673700">
        <w:rPr>
          <w:rFonts w:ascii="Times New Roman" w:hAnsi="Times New Roman" w:cs="Times New Roman"/>
          <w:sz w:val="28"/>
          <w:szCs w:val="28"/>
        </w:rPr>
        <w:t>(</w:t>
      </w:r>
      <w:r w:rsidR="00673700">
        <w:rPr>
          <w:rFonts w:ascii="Times New Roman" w:hAnsi="Times New Roman" w:cs="Times New Roman"/>
          <w:sz w:val="28"/>
          <w:szCs w:val="28"/>
          <w:lang w:val="en-US"/>
        </w:rPr>
        <w:t>SER</w:t>
      </w:r>
      <w:r w:rsidR="00673700" w:rsidRPr="00673700">
        <w:rPr>
          <w:rFonts w:ascii="Times New Roman" w:hAnsi="Times New Roman" w:cs="Times New Roman"/>
          <w:sz w:val="28"/>
          <w:szCs w:val="28"/>
        </w:rPr>
        <w:t xml:space="preserve">) </w:t>
      </w:r>
      <w:r w:rsidRPr="004804AA">
        <w:rPr>
          <w:rFonts w:ascii="Times New Roman" w:hAnsi="Times New Roman" w:cs="Times New Roman"/>
          <w:sz w:val="28"/>
          <w:szCs w:val="28"/>
        </w:rPr>
        <w:t>в зависимости от класса и типа школы</w:t>
      </w:r>
    </w:p>
    <w:p w14:paraId="11C4820C" w14:textId="77777777" w:rsidR="00325B2D" w:rsidRDefault="00325B2D" w:rsidP="00D97F8D">
      <w:pPr>
        <w:spacing w:after="0" w:line="240" w:lineRule="auto"/>
        <w:ind w:firstLine="709"/>
        <w:jc w:val="center"/>
        <w:rPr>
          <w:rFonts w:ascii="Times New Roman" w:hAnsi="Times New Roman" w:cs="Times New Roman"/>
          <w:sz w:val="28"/>
          <w:szCs w:val="28"/>
        </w:rPr>
      </w:pPr>
    </w:p>
    <w:p w14:paraId="1E937946" w14:textId="14E3369A"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Среди учащихся пятых классов на 30% чаще выявлялись те или иные нарушения рефракции (29,6%), а доля близорукости возросла по сравнению с </w:t>
      </w:r>
      <w:r w:rsidR="0070047C">
        <w:rPr>
          <w:rFonts w:ascii="Times New Roman" w:hAnsi="Times New Roman" w:cs="Times New Roman"/>
          <w:sz w:val="28"/>
          <w:szCs w:val="28"/>
        </w:rPr>
        <w:t>учащимися первых классов</w:t>
      </w:r>
      <w:r w:rsidRPr="004804AA">
        <w:rPr>
          <w:rFonts w:ascii="Times New Roman" w:hAnsi="Times New Roman" w:cs="Times New Roman"/>
          <w:sz w:val="28"/>
          <w:szCs w:val="28"/>
        </w:rPr>
        <w:t xml:space="preserve"> более чем в 1,5 раза, с 17,6% до 27,0% (ОШ 1,73; 95% ДИ: 1,36–2,21). В структуре миопии увеличилось число школьников, имевших близорукость более 3 диоптрий: для миопии средней степени с 11,1% до 15,9%. До 3,4% увеличилось число детей с высокой близорукостью (против 1,5% среди учащихся начальной школы). Уровень высоких степеней близорукости среди пятиклассников гимназических школ достигал 5,9% (95% </w:t>
      </w:r>
      <w:r w:rsidRPr="004804AA">
        <w:rPr>
          <w:rFonts w:ascii="Times New Roman" w:hAnsi="Times New Roman" w:cs="Times New Roman"/>
          <w:sz w:val="28"/>
          <w:szCs w:val="28"/>
        </w:rPr>
        <w:lastRenderedPageBreak/>
        <w:t>ДИ 1,3–10,5%), что в 5 раз выше аналогичного показателя в общеобразовательных школах. При этом среди пятиклассников отмечается снижение числа детей с гиперметропией до 2,6% против 4,7% у первоклассников. Частота астигматизма среди учащихся пятых классов в целом остается такой же, как и в начальном звене (</w:t>
      </w:r>
      <w:r w:rsidR="00C3183E">
        <w:rPr>
          <w:rFonts w:ascii="Times New Roman" w:hAnsi="Times New Roman" w:cs="Times New Roman"/>
          <w:sz w:val="28"/>
          <w:szCs w:val="28"/>
        </w:rPr>
        <w:t>Т</w:t>
      </w:r>
      <w:r w:rsidRPr="004804AA">
        <w:rPr>
          <w:rFonts w:ascii="Times New Roman" w:hAnsi="Times New Roman" w:cs="Times New Roman"/>
          <w:sz w:val="28"/>
          <w:szCs w:val="28"/>
        </w:rPr>
        <w:t>абл</w:t>
      </w:r>
      <w:r w:rsidR="004A438C">
        <w:rPr>
          <w:rFonts w:ascii="Times New Roman" w:hAnsi="Times New Roman" w:cs="Times New Roman"/>
          <w:sz w:val="28"/>
          <w:szCs w:val="28"/>
        </w:rPr>
        <w:t>ица</w:t>
      </w:r>
      <w:r w:rsidRPr="004804AA">
        <w:rPr>
          <w:rFonts w:ascii="Times New Roman" w:hAnsi="Times New Roman" w:cs="Times New Roman"/>
          <w:sz w:val="28"/>
          <w:szCs w:val="28"/>
        </w:rPr>
        <w:t xml:space="preserve"> </w:t>
      </w:r>
      <w:r w:rsidR="00693E9E">
        <w:rPr>
          <w:rFonts w:ascii="Times New Roman" w:hAnsi="Times New Roman" w:cs="Times New Roman"/>
          <w:sz w:val="28"/>
          <w:szCs w:val="28"/>
        </w:rPr>
        <w:t>12</w:t>
      </w:r>
      <w:r w:rsidR="004A438C">
        <w:rPr>
          <w:rFonts w:ascii="Times New Roman" w:hAnsi="Times New Roman" w:cs="Times New Roman"/>
          <w:sz w:val="28"/>
          <w:szCs w:val="28"/>
        </w:rPr>
        <w:t xml:space="preserve"> – </w:t>
      </w:r>
      <w:r w:rsidR="00693E9E">
        <w:rPr>
          <w:rFonts w:ascii="Times New Roman" w:hAnsi="Times New Roman" w:cs="Times New Roman"/>
          <w:sz w:val="28"/>
          <w:szCs w:val="28"/>
        </w:rPr>
        <w:t>13</w:t>
      </w:r>
      <w:r w:rsidRPr="004804AA">
        <w:rPr>
          <w:rFonts w:ascii="Times New Roman" w:hAnsi="Times New Roman" w:cs="Times New Roman"/>
          <w:sz w:val="28"/>
          <w:szCs w:val="28"/>
        </w:rPr>
        <w:t>).</w:t>
      </w:r>
    </w:p>
    <w:p w14:paraId="1AA03D10" w14:textId="050F3C5B"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Еще более резкий скачок уровня рефракционных аномалий, в особенности миопии, отмечается при переходе из среднего звена в старшее. Среди девятиклассников распространенность нарушений рефракции возросла до 43,3% (95% ДИ 39,8–46,8%), а миопии - до 40,5% (95% ДИ 37,0–44,0%). В структуре близорукости всё больший вес имели миопия высокой (6,5%) и средней (19,0%) степени. В школах-гимназиях более трети всех близоруких учеников девятых классов имели среднюю или высокую степени миопии (21,5% и 9,0% соответственно). Частота гиперметропии (2,8%) и астигматизма (3,3%) в этой группе менялись незначительно. Значение </w:t>
      </w:r>
      <w:r w:rsidRPr="004804AA">
        <w:rPr>
          <w:rFonts w:ascii="Times New Roman" w:hAnsi="Times New Roman" w:cs="Times New Roman"/>
          <w:sz w:val="28"/>
          <w:szCs w:val="28"/>
          <w:lang w:val="en-US"/>
        </w:rPr>
        <w:t>SER</w:t>
      </w:r>
      <w:r w:rsidRPr="004804AA">
        <w:rPr>
          <w:rFonts w:ascii="Times New Roman" w:hAnsi="Times New Roman" w:cs="Times New Roman"/>
          <w:sz w:val="28"/>
          <w:szCs w:val="28"/>
        </w:rPr>
        <w:t xml:space="preserve"> еще больше смещалось в сторону отрицательных значений и составляло в среднем -0,949 (медиана -0,25; -1,875; 0,250), а среди учеников школ с повышенной академической нагрузкой достигало 1,082</w:t>
      </w:r>
      <w:r w:rsidRPr="004804AA">
        <w:rPr>
          <w:rFonts w:ascii="Times New Roman" w:hAnsi="Times New Roman" w:cs="Times New Roman"/>
          <w:sz w:val="28"/>
          <w:szCs w:val="28"/>
          <w:lang w:val="en-US"/>
        </w:rPr>
        <w:t>D</w:t>
      </w:r>
      <w:r w:rsidRPr="004804AA">
        <w:rPr>
          <w:rFonts w:ascii="Times New Roman" w:hAnsi="Times New Roman" w:cs="Times New Roman"/>
          <w:sz w:val="28"/>
          <w:szCs w:val="28"/>
        </w:rPr>
        <w:t xml:space="preserve"> (-0,375; -1,750; 0,250). Сравнение уровней </w:t>
      </w:r>
      <w:r w:rsidRPr="004804AA">
        <w:rPr>
          <w:rFonts w:ascii="Times New Roman" w:hAnsi="Times New Roman" w:cs="Times New Roman"/>
          <w:sz w:val="28"/>
          <w:szCs w:val="28"/>
          <w:lang w:val="en-US"/>
        </w:rPr>
        <w:t>SER</w:t>
      </w:r>
      <w:r w:rsidRPr="004804AA">
        <w:rPr>
          <w:rFonts w:ascii="Times New Roman" w:hAnsi="Times New Roman" w:cs="Times New Roman"/>
          <w:sz w:val="28"/>
          <w:szCs w:val="28"/>
        </w:rPr>
        <w:t xml:space="preserve"> на разных уровнях обучения представлено на рисунке </w:t>
      </w:r>
      <w:r w:rsidR="00C3183E">
        <w:rPr>
          <w:rFonts w:ascii="Times New Roman" w:hAnsi="Times New Roman" w:cs="Times New Roman"/>
          <w:sz w:val="28"/>
          <w:szCs w:val="28"/>
        </w:rPr>
        <w:t>10</w:t>
      </w:r>
      <w:r w:rsidRPr="004804AA">
        <w:rPr>
          <w:rFonts w:ascii="Times New Roman" w:hAnsi="Times New Roman" w:cs="Times New Roman"/>
          <w:sz w:val="28"/>
          <w:szCs w:val="28"/>
        </w:rPr>
        <w:t>.</w:t>
      </w:r>
    </w:p>
    <w:p w14:paraId="10533EFF" w14:textId="24FD9C22"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Таким образом, распространенность и степень миопии достоверно возрастали в зависимости от </w:t>
      </w:r>
      <w:r w:rsidR="000F0B45" w:rsidRPr="005C3704">
        <w:rPr>
          <w:rFonts w:ascii="Times New Roman" w:hAnsi="Times New Roman" w:cs="Times New Roman"/>
          <w:sz w:val="28"/>
          <w:szCs w:val="28"/>
        </w:rPr>
        <w:t>года</w:t>
      </w:r>
      <w:r w:rsidRPr="005C3704">
        <w:rPr>
          <w:rFonts w:ascii="Times New Roman" w:hAnsi="Times New Roman" w:cs="Times New Roman"/>
          <w:sz w:val="28"/>
          <w:szCs w:val="28"/>
        </w:rPr>
        <w:t xml:space="preserve"> </w:t>
      </w:r>
      <w:r w:rsidRPr="004804AA">
        <w:rPr>
          <w:rFonts w:ascii="Times New Roman" w:hAnsi="Times New Roman" w:cs="Times New Roman"/>
          <w:sz w:val="28"/>
          <w:szCs w:val="28"/>
        </w:rPr>
        <w:t>обучения более чем в 2,2 раза в девятом классе по сравнению с первым классом (</w:t>
      </w:r>
      <w:r w:rsidR="00C3183E">
        <w:rPr>
          <w:rFonts w:ascii="Times New Roman" w:hAnsi="Times New Roman" w:cs="Times New Roman"/>
          <w:sz w:val="28"/>
          <w:szCs w:val="28"/>
        </w:rPr>
        <w:t>Т</w:t>
      </w:r>
      <w:r w:rsidRPr="004804AA">
        <w:rPr>
          <w:rFonts w:ascii="Times New Roman" w:hAnsi="Times New Roman" w:cs="Times New Roman"/>
          <w:sz w:val="28"/>
          <w:szCs w:val="28"/>
        </w:rPr>
        <w:t>абл</w:t>
      </w:r>
      <w:r w:rsidR="004A438C">
        <w:rPr>
          <w:rFonts w:ascii="Times New Roman" w:hAnsi="Times New Roman" w:cs="Times New Roman"/>
          <w:sz w:val="28"/>
          <w:szCs w:val="28"/>
        </w:rPr>
        <w:t>ица</w:t>
      </w:r>
      <w:r w:rsidRPr="004804AA">
        <w:rPr>
          <w:rFonts w:ascii="Times New Roman" w:hAnsi="Times New Roman" w:cs="Times New Roman"/>
          <w:sz w:val="28"/>
          <w:szCs w:val="28"/>
        </w:rPr>
        <w:t xml:space="preserve"> </w:t>
      </w:r>
      <w:r w:rsidR="00BE292E">
        <w:rPr>
          <w:rFonts w:ascii="Times New Roman" w:hAnsi="Times New Roman" w:cs="Times New Roman"/>
          <w:sz w:val="28"/>
          <w:szCs w:val="28"/>
        </w:rPr>
        <w:t>12</w:t>
      </w:r>
      <w:r w:rsidR="00C3183E">
        <w:rPr>
          <w:rFonts w:ascii="Times New Roman" w:hAnsi="Times New Roman" w:cs="Times New Roman"/>
          <w:sz w:val="28"/>
          <w:szCs w:val="28"/>
        </w:rPr>
        <w:t xml:space="preserve"> - 13</w:t>
      </w:r>
      <w:r w:rsidRPr="004804AA">
        <w:rPr>
          <w:rFonts w:ascii="Times New Roman" w:hAnsi="Times New Roman" w:cs="Times New Roman"/>
          <w:sz w:val="28"/>
          <w:szCs w:val="28"/>
        </w:rPr>
        <w:t xml:space="preserve">). </w:t>
      </w:r>
    </w:p>
    <w:p w14:paraId="2E8BADB5" w14:textId="2BD5BEC2"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Проведенный нами сравнительный анализ показал, что встречаемость миопии и гиперметропии среди детей, прослеженная в динамике, коррелировала с их возрастом. Уровень гиперметропии у учащихся начального звена оказался в 1,5–2 раза выше, чем среди школьников пятых и девятых классов, что закономерно связано с ростом глазного яблока и соответствовало данным исследований в других странах (Табл</w:t>
      </w:r>
      <w:r w:rsidR="00C3183E">
        <w:rPr>
          <w:rFonts w:ascii="Times New Roman" w:hAnsi="Times New Roman" w:cs="Times New Roman"/>
          <w:sz w:val="28"/>
          <w:szCs w:val="28"/>
        </w:rPr>
        <w:t>ица</w:t>
      </w:r>
      <w:r w:rsidRPr="004804AA">
        <w:rPr>
          <w:rFonts w:ascii="Times New Roman" w:hAnsi="Times New Roman" w:cs="Times New Roman"/>
          <w:sz w:val="28"/>
          <w:szCs w:val="28"/>
        </w:rPr>
        <w:t xml:space="preserve"> </w:t>
      </w:r>
      <w:r w:rsidR="001437B6" w:rsidRPr="001437B6">
        <w:rPr>
          <w:rFonts w:ascii="Times New Roman" w:hAnsi="Times New Roman" w:cs="Times New Roman"/>
          <w:sz w:val="28"/>
          <w:szCs w:val="28"/>
        </w:rPr>
        <w:t>12</w:t>
      </w:r>
      <w:r w:rsidR="006F139D">
        <w:rPr>
          <w:rFonts w:ascii="Times New Roman" w:hAnsi="Times New Roman" w:cs="Times New Roman"/>
          <w:sz w:val="28"/>
          <w:szCs w:val="28"/>
        </w:rPr>
        <w:t xml:space="preserve"> </w:t>
      </w:r>
      <w:r w:rsidRPr="004804AA">
        <w:rPr>
          <w:rFonts w:ascii="Times New Roman" w:hAnsi="Times New Roman" w:cs="Times New Roman"/>
          <w:sz w:val="28"/>
          <w:szCs w:val="28"/>
        </w:rPr>
        <w:t>-</w:t>
      </w:r>
      <w:r w:rsidR="006F139D">
        <w:rPr>
          <w:rFonts w:ascii="Times New Roman" w:hAnsi="Times New Roman" w:cs="Times New Roman"/>
          <w:sz w:val="28"/>
          <w:szCs w:val="28"/>
        </w:rPr>
        <w:t xml:space="preserve"> </w:t>
      </w:r>
      <w:r w:rsidR="001437B6" w:rsidRPr="001437B6">
        <w:rPr>
          <w:rFonts w:ascii="Times New Roman" w:hAnsi="Times New Roman" w:cs="Times New Roman"/>
          <w:sz w:val="28"/>
          <w:szCs w:val="28"/>
        </w:rPr>
        <w:t>1</w:t>
      </w:r>
      <w:r w:rsidR="006F139D">
        <w:rPr>
          <w:rFonts w:ascii="Times New Roman" w:hAnsi="Times New Roman" w:cs="Times New Roman"/>
          <w:sz w:val="28"/>
          <w:szCs w:val="28"/>
        </w:rPr>
        <w:t>3</w:t>
      </w:r>
      <w:r w:rsidRPr="004804AA">
        <w:rPr>
          <w:rFonts w:ascii="Times New Roman" w:hAnsi="Times New Roman" w:cs="Times New Roman"/>
          <w:sz w:val="28"/>
          <w:szCs w:val="28"/>
        </w:rPr>
        <w:t xml:space="preserve">). </w:t>
      </w:r>
      <w:r w:rsidR="00F945AD">
        <w:rPr>
          <w:rFonts w:ascii="Times New Roman" w:hAnsi="Times New Roman" w:cs="Times New Roman"/>
          <w:sz w:val="28"/>
          <w:szCs w:val="28"/>
        </w:rPr>
        <w:t>В</w:t>
      </w:r>
      <w:r w:rsidRPr="004804AA">
        <w:rPr>
          <w:rFonts w:ascii="Times New Roman" w:hAnsi="Times New Roman" w:cs="Times New Roman"/>
          <w:sz w:val="28"/>
          <w:szCs w:val="28"/>
        </w:rPr>
        <w:t xml:space="preserve"> среднем и старшем звене </w:t>
      </w:r>
      <w:r w:rsidR="00F945AD">
        <w:rPr>
          <w:rFonts w:ascii="Times New Roman" w:hAnsi="Times New Roman" w:cs="Times New Roman"/>
          <w:sz w:val="28"/>
          <w:szCs w:val="28"/>
        </w:rPr>
        <w:t xml:space="preserve">показатели частоты и степени гиперметропии среди учащихся </w:t>
      </w:r>
      <w:r w:rsidRPr="004804AA">
        <w:rPr>
          <w:rFonts w:ascii="Times New Roman" w:hAnsi="Times New Roman" w:cs="Times New Roman"/>
          <w:sz w:val="28"/>
          <w:szCs w:val="28"/>
        </w:rPr>
        <w:t>был</w:t>
      </w:r>
      <w:r w:rsidR="00F945AD">
        <w:rPr>
          <w:rFonts w:ascii="Times New Roman" w:hAnsi="Times New Roman" w:cs="Times New Roman"/>
          <w:sz w:val="28"/>
          <w:szCs w:val="28"/>
        </w:rPr>
        <w:t>и</w:t>
      </w:r>
      <w:r w:rsidRPr="004804AA">
        <w:rPr>
          <w:rFonts w:ascii="Times New Roman" w:hAnsi="Times New Roman" w:cs="Times New Roman"/>
          <w:sz w:val="28"/>
          <w:szCs w:val="28"/>
        </w:rPr>
        <w:t xml:space="preserve"> сопоставим</w:t>
      </w:r>
      <w:r w:rsidR="00F945AD">
        <w:rPr>
          <w:rFonts w:ascii="Times New Roman" w:hAnsi="Times New Roman" w:cs="Times New Roman"/>
          <w:sz w:val="28"/>
          <w:szCs w:val="28"/>
        </w:rPr>
        <w:t>ы</w:t>
      </w:r>
      <w:r w:rsidRPr="004804AA">
        <w:rPr>
          <w:rFonts w:ascii="Times New Roman" w:hAnsi="Times New Roman" w:cs="Times New Roman"/>
          <w:sz w:val="28"/>
          <w:szCs w:val="28"/>
        </w:rPr>
        <w:t xml:space="preserve"> и не зависел</w:t>
      </w:r>
      <w:r w:rsidR="00F945AD">
        <w:rPr>
          <w:rFonts w:ascii="Times New Roman" w:hAnsi="Times New Roman" w:cs="Times New Roman"/>
          <w:sz w:val="28"/>
          <w:szCs w:val="28"/>
        </w:rPr>
        <w:t>и</w:t>
      </w:r>
      <w:r w:rsidRPr="004804AA">
        <w:rPr>
          <w:rFonts w:ascii="Times New Roman" w:hAnsi="Times New Roman" w:cs="Times New Roman"/>
          <w:sz w:val="28"/>
          <w:szCs w:val="28"/>
        </w:rPr>
        <w:t xml:space="preserve"> от типа школы. Однако исходная частота дальнозоркости среди первоклассников гимназических школ была в 2 раза ниже, чем в общеобразовательных, что, вероятно, связано с большей миопизацией на этапе дошкольной подготовки. Структура гиперметропии в возрастных группах </w:t>
      </w:r>
      <w:r w:rsidR="00FD4AFB">
        <w:rPr>
          <w:rFonts w:ascii="Times New Roman" w:hAnsi="Times New Roman" w:cs="Times New Roman"/>
          <w:sz w:val="28"/>
          <w:szCs w:val="28"/>
        </w:rPr>
        <w:t xml:space="preserve">значительно </w:t>
      </w:r>
      <w:r w:rsidRPr="004804AA">
        <w:rPr>
          <w:rFonts w:ascii="Times New Roman" w:hAnsi="Times New Roman" w:cs="Times New Roman"/>
          <w:sz w:val="28"/>
          <w:szCs w:val="28"/>
        </w:rPr>
        <w:t xml:space="preserve">не </w:t>
      </w:r>
      <w:r w:rsidRPr="00E81FA1">
        <w:rPr>
          <w:rFonts w:ascii="Times New Roman" w:hAnsi="Times New Roman" w:cs="Times New Roman"/>
          <w:sz w:val="28"/>
          <w:szCs w:val="28"/>
        </w:rPr>
        <w:t xml:space="preserve">различалась. </w:t>
      </w:r>
      <w:r w:rsidR="007D63B7" w:rsidRPr="00E81FA1">
        <w:rPr>
          <w:rFonts w:ascii="Times New Roman" w:hAnsi="Times New Roman" w:cs="Times New Roman"/>
          <w:sz w:val="28"/>
          <w:szCs w:val="28"/>
        </w:rPr>
        <w:t>[24</w:t>
      </w:r>
      <w:r w:rsidR="007C23F8" w:rsidRPr="00E81FA1">
        <w:rPr>
          <w:rFonts w:ascii="Times New Roman" w:hAnsi="Times New Roman" w:cs="Times New Roman"/>
          <w:sz w:val="28"/>
          <w:szCs w:val="28"/>
        </w:rPr>
        <w:t>7</w:t>
      </w:r>
      <w:r w:rsidR="007D63B7" w:rsidRPr="00E81FA1">
        <w:rPr>
          <w:rFonts w:ascii="Times New Roman" w:hAnsi="Times New Roman" w:cs="Times New Roman"/>
          <w:sz w:val="28"/>
          <w:szCs w:val="28"/>
        </w:rPr>
        <w:t>]</w:t>
      </w:r>
    </w:p>
    <w:p w14:paraId="4CDF1042" w14:textId="77777777" w:rsidR="009F0FB4" w:rsidRDefault="009F0FB4" w:rsidP="005C37D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6688E24B" w14:textId="12487BC5" w:rsidR="00374DC5" w:rsidRPr="009C42C4" w:rsidRDefault="00374DC5" w:rsidP="005C37DF">
      <w:pPr>
        <w:spacing w:after="0" w:line="240" w:lineRule="auto"/>
        <w:ind w:firstLine="709"/>
        <w:rPr>
          <w:rFonts w:ascii="Times New Roman" w:hAnsi="Times New Roman" w:cs="Times New Roman"/>
          <w:b/>
          <w:bCs/>
          <w:color w:val="000000"/>
          <w:sz w:val="28"/>
          <w:szCs w:val="28"/>
          <w:shd w:val="clear" w:color="auto" w:fill="FFFFFF"/>
        </w:rPr>
      </w:pPr>
      <w:r w:rsidRPr="009C42C4">
        <w:rPr>
          <w:rFonts w:ascii="Times New Roman" w:hAnsi="Times New Roman" w:cs="Times New Roman"/>
          <w:b/>
          <w:bCs/>
          <w:sz w:val="28"/>
          <w:szCs w:val="28"/>
        </w:rPr>
        <w:lastRenderedPageBreak/>
        <w:t xml:space="preserve">3.2 </w:t>
      </w:r>
      <w:r w:rsidRPr="009C42C4">
        <w:rPr>
          <w:rFonts w:ascii="Times New Roman" w:hAnsi="Times New Roman" w:cs="Times New Roman"/>
          <w:b/>
          <w:bCs/>
          <w:color w:val="000000"/>
          <w:sz w:val="28"/>
          <w:szCs w:val="28"/>
          <w:shd w:val="clear" w:color="auto" w:fill="FFFFFF"/>
        </w:rPr>
        <w:t>Факторы риска</w:t>
      </w:r>
      <w:r w:rsidR="00826BB2">
        <w:rPr>
          <w:rFonts w:ascii="Times New Roman" w:hAnsi="Times New Roman" w:cs="Times New Roman"/>
          <w:b/>
          <w:bCs/>
          <w:color w:val="000000"/>
          <w:sz w:val="28"/>
          <w:szCs w:val="28"/>
          <w:shd w:val="clear" w:color="auto" w:fill="FFFFFF"/>
        </w:rPr>
        <w:t xml:space="preserve"> развития миопии у школьников</w:t>
      </w:r>
    </w:p>
    <w:p w14:paraId="2C5E4DA2" w14:textId="3F37315E"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Анализ представленных данных в предыдущей главе позволяет говорить о том, что миопия является ведущей причиной снижения зрения среди детей школьного возраста. По результатам простого однофакторного регрессионного анализа среди всех школьников, принявших участие в офтальмологическом обследовании, риск развития близорукости был статистически выше среди учащихся 5 классов – в 1,8 раза по сравнению с первоклассниками (ОШ 1,73; 95% ДИ 1,36-2,21) и более чем в 3 раза выше у учеников 9-х классов (ОШ 3,19; 95% ДИ 2,52-4,04) (</w:t>
      </w:r>
      <w:r w:rsidR="00192CFA">
        <w:rPr>
          <w:rFonts w:ascii="Times New Roman" w:hAnsi="Times New Roman" w:cs="Times New Roman"/>
          <w:color w:val="000000"/>
          <w:sz w:val="28"/>
          <w:szCs w:val="28"/>
          <w:shd w:val="clear" w:color="auto" w:fill="FFFFFF"/>
        </w:rPr>
        <w:t>т</w:t>
      </w:r>
      <w:r w:rsidRPr="004804AA">
        <w:rPr>
          <w:rFonts w:ascii="Times New Roman" w:hAnsi="Times New Roman" w:cs="Times New Roman"/>
          <w:color w:val="000000"/>
          <w:sz w:val="28"/>
          <w:szCs w:val="28"/>
          <w:shd w:val="clear" w:color="auto" w:fill="FFFFFF"/>
        </w:rPr>
        <w:t>абл</w:t>
      </w:r>
      <w:r w:rsidR="00192CFA">
        <w:rPr>
          <w:rFonts w:ascii="Times New Roman" w:hAnsi="Times New Roman" w:cs="Times New Roman"/>
          <w:color w:val="000000"/>
          <w:sz w:val="28"/>
          <w:szCs w:val="28"/>
          <w:shd w:val="clear" w:color="auto" w:fill="FFFFFF"/>
        </w:rPr>
        <w:t xml:space="preserve">ица </w:t>
      </w:r>
      <w:r w:rsidR="001437B6" w:rsidRPr="001437B6">
        <w:rPr>
          <w:rFonts w:ascii="Times New Roman" w:hAnsi="Times New Roman" w:cs="Times New Roman"/>
          <w:color w:val="000000"/>
          <w:sz w:val="28"/>
          <w:szCs w:val="28"/>
          <w:shd w:val="clear" w:color="auto" w:fill="FFFFFF"/>
        </w:rPr>
        <w:t>14</w:t>
      </w:r>
      <w:r w:rsidRPr="004804AA">
        <w:rPr>
          <w:rFonts w:ascii="Times New Roman" w:hAnsi="Times New Roman" w:cs="Times New Roman"/>
          <w:color w:val="000000"/>
          <w:sz w:val="28"/>
          <w:szCs w:val="28"/>
          <w:shd w:val="clear" w:color="auto" w:fill="FFFFFF"/>
        </w:rPr>
        <w:t>)</w:t>
      </w:r>
      <w:r w:rsidR="00192CFA">
        <w:rPr>
          <w:rFonts w:ascii="Times New Roman" w:hAnsi="Times New Roman" w:cs="Times New Roman"/>
          <w:color w:val="000000"/>
          <w:sz w:val="28"/>
          <w:szCs w:val="28"/>
          <w:shd w:val="clear" w:color="auto" w:fill="FFFFFF"/>
        </w:rPr>
        <w:t>.</w:t>
      </w:r>
    </w:p>
    <w:p w14:paraId="2567FDA1" w14:textId="77777777" w:rsidR="00FA12A4" w:rsidRDefault="00FA12A4" w:rsidP="00FA12A4">
      <w:pPr>
        <w:spacing w:after="0" w:line="240" w:lineRule="auto"/>
        <w:jc w:val="both"/>
        <w:rPr>
          <w:rFonts w:ascii="Times New Roman" w:hAnsi="Times New Roman" w:cs="Times New Roman"/>
          <w:color w:val="000000"/>
          <w:sz w:val="28"/>
          <w:szCs w:val="28"/>
          <w:shd w:val="clear" w:color="auto" w:fill="FFFFFF"/>
        </w:rPr>
      </w:pPr>
    </w:p>
    <w:p w14:paraId="38D51964" w14:textId="0D53334F" w:rsidR="00374DC5" w:rsidRDefault="00374DC5" w:rsidP="00FA12A4">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FA12A4">
        <w:rPr>
          <w:rFonts w:ascii="Times New Roman" w:hAnsi="Times New Roman" w:cs="Times New Roman"/>
          <w:color w:val="000000"/>
          <w:sz w:val="28"/>
          <w:szCs w:val="28"/>
          <w:shd w:val="clear" w:color="auto" w:fill="FFFFFF"/>
        </w:rPr>
        <w:t xml:space="preserve"> </w:t>
      </w:r>
      <w:r w:rsidR="001437B6" w:rsidRPr="001437B6">
        <w:rPr>
          <w:rFonts w:ascii="Times New Roman" w:hAnsi="Times New Roman" w:cs="Times New Roman"/>
          <w:color w:val="000000"/>
          <w:sz w:val="28"/>
          <w:szCs w:val="28"/>
          <w:shd w:val="clear" w:color="auto" w:fill="FFFFFF"/>
        </w:rPr>
        <w:t>14</w:t>
      </w:r>
      <w:r w:rsidR="00FA12A4">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Распространенность и ассоциация миопии с уровнем обучения</w:t>
      </w:r>
    </w:p>
    <w:p w14:paraId="59192175" w14:textId="77777777" w:rsidR="00FA12A4" w:rsidRPr="004804AA" w:rsidRDefault="00FA12A4" w:rsidP="00FA12A4">
      <w:pPr>
        <w:spacing w:after="0" w:line="240" w:lineRule="auto"/>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333"/>
        <w:gridCol w:w="1109"/>
        <w:gridCol w:w="1300"/>
        <w:gridCol w:w="2720"/>
        <w:gridCol w:w="1726"/>
        <w:gridCol w:w="1157"/>
      </w:tblGrid>
      <w:tr w:rsidR="00374DC5" w:rsidRPr="004804AA" w14:paraId="4B9A343C" w14:textId="77777777" w:rsidTr="00AC79E3">
        <w:tc>
          <w:tcPr>
            <w:tcW w:w="1441" w:type="dxa"/>
          </w:tcPr>
          <w:p w14:paraId="623BED7D" w14:textId="77777777"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Класс</w:t>
            </w:r>
          </w:p>
        </w:tc>
        <w:tc>
          <w:tcPr>
            <w:tcW w:w="1161" w:type="dxa"/>
          </w:tcPr>
          <w:p w14:paraId="3012BE49" w14:textId="77777777"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330" w:type="dxa"/>
          </w:tcPr>
          <w:p w14:paraId="5A1AC33F" w14:textId="77777777"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w:t>
            </w:r>
          </w:p>
        </w:tc>
        <w:tc>
          <w:tcPr>
            <w:tcW w:w="2720" w:type="dxa"/>
          </w:tcPr>
          <w:p w14:paraId="4FC121BA" w14:textId="77777777"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726" w:type="dxa"/>
          </w:tcPr>
          <w:p w14:paraId="3F37AE3E" w14:textId="3D8BF4A3"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892E4B" w:rsidRPr="00892E4B">
              <w:rPr>
                <w:rFonts w:ascii="Times New Roman" w:hAnsi="Times New Roman" w:cs="Times New Roman"/>
                <w:sz w:val="28"/>
                <w:szCs w:val="28"/>
                <w:vertAlign w:val="superscript"/>
              </w:rPr>
              <w:t>1</w:t>
            </w:r>
          </w:p>
        </w:tc>
        <w:tc>
          <w:tcPr>
            <w:tcW w:w="1250" w:type="dxa"/>
          </w:tcPr>
          <w:p w14:paraId="562459E9" w14:textId="3D34D866" w:rsidR="00374DC5" w:rsidRPr="004804AA" w:rsidRDefault="00374DC5" w:rsidP="009132B7">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 ДИ</w:t>
            </w:r>
            <w:r w:rsidR="00892E4B" w:rsidRPr="00892E4B">
              <w:rPr>
                <w:rFonts w:ascii="Times New Roman" w:hAnsi="Times New Roman" w:cs="Times New Roman"/>
                <w:sz w:val="28"/>
                <w:szCs w:val="28"/>
                <w:vertAlign w:val="superscript"/>
              </w:rPr>
              <w:t>2</w:t>
            </w:r>
          </w:p>
        </w:tc>
      </w:tr>
      <w:tr w:rsidR="00374DC5" w:rsidRPr="004804AA" w14:paraId="6F8F5CDC" w14:textId="77777777" w:rsidTr="00AC79E3">
        <w:tc>
          <w:tcPr>
            <w:tcW w:w="1441" w:type="dxa"/>
            <w:vAlign w:val="center"/>
          </w:tcPr>
          <w:p w14:paraId="75D2AD8C"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 класс</w:t>
            </w:r>
          </w:p>
        </w:tc>
        <w:tc>
          <w:tcPr>
            <w:tcW w:w="1161" w:type="dxa"/>
            <w:vAlign w:val="center"/>
          </w:tcPr>
          <w:p w14:paraId="2E58C634"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769</w:t>
            </w:r>
          </w:p>
        </w:tc>
        <w:tc>
          <w:tcPr>
            <w:tcW w:w="1330" w:type="dxa"/>
            <w:vAlign w:val="center"/>
          </w:tcPr>
          <w:p w14:paraId="1EB87390"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135</w:t>
            </w:r>
          </w:p>
        </w:tc>
        <w:tc>
          <w:tcPr>
            <w:tcW w:w="2720" w:type="dxa"/>
            <w:vAlign w:val="center"/>
          </w:tcPr>
          <w:p w14:paraId="25361768"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17,6</w:t>
            </w:r>
          </w:p>
        </w:tc>
        <w:tc>
          <w:tcPr>
            <w:tcW w:w="1726" w:type="dxa"/>
            <w:vAlign w:val="center"/>
          </w:tcPr>
          <w:p w14:paraId="272CBE2F"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250" w:type="dxa"/>
            <w:vAlign w:val="center"/>
          </w:tcPr>
          <w:p w14:paraId="7A88DCE6"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7D551874" w14:textId="77777777" w:rsidTr="00AC79E3">
        <w:tc>
          <w:tcPr>
            <w:tcW w:w="1441" w:type="dxa"/>
            <w:vAlign w:val="center"/>
          </w:tcPr>
          <w:p w14:paraId="69EA671E"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5 класс</w:t>
            </w:r>
          </w:p>
        </w:tc>
        <w:tc>
          <w:tcPr>
            <w:tcW w:w="1161" w:type="dxa"/>
            <w:vAlign w:val="center"/>
          </w:tcPr>
          <w:p w14:paraId="6082EC32"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768</w:t>
            </w:r>
          </w:p>
        </w:tc>
        <w:tc>
          <w:tcPr>
            <w:tcW w:w="1330" w:type="dxa"/>
            <w:vAlign w:val="center"/>
          </w:tcPr>
          <w:p w14:paraId="19AC3580"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207</w:t>
            </w:r>
          </w:p>
        </w:tc>
        <w:tc>
          <w:tcPr>
            <w:tcW w:w="2720" w:type="dxa"/>
            <w:vAlign w:val="center"/>
          </w:tcPr>
          <w:p w14:paraId="7E8D2239"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27,0</w:t>
            </w:r>
          </w:p>
        </w:tc>
        <w:tc>
          <w:tcPr>
            <w:tcW w:w="1726" w:type="dxa"/>
            <w:vAlign w:val="center"/>
          </w:tcPr>
          <w:p w14:paraId="0766E3CA"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1,73</w:t>
            </w:r>
          </w:p>
        </w:tc>
        <w:tc>
          <w:tcPr>
            <w:tcW w:w="1250" w:type="dxa"/>
            <w:vAlign w:val="center"/>
          </w:tcPr>
          <w:p w14:paraId="113D7242"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1,36-2,21</w:t>
            </w:r>
          </w:p>
        </w:tc>
      </w:tr>
      <w:tr w:rsidR="00374DC5" w:rsidRPr="004804AA" w14:paraId="778EBA38" w14:textId="77777777" w:rsidTr="00AC79E3">
        <w:tc>
          <w:tcPr>
            <w:tcW w:w="1441" w:type="dxa"/>
            <w:vAlign w:val="center"/>
          </w:tcPr>
          <w:p w14:paraId="4498091C"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9 класс</w:t>
            </w:r>
          </w:p>
        </w:tc>
        <w:tc>
          <w:tcPr>
            <w:tcW w:w="1161" w:type="dxa"/>
            <w:vAlign w:val="center"/>
          </w:tcPr>
          <w:p w14:paraId="17A25177"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756</w:t>
            </w:r>
          </w:p>
        </w:tc>
        <w:tc>
          <w:tcPr>
            <w:tcW w:w="1330" w:type="dxa"/>
            <w:vAlign w:val="center"/>
          </w:tcPr>
          <w:p w14:paraId="491BF0FC"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306</w:t>
            </w:r>
          </w:p>
        </w:tc>
        <w:tc>
          <w:tcPr>
            <w:tcW w:w="2720" w:type="dxa"/>
            <w:vAlign w:val="center"/>
          </w:tcPr>
          <w:p w14:paraId="4FF8DA93"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40,5</w:t>
            </w:r>
          </w:p>
        </w:tc>
        <w:tc>
          <w:tcPr>
            <w:tcW w:w="1726" w:type="dxa"/>
            <w:vAlign w:val="center"/>
          </w:tcPr>
          <w:p w14:paraId="18E609E1"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3,19</w:t>
            </w:r>
          </w:p>
        </w:tc>
        <w:tc>
          <w:tcPr>
            <w:tcW w:w="1250" w:type="dxa"/>
            <w:vAlign w:val="center"/>
          </w:tcPr>
          <w:p w14:paraId="4C15B35C" w14:textId="77777777" w:rsidR="00374DC5" w:rsidRPr="004804AA" w:rsidRDefault="00374DC5" w:rsidP="00FA12A4">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2,52-4,04</w:t>
            </w:r>
          </w:p>
        </w:tc>
      </w:tr>
      <w:tr w:rsidR="00AC79E3" w:rsidRPr="004804AA" w14:paraId="74E9B012" w14:textId="77777777" w:rsidTr="00292B55">
        <w:tc>
          <w:tcPr>
            <w:tcW w:w="9628" w:type="dxa"/>
            <w:gridSpan w:val="6"/>
            <w:vAlign w:val="center"/>
          </w:tcPr>
          <w:p w14:paraId="36D5D4AE" w14:textId="77777777" w:rsidR="00AC79E3" w:rsidRDefault="00AC79E3" w:rsidP="00AC79E3">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444CDED8" w14:textId="3422FE8B" w:rsidR="00AC79E3" w:rsidRDefault="00AC79E3" w:rsidP="00AC79E3">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00892E4B" w:rsidRPr="00892E4B">
              <w:rPr>
                <w:rFonts w:ascii="Times New Roman" w:hAnsi="Times New Roman" w:cs="Times New Roman"/>
                <w:sz w:val="28"/>
                <w:szCs w:val="28"/>
              </w:rPr>
              <w:t xml:space="preserve">ОШ </w:t>
            </w:r>
            <w:r w:rsidR="00892E4B">
              <w:rPr>
                <w:rFonts w:ascii="Times New Roman" w:hAnsi="Times New Roman" w:cs="Times New Roman"/>
                <w:sz w:val="28"/>
                <w:szCs w:val="28"/>
              </w:rPr>
              <w:t>– отношение шансов</w:t>
            </w:r>
            <w:r>
              <w:rPr>
                <w:rFonts w:ascii="Times New Roman" w:hAnsi="Times New Roman" w:cs="Times New Roman"/>
                <w:sz w:val="28"/>
                <w:szCs w:val="28"/>
              </w:rPr>
              <w:t>;</w:t>
            </w:r>
          </w:p>
          <w:p w14:paraId="767801CB" w14:textId="540DD0D2" w:rsidR="00AC79E3" w:rsidRPr="004804AA" w:rsidRDefault="00AC79E3" w:rsidP="00AC79E3">
            <w:pPr>
              <w:spacing w:after="0" w:line="240" w:lineRule="auto"/>
              <w:rPr>
                <w:rFonts w:ascii="Times New Roman" w:hAnsi="Times New Roman" w:cs="Times New Roman"/>
                <w:color w:val="000000"/>
                <w:sz w:val="28"/>
                <w:szCs w:val="28"/>
                <w:shd w:val="clear" w:color="auto" w:fill="FFFFFF"/>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tbl>
    <w:p w14:paraId="09EAC2C1" w14:textId="77777777" w:rsidR="00192CFA" w:rsidRDefault="00192CFA" w:rsidP="005C37DF">
      <w:pPr>
        <w:spacing w:after="0" w:line="240" w:lineRule="auto"/>
        <w:ind w:firstLine="709"/>
        <w:jc w:val="both"/>
        <w:rPr>
          <w:rFonts w:ascii="Times New Roman" w:hAnsi="Times New Roman" w:cs="Times New Roman"/>
          <w:color w:val="000000"/>
          <w:sz w:val="28"/>
          <w:szCs w:val="28"/>
          <w:shd w:val="clear" w:color="auto" w:fill="FFFFFF"/>
        </w:rPr>
      </w:pPr>
    </w:p>
    <w:p w14:paraId="201ECD45" w14:textId="1F37E63B"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 xml:space="preserve">С возрастом и </w:t>
      </w:r>
      <w:r w:rsidR="00E7180E" w:rsidRPr="005C3704">
        <w:rPr>
          <w:rFonts w:ascii="Times New Roman" w:hAnsi="Times New Roman" w:cs="Times New Roman"/>
          <w:sz w:val="28"/>
          <w:szCs w:val="28"/>
          <w:shd w:val="clear" w:color="auto" w:fill="FFFFFF"/>
        </w:rPr>
        <w:t>продолжительностью</w:t>
      </w:r>
      <w:r w:rsidRPr="004804AA">
        <w:rPr>
          <w:rFonts w:ascii="Times New Roman" w:hAnsi="Times New Roman" w:cs="Times New Roman"/>
          <w:color w:val="000000"/>
          <w:sz w:val="28"/>
          <w:szCs w:val="28"/>
          <w:shd w:val="clear" w:color="auto" w:fill="FFFFFF"/>
        </w:rPr>
        <w:t xml:space="preserve"> обучения отмечался и рост интенсивности миопии. Так миопия средней степени у учеников пятых классов встречалась в 2,2 раза чаще, чем у учеников первого класса (ОШ 2,26; 95% ДИ 1,22-4,19), а у учеников девятых классов – в 4 раза чаще (ОШ 4,18; 95% ДИ 2,35-7,44). Высокая близорукость в старшей школе наблюдалась почти в 10 раз чаще, чем в начальной (ОШ 10,42; 95% ДИ 2,43-44,73). В нашем исследовании тип школы не являлся фактором, достоверно ассоциированным с миопией у школьников (ОШ 1,07; 95% ДИ 0,90-1,29). Однако высокая степени миопии (более 6 диоптрий) значительно чаще встречалась среди учеников гимназических школ по сравнению с общеобразовательными (ОШ 2,61; 95% ДИ 1,18-5,75). Мы не обнаружили статистически значимых различий в частоте и степени миопии у учащихся мужского и женского пола (ОШ 1,09; 95% ДИ 0,91-1,30).</w:t>
      </w:r>
    </w:p>
    <w:p w14:paraId="58B581F8" w14:textId="77777777"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 xml:space="preserve"> Для оценки ассоциации других факторов риска миопии нами был проведен опрос родителей школьников. В опросе приняли участие 1737 школьников. Процент ответов на основе числа проверенных опросников составил 68,3% (1186 анкет). После удаления неверно или неполностью заполненных анкет число опросников, участвовавших в анализе, составило 1066, из которых 53,0% (565 анкет) заполнены родителями мальчиков, и 47,0% (501 анкет) – девочек. </w:t>
      </w:r>
    </w:p>
    <w:p w14:paraId="4647DFE2" w14:textId="73F02201"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lastRenderedPageBreak/>
        <w:t>Как видно из таблицы</w:t>
      </w:r>
      <w:r w:rsidR="00123CDA">
        <w:rPr>
          <w:rFonts w:ascii="Times New Roman" w:hAnsi="Times New Roman" w:cs="Times New Roman"/>
          <w:color w:val="000000"/>
          <w:sz w:val="28"/>
          <w:szCs w:val="28"/>
          <w:shd w:val="clear" w:color="auto" w:fill="FFFFFF"/>
        </w:rPr>
        <w:t xml:space="preserve"> </w:t>
      </w:r>
      <w:r w:rsidR="00304243">
        <w:rPr>
          <w:rFonts w:ascii="Times New Roman" w:hAnsi="Times New Roman" w:cs="Times New Roman"/>
          <w:color w:val="000000"/>
          <w:sz w:val="28"/>
          <w:szCs w:val="28"/>
          <w:shd w:val="clear" w:color="auto" w:fill="FFFFFF"/>
        </w:rPr>
        <w:t>15</w:t>
      </w:r>
      <w:r w:rsidRPr="004804AA">
        <w:rPr>
          <w:rFonts w:ascii="Times New Roman" w:hAnsi="Times New Roman" w:cs="Times New Roman"/>
          <w:color w:val="000000"/>
          <w:sz w:val="28"/>
          <w:szCs w:val="28"/>
          <w:shd w:val="clear" w:color="auto" w:fill="FFFFFF"/>
        </w:rPr>
        <w:t xml:space="preserve">, распространенность близорукости среди школьников, чьи родители не были близорукими, была 25,2%. В группе одного и обоих близоруких родителей распространенность близорукости среди школьников составила 33,7% и 35,4% соответственно. По сравнению с отсутствием </w:t>
      </w:r>
      <w:r w:rsidRPr="005C3704">
        <w:rPr>
          <w:rFonts w:ascii="Times New Roman" w:hAnsi="Times New Roman" w:cs="Times New Roman"/>
          <w:color w:val="000000"/>
          <w:sz w:val="28"/>
          <w:szCs w:val="28"/>
          <w:shd w:val="clear" w:color="auto" w:fill="FFFFFF"/>
        </w:rPr>
        <w:t>родительской миопии,</w:t>
      </w:r>
      <w:r w:rsidRPr="004804AA">
        <w:rPr>
          <w:rFonts w:ascii="Times New Roman" w:hAnsi="Times New Roman" w:cs="Times New Roman"/>
          <w:color w:val="000000"/>
          <w:sz w:val="28"/>
          <w:szCs w:val="28"/>
          <w:shd w:val="clear" w:color="auto" w:fill="FFFFFF"/>
        </w:rPr>
        <w:t xml:space="preserve"> наличие хотя бы одного близорукого родителя статистически значимо повышало риск развития близорукости у ребенка в 1,5 раза (ОШ 1,50; 95% ДИ 1,08-2,09). </w:t>
      </w:r>
      <w:r w:rsidR="00D76DA3" w:rsidRPr="00D76DA3">
        <w:rPr>
          <w:rFonts w:ascii="Times New Roman" w:hAnsi="Times New Roman" w:cs="Times New Roman"/>
          <w:color w:val="000000"/>
          <w:sz w:val="28"/>
          <w:szCs w:val="28"/>
          <w:shd w:val="clear" w:color="auto" w:fill="FFFFFF"/>
        </w:rPr>
        <w:t xml:space="preserve">[248] </w:t>
      </w:r>
      <w:r w:rsidRPr="004804AA">
        <w:rPr>
          <w:rFonts w:ascii="Times New Roman" w:hAnsi="Times New Roman" w:cs="Times New Roman"/>
          <w:color w:val="000000"/>
          <w:sz w:val="28"/>
          <w:szCs w:val="28"/>
          <w:shd w:val="clear" w:color="auto" w:fill="FFFFFF"/>
        </w:rPr>
        <w:t xml:space="preserve">Однако наличие близорукости у обоих родителей не было связано с повышенным риском миопии у ребенка (ОШ 1,63; 95% ДИ 0,88-3,00). Любопытно, что среди 10 – </w:t>
      </w:r>
      <w:r w:rsidR="00123CDA" w:rsidRPr="004804AA">
        <w:rPr>
          <w:rFonts w:ascii="Times New Roman" w:hAnsi="Times New Roman" w:cs="Times New Roman"/>
          <w:color w:val="000000"/>
          <w:sz w:val="28"/>
          <w:szCs w:val="28"/>
          <w:shd w:val="clear" w:color="auto" w:fill="FFFFFF"/>
        </w:rPr>
        <w:t>12-летних</w:t>
      </w:r>
      <w:r w:rsidRPr="004804AA">
        <w:rPr>
          <w:rFonts w:ascii="Times New Roman" w:hAnsi="Times New Roman" w:cs="Times New Roman"/>
          <w:color w:val="000000"/>
          <w:sz w:val="28"/>
          <w:szCs w:val="28"/>
          <w:shd w:val="clear" w:color="auto" w:fill="FFFFFF"/>
        </w:rPr>
        <w:t xml:space="preserve"> школьников риск миопии при наличии одного близорукого родителя был несколько выше (ОШ 1,70; 95% ДИ 1,02-2,85). Аналогичная картина наблюдалась и в группе мальчиков вне зависимости от уровня обучения (ОШ 1,71; 95% ДИ 1,09-2,69). Среди девочек, а также в других возрастных группах такой зависимости не наблюдалось. Таким образом, результаты исследования позволяют предположить, что семейн</w:t>
      </w:r>
      <w:r w:rsidR="005C3704">
        <w:rPr>
          <w:rFonts w:ascii="Times New Roman" w:hAnsi="Times New Roman" w:cs="Times New Roman"/>
          <w:color w:val="000000"/>
          <w:sz w:val="28"/>
          <w:szCs w:val="28"/>
          <w:shd w:val="clear" w:color="auto" w:fill="FFFFFF"/>
        </w:rPr>
        <w:t>ый</w:t>
      </w:r>
      <w:r w:rsidR="00E7180E" w:rsidRPr="005C3704">
        <w:rPr>
          <w:rFonts w:ascii="Times New Roman" w:hAnsi="Times New Roman" w:cs="Times New Roman"/>
          <w:sz w:val="28"/>
          <w:szCs w:val="28"/>
          <w:shd w:val="clear" w:color="auto" w:fill="FFFFFF"/>
        </w:rPr>
        <w:t xml:space="preserve"> анамнез</w:t>
      </w:r>
      <w:r w:rsidRPr="005C3704">
        <w:rPr>
          <w:rFonts w:ascii="Times New Roman" w:hAnsi="Times New Roman" w:cs="Times New Roman"/>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миопии в значительной степени связана с миопией у детей, даже при наличии одного близорукого </w:t>
      </w:r>
      <w:r w:rsidRPr="00E81FA1">
        <w:rPr>
          <w:rFonts w:ascii="Times New Roman" w:hAnsi="Times New Roman" w:cs="Times New Roman"/>
          <w:color w:val="000000"/>
          <w:sz w:val="28"/>
          <w:szCs w:val="28"/>
          <w:shd w:val="clear" w:color="auto" w:fill="FFFFFF"/>
        </w:rPr>
        <w:t>родителя.</w:t>
      </w:r>
      <w:r w:rsidR="007D63B7" w:rsidRPr="00E81FA1">
        <w:rPr>
          <w:rFonts w:ascii="Times New Roman" w:hAnsi="Times New Roman" w:cs="Times New Roman"/>
          <w:sz w:val="28"/>
          <w:szCs w:val="28"/>
        </w:rPr>
        <w:t xml:space="preserve"> </w:t>
      </w:r>
      <w:r w:rsidR="007C23F8" w:rsidRPr="00E81FA1">
        <w:rPr>
          <w:rFonts w:ascii="Times New Roman" w:hAnsi="Times New Roman" w:cs="Times New Roman"/>
          <w:sz w:val="28"/>
          <w:szCs w:val="28"/>
          <w:lang w:val="en-US"/>
        </w:rPr>
        <w:t>[248</w:t>
      </w:r>
      <w:r w:rsidR="007D63B7" w:rsidRPr="00E81FA1">
        <w:rPr>
          <w:rFonts w:ascii="Times New Roman" w:hAnsi="Times New Roman" w:cs="Times New Roman"/>
          <w:sz w:val="28"/>
          <w:szCs w:val="28"/>
          <w:lang w:val="en-US"/>
        </w:rPr>
        <w:t>]</w:t>
      </w:r>
    </w:p>
    <w:p w14:paraId="4EAFE4C3" w14:textId="77777777" w:rsidR="00DB563C" w:rsidRDefault="00DB563C" w:rsidP="00DB563C">
      <w:pPr>
        <w:spacing w:after="0" w:line="240" w:lineRule="auto"/>
        <w:jc w:val="both"/>
        <w:rPr>
          <w:rFonts w:ascii="Times New Roman" w:hAnsi="Times New Roman" w:cs="Times New Roman"/>
          <w:color w:val="000000"/>
          <w:sz w:val="28"/>
          <w:szCs w:val="28"/>
          <w:shd w:val="clear" w:color="auto" w:fill="FFFFFF"/>
        </w:rPr>
      </w:pPr>
    </w:p>
    <w:p w14:paraId="4E64C44E" w14:textId="05FF742D" w:rsidR="00374DC5" w:rsidRDefault="00374DC5" w:rsidP="00DB563C">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123CDA">
        <w:rPr>
          <w:rFonts w:ascii="Times New Roman" w:hAnsi="Times New Roman" w:cs="Times New Roman"/>
          <w:color w:val="000000"/>
          <w:sz w:val="28"/>
          <w:szCs w:val="28"/>
          <w:shd w:val="clear" w:color="auto" w:fill="FFFFFF"/>
        </w:rPr>
        <w:t xml:space="preserve"> </w:t>
      </w:r>
      <w:r w:rsidR="001437B6" w:rsidRPr="001437B6">
        <w:rPr>
          <w:rFonts w:ascii="Times New Roman" w:hAnsi="Times New Roman" w:cs="Times New Roman"/>
          <w:color w:val="000000"/>
          <w:sz w:val="28"/>
          <w:szCs w:val="28"/>
          <w:shd w:val="clear" w:color="auto" w:fill="FFFFFF"/>
        </w:rPr>
        <w:t>15</w:t>
      </w:r>
      <w:r w:rsidR="00123CDA">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Факторы риска миопии</w:t>
      </w:r>
      <w:r w:rsidR="00123CDA">
        <w:rPr>
          <w:rFonts w:ascii="Times New Roman" w:hAnsi="Times New Roman" w:cs="Times New Roman"/>
          <w:color w:val="000000"/>
          <w:sz w:val="28"/>
          <w:szCs w:val="28"/>
          <w:shd w:val="clear" w:color="auto" w:fill="FFFFFF"/>
        </w:rPr>
        <w:t>:</w:t>
      </w:r>
      <w:r w:rsidRPr="004804AA">
        <w:rPr>
          <w:rFonts w:ascii="Times New Roman" w:hAnsi="Times New Roman" w:cs="Times New Roman"/>
          <w:color w:val="000000"/>
          <w:sz w:val="28"/>
          <w:szCs w:val="28"/>
          <w:shd w:val="clear" w:color="auto" w:fill="FFFFFF"/>
        </w:rPr>
        <w:t xml:space="preserve"> </w:t>
      </w:r>
      <w:r w:rsidR="00123CDA">
        <w:rPr>
          <w:rFonts w:ascii="Times New Roman" w:hAnsi="Times New Roman" w:cs="Times New Roman"/>
          <w:color w:val="000000"/>
          <w:sz w:val="28"/>
          <w:szCs w:val="28"/>
          <w:shd w:val="clear" w:color="auto" w:fill="FFFFFF"/>
        </w:rPr>
        <w:t>р</w:t>
      </w:r>
      <w:r w:rsidRPr="004804AA">
        <w:rPr>
          <w:rFonts w:ascii="Times New Roman" w:hAnsi="Times New Roman" w:cs="Times New Roman"/>
          <w:color w:val="000000"/>
          <w:sz w:val="28"/>
          <w:szCs w:val="28"/>
          <w:shd w:val="clear" w:color="auto" w:fill="FFFFFF"/>
        </w:rPr>
        <w:t>одительская миопия</w:t>
      </w:r>
    </w:p>
    <w:p w14:paraId="109527A5" w14:textId="77777777" w:rsidR="00123CDA" w:rsidRPr="004804AA" w:rsidRDefault="00123CDA" w:rsidP="005C37DF">
      <w:pPr>
        <w:spacing w:after="0" w:line="240" w:lineRule="auto"/>
        <w:ind w:firstLine="709"/>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832"/>
        <w:gridCol w:w="929"/>
        <w:gridCol w:w="1233"/>
        <w:gridCol w:w="2754"/>
        <w:gridCol w:w="1742"/>
        <w:gridCol w:w="855"/>
      </w:tblGrid>
      <w:tr w:rsidR="00374DC5" w:rsidRPr="004804AA" w14:paraId="160B5191" w14:textId="77777777" w:rsidTr="00405FDA">
        <w:tc>
          <w:tcPr>
            <w:tcW w:w="1833" w:type="dxa"/>
          </w:tcPr>
          <w:p w14:paraId="0ACBD10F"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Родительская миопия</w:t>
            </w:r>
          </w:p>
        </w:tc>
        <w:tc>
          <w:tcPr>
            <w:tcW w:w="969" w:type="dxa"/>
          </w:tcPr>
          <w:p w14:paraId="481FF56E"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Всего</w:t>
            </w:r>
          </w:p>
        </w:tc>
        <w:tc>
          <w:tcPr>
            <w:tcW w:w="1320" w:type="dxa"/>
          </w:tcPr>
          <w:p w14:paraId="0D1753A8"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Миопия (</w:t>
            </w:r>
            <w:r w:rsidRPr="004804AA">
              <w:rPr>
                <w:rFonts w:ascii="Times New Roman" w:hAnsi="Times New Roman" w:cs="Times New Roman"/>
                <w:color w:val="000000"/>
                <w:sz w:val="28"/>
                <w:szCs w:val="28"/>
                <w:shd w:val="clear" w:color="auto" w:fill="FFFFFF"/>
                <w:lang w:val="en-US"/>
              </w:rPr>
              <w:t>N</w:t>
            </w:r>
            <w:r w:rsidRPr="004804AA">
              <w:rPr>
                <w:rFonts w:ascii="Times New Roman" w:hAnsi="Times New Roman" w:cs="Times New Roman"/>
                <w:color w:val="000000"/>
                <w:sz w:val="28"/>
                <w:szCs w:val="28"/>
                <w:shd w:val="clear" w:color="auto" w:fill="FFFFFF"/>
              </w:rPr>
              <w:t>)</w:t>
            </w:r>
          </w:p>
        </w:tc>
        <w:tc>
          <w:tcPr>
            <w:tcW w:w="2813" w:type="dxa"/>
          </w:tcPr>
          <w:p w14:paraId="52F10D93"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Распространенность, %</w:t>
            </w:r>
          </w:p>
        </w:tc>
        <w:tc>
          <w:tcPr>
            <w:tcW w:w="1742" w:type="dxa"/>
          </w:tcPr>
          <w:p w14:paraId="04A2AD6D" w14:textId="10340F48" w:rsidR="00374DC5" w:rsidRPr="00504750"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lang w:val="en-US"/>
              </w:rPr>
              <w:t>ОШ</w:t>
            </w:r>
            <w:r w:rsidR="00504750" w:rsidRPr="00504750">
              <w:rPr>
                <w:rFonts w:ascii="Times New Roman" w:hAnsi="Times New Roman" w:cs="Times New Roman"/>
                <w:color w:val="000000"/>
                <w:sz w:val="28"/>
                <w:szCs w:val="28"/>
                <w:shd w:val="clear" w:color="auto" w:fill="FFFFFF"/>
                <w:vertAlign w:val="superscript"/>
              </w:rPr>
              <w:t>1</w:t>
            </w:r>
          </w:p>
        </w:tc>
        <w:tc>
          <w:tcPr>
            <w:tcW w:w="951" w:type="dxa"/>
          </w:tcPr>
          <w:p w14:paraId="6FE3ED16" w14:textId="383AF893"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w:t>
            </w:r>
            <w:r w:rsidR="00444869">
              <w:rPr>
                <w:rFonts w:ascii="Times New Roman" w:hAnsi="Times New Roman" w:cs="Times New Roman"/>
                <w:sz w:val="28"/>
                <w:szCs w:val="28"/>
              </w:rPr>
              <w:t xml:space="preserve"> </w:t>
            </w:r>
            <w:r w:rsidRPr="004804AA">
              <w:rPr>
                <w:rFonts w:ascii="Times New Roman" w:hAnsi="Times New Roman" w:cs="Times New Roman"/>
                <w:color w:val="000000"/>
                <w:sz w:val="28"/>
                <w:szCs w:val="28"/>
                <w:shd w:val="clear" w:color="auto" w:fill="FFFFFF"/>
              </w:rPr>
              <w:t>ДИ</w:t>
            </w:r>
            <w:r w:rsidR="00504750" w:rsidRPr="00504750">
              <w:rPr>
                <w:rFonts w:ascii="Times New Roman" w:hAnsi="Times New Roman" w:cs="Times New Roman"/>
                <w:color w:val="000000"/>
                <w:sz w:val="28"/>
                <w:szCs w:val="28"/>
                <w:shd w:val="clear" w:color="auto" w:fill="FFFFFF"/>
                <w:vertAlign w:val="superscript"/>
              </w:rPr>
              <w:t>2</w:t>
            </w:r>
          </w:p>
        </w:tc>
      </w:tr>
      <w:tr w:rsidR="00374DC5" w:rsidRPr="004804AA" w14:paraId="4DB08297" w14:textId="77777777" w:rsidTr="00405FDA">
        <w:tc>
          <w:tcPr>
            <w:tcW w:w="1833" w:type="dxa"/>
          </w:tcPr>
          <w:p w14:paraId="4B44E2CB"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нет</w:t>
            </w:r>
          </w:p>
        </w:tc>
        <w:tc>
          <w:tcPr>
            <w:tcW w:w="969" w:type="dxa"/>
          </w:tcPr>
          <w:p w14:paraId="2CBD6BA6"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813</w:t>
            </w:r>
          </w:p>
        </w:tc>
        <w:tc>
          <w:tcPr>
            <w:tcW w:w="1320" w:type="dxa"/>
          </w:tcPr>
          <w:p w14:paraId="79D79A57"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205</w:t>
            </w:r>
          </w:p>
        </w:tc>
        <w:tc>
          <w:tcPr>
            <w:tcW w:w="2813" w:type="dxa"/>
          </w:tcPr>
          <w:p w14:paraId="5F48F00B"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25,2</w:t>
            </w:r>
          </w:p>
        </w:tc>
        <w:tc>
          <w:tcPr>
            <w:tcW w:w="1742" w:type="dxa"/>
          </w:tcPr>
          <w:p w14:paraId="0C2DBA54"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951" w:type="dxa"/>
          </w:tcPr>
          <w:p w14:paraId="5151E44F"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71BA12B9" w14:textId="77777777" w:rsidTr="00405FDA">
        <w:tc>
          <w:tcPr>
            <w:tcW w:w="1833" w:type="dxa"/>
          </w:tcPr>
          <w:p w14:paraId="078EB72C"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у одного из родителей</w:t>
            </w:r>
          </w:p>
        </w:tc>
        <w:tc>
          <w:tcPr>
            <w:tcW w:w="969" w:type="dxa"/>
          </w:tcPr>
          <w:p w14:paraId="0915BE12"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205</w:t>
            </w:r>
          </w:p>
        </w:tc>
        <w:tc>
          <w:tcPr>
            <w:tcW w:w="1320" w:type="dxa"/>
          </w:tcPr>
          <w:p w14:paraId="22297D07"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69</w:t>
            </w:r>
          </w:p>
        </w:tc>
        <w:tc>
          <w:tcPr>
            <w:tcW w:w="2813" w:type="dxa"/>
          </w:tcPr>
          <w:p w14:paraId="2CAE29C5"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33,7</w:t>
            </w:r>
          </w:p>
        </w:tc>
        <w:tc>
          <w:tcPr>
            <w:tcW w:w="1742" w:type="dxa"/>
          </w:tcPr>
          <w:p w14:paraId="30853532"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1,50</w:t>
            </w:r>
          </w:p>
        </w:tc>
        <w:tc>
          <w:tcPr>
            <w:tcW w:w="951" w:type="dxa"/>
          </w:tcPr>
          <w:p w14:paraId="015695B6"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1,08-2,09</w:t>
            </w:r>
          </w:p>
        </w:tc>
      </w:tr>
      <w:tr w:rsidR="00374DC5" w:rsidRPr="004804AA" w14:paraId="4CE5D972" w14:textId="77777777" w:rsidTr="00405FDA">
        <w:tc>
          <w:tcPr>
            <w:tcW w:w="1833" w:type="dxa"/>
          </w:tcPr>
          <w:p w14:paraId="0A6D3879"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у обоих родителей</w:t>
            </w:r>
          </w:p>
        </w:tc>
        <w:tc>
          <w:tcPr>
            <w:tcW w:w="969" w:type="dxa"/>
          </w:tcPr>
          <w:p w14:paraId="1B1C4350"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48</w:t>
            </w:r>
          </w:p>
        </w:tc>
        <w:tc>
          <w:tcPr>
            <w:tcW w:w="1320" w:type="dxa"/>
          </w:tcPr>
          <w:p w14:paraId="264F273C"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17</w:t>
            </w:r>
          </w:p>
        </w:tc>
        <w:tc>
          <w:tcPr>
            <w:tcW w:w="2813" w:type="dxa"/>
          </w:tcPr>
          <w:p w14:paraId="45A0F41A"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35,4</w:t>
            </w:r>
          </w:p>
        </w:tc>
        <w:tc>
          <w:tcPr>
            <w:tcW w:w="1742" w:type="dxa"/>
          </w:tcPr>
          <w:p w14:paraId="4AC151FA"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1,63</w:t>
            </w:r>
          </w:p>
        </w:tc>
        <w:tc>
          <w:tcPr>
            <w:tcW w:w="951" w:type="dxa"/>
          </w:tcPr>
          <w:p w14:paraId="7572B710" w14:textId="77777777" w:rsidR="00374DC5" w:rsidRPr="004804AA" w:rsidRDefault="00374DC5" w:rsidP="002D564F">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0,88-3,00</w:t>
            </w:r>
          </w:p>
        </w:tc>
      </w:tr>
      <w:tr w:rsidR="00405FDA" w:rsidRPr="004804AA" w14:paraId="0A3FB760" w14:textId="77777777" w:rsidTr="00292B55">
        <w:tc>
          <w:tcPr>
            <w:tcW w:w="9628" w:type="dxa"/>
            <w:gridSpan w:val="6"/>
          </w:tcPr>
          <w:p w14:paraId="53C7F451" w14:textId="77777777" w:rsidR="00405FDA" w:rsidRDefault="00405FDA" w:rsidP="00405FDA">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38F497D3" w14:textId="77777777" w:rsidR="00405FDA" w:rsidRDefault="00405FDA" w:rsidP="00405FDA">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2F487866" w14:textId="1A714FAC" w:rsidR="00405FDA" w:rsidRPr="004804AA" w:rsidRDefault="00405FDA" w:rsidP="00405FDA">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tbl>
    <w:p w14:paraId="28D3D557" w14:textId="77777777"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p>
    <w:p w14:paraId="61AC25CC" w14:textId="34459379" w:rsidR="00374DC5" w:rsidRDefault="00374DC5" w:rsidP="005C37DF">
      <w:pPr>
        <w:spacing w:after="0" w:line="240" w:lineRule="auto"/>
        <w:ind w:firstLine="709"/>
        <w:jc w:val="both"/>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 xml:space="preserve">Помимо семейного анамнеза, большое внимание в разработке превентивных стратегий должно уделяться работе с визуальными привычками детей. Среди поведенческих факторов риска развития миопии важнейшими считаются </w:t>
      </w:r>
      <w:r w:rsidR="00E27D07">
        <w:rPr>
          <w:rFonts w:ascii="Times New Roman" w:hAnsi="Times New Roman" w:cs="Times New Roman"/>
          <w:color w:val="212121"/>
          <w:sz w:val="28"/>
          <w:szCs w:val="28"/>
          <w:shd w:val="clear" w:color="auto" w:fill="FFFFFF"/>
        </w:rPr>
        <w:t>ступень школьного обучения (класс)</w:t>
      </w:r>
      <w:r w:rsidRPr="004804AA">
        <w:rPr>
          <w:rFonts w:ascii="Times New Roman" w:hAnsi="Times New Roman" w:cs="Times New Roman"/>
          <w:color w:val="212121"/>
          <w:sz w:val="28"/>
          <w:szCs w:val="28"/>
          <w:shd w:val="clear" w:color="auto" w:fill="FFFFFF"/>
        </w:rPr>
        <w:t>, зрительная работа на ближнем расстоянии (30-40 см), экранное время, физическая активность и время, проведенное вне помещения.</w:t>
      </w:r>
      <w:r w:rsidRPr="004804AA">
        <w:rPr>
          <w:rFonts w:ascii="Times New Roman" w:hAnsi="Times New Roman" w:cs="Times New Roman"/>
          <w:sz w:val="28"/>
          <w:szCs w:val="28"/>
        </w:rPr>
        <w:t xml:space="preserve"> </w:t>
      </w:r>
      <w:r w:rsidRPr="004804AA">
        <w:rPr>
          <w:rFonts w:ascii="Times New Roman" w:hAnsi="Times New Roman" w:cs="Times New Roman"/>
          <w:color w:val="212121"/>
          <w:sz w:val="28"/>
          <w:szCs w:val="28"/>
          <w:shd w:val="clear" w:color="auto" w:fill="FFFFFF"/>
        </w:rPr>
        <w:t>Современный рост близорукости отражает глобальную тенденцию к постоянному повышению образовательных нагрузок, что приводит к тому, что дети во многих странах стали уделять больше времени чтению, учебе. Данные, представленные в таблице</w:t>
      </w:r>
      <w:r w:rsidR="0002022C">
        <w:rPr>
          <w:rFonts w:ascii="Times New Roman" w:hAnsi="Times New Roman" w:cs="Times New Roman"/>
          <w:color w:val="212121"/>
          <w:sz w:val="28"/>
          <w:szCs w:val="28"/>
          <w:shd w:val="clear" w:color="auto" w:fill="FFFFFF"/>
        </w:rPr>
        <w:t xml:space="preserve"> 16</w:t>
      </w:r>
      <w:r w:rsidRPr="004804AA">
        <w:rPr>
          <w:rFonts w:ascii="Times New Roman" w:hAnsi="Times New Roman" w:cs="Times New Roman"/>
          <w:color w:val="212121"/>
          <w:sz w:val="28"/>
          <w:szCs w:val="28"/>
          <w:shd w:val="clear" w:color="auto" w:fill="FFFFFF"/>
        </w:rPr>
        <w:t xml:space="preserve">, свидетельствует о том, что 40,5% школьников проводят за дополнительными занятиями 1–2 часа, а 39,4% - более 2 часов ежедневно. Визуальная работа, </w:t>
      </w:r>
      <w:r w:rsidR="00DB563C" w:rsidRPr="004804AA">
        <w:rPr>
          <w:rFonts w:ascii="Times New Roman" w:hAnsi="Times New Roman" w:cs="Times New Roman"/>
          <w:color w:val="212121"/>
          <w:sz w:val="28"/>
          <w:szCs w:val="28"/>
          <w:shd w:val="clear" w:color="auto" w:fill="FFFFFF"/>
        </w:rPr>
        <w:t>в частности</w:t>
      </w:r>
      <w:r w:rsidRPr="004804AA">
        <w:rPr>
          <w:rFonts w:ascii="Times New Roman" w:hAnsi="Times New Roman" w:cs="Times New Roman"/>
          <w:color w:val="212121"/>
          <w:sz w:val="28"/>
          <w:szCs w:val="28"/>
          <w:shd w:val="clear" w:color="auto" w:fill="FFFFFF"/>
        </w:rPr>
        <w:t xml:space="preserve"> чтение, выполнение домашнего задания, </w:t>
      </w:r>
      <w:r w:rsidRPr="004804AA">
        <w:rPr>
          <w:rFonts w:ascii="Times New Roman" w:hAnsi="Times New Roman" w:cs="Times New Roman"/>
          <w:color w:val="212121"/>
          <w:sz w:val="28"/>
          <w:szCs w:val="28"/>
          <w:shd w:val="clear" w:color="auto" w:fill="FFFFFF"/>
        </w:rPr>
        <w:lastRenderedPageBreak/>
        <w:t>рукоделие и дополнительное образование более 2 часов в день встречались у 28,7% учащихся 1 классов, 40,1% пятиклассников и 54,8% старшеклассников. Равное число школьников обоих полов проводил</w:t>
      </w:r>
      <w:r w:rsidR="00E7180E">
        <w:rPr>
          <w:rFonts w:ascii="Times New Roman" w:hAnsi="Times New Roman" w:cs="Times New Roman"/>
          <w:color w:val="212121"/>
          <w:sz w:val="28"/>
          <w:szCs w:val="28"/>
          <w:shd w:val="clear" w:color="auto" w:fill="FFFFFF"/>
        </w:rPr>
        <w:t>и</w:t>
      </w:r>
      <w:r w:rsidRPr="004804AA">
        <w:rPr>
          <w:rFonts w:ascii="Times New Roman" w:hAnsi="Times New Roman" w:cs="Times New Roman"/>
          <w:color w:val="212121"/>
          <w:sz w:val="28"/>
          <w:szCs w:val="28"/>
          <w:shd w:val="clear" w:color="auto" w:fill="FFFFFF"/>
        </w:rPr>
        <w:t xml:space="preserve"> за занятиями более 2 часов в день (38,9% мальчиков и 39,9% девочек). Среди этих ребят миопия статистически значимо встречалась в 1,5 раза чаще, чем среди детей, тратящих на занятия на близком расстоянии меньше 1 часа в день (ОШ 1,54; 95% ДИ 1,05-2,24). </w:t>
      </w:r>
      <w:r w:rsidR="00DB563C">
        <w:rPr>
          <w:rFonts w:ascii="Times New Roman" w:hAnsi="Times New Roman" w:cs="Times New Roman"/>
          <w:color w:val="212121"/>
          <w:sz w:val="28"/>
          <w:szCs w:val="28"/>
          <w:shd w:val="clear" w:color="auto" w:fill="FFFFFF"/>
        </w:rPr>
        <w:t xml:space="preserve">Как видно из таблицы </w:t>
      </w:r>
      <w:r w:rsidR="002B63C2">
        <w:rPr>
          <w:rFonts w:ascii="Times New Roman" w:hAnsi="Times New Roman" w:cs="Times New Roman"/>
          <w:color w:val="212121"/>
          <w:sz w:val="28"/>
          <w:szCs w:val="28"/>
          <w:shd w:val="clear" w:color="auto" w:fill="FFFFFF"/>
        </w:rPr>
        <w:t>16</w:t>
      </w:r>
      <w:r w:rsidR="00407D63">
        <w:rPr>
          <w:rFonts w:ascii="Times New Roman" w:hAnsi="Times New Roman" w:cs="Times New Roman"/>
          <w:color w:val="212121"/>
          <w:sz w:val="28"/>
          <w:szCs w:val="28"/>
          <w:shd w:val="clear" w:color="auto" w:fill="FFFFFF"/>
        </w:rPr>
        <w:t>, с</w:t>
      </w:r>
      <w:r w:rsidRPr="004804AA">
        <w:rPr>
          <w:rFonts w:ascii="Times New Roman" w:hAnsi="Times New Roman" w:cs="Times New Roman"/>
          <w:color w:val="212121"/>
          <w:sz w:val="28"/>
          <w:szCs w:val="28"/>
          <w:shd w:val="clear" w:color="auto" w:fill="FFFFFF"/>
        </w:rPr>
        <w:t>татистически не было значимой разницы в риске близорукости среди детей, тратящих на дополнительные занятия менее 1 часа в день и 1-2 часа в день (ОШ 1,08; 95% ДИ 0,74-1,59).</w:t>
      </w:r>
      <w:r w:rsidR="00444869">
        <w:rPr>
          <w:rFonts w:ascii="Times New Roman" w:hAnsi="Times New Roman" w:cs="Times New Roman"/>
          <w:color w:val="212121"/>
          <w:sz w:val="28"/>
          <w:szCs w:val="28"/>
          <w:shd w:val="clear" w:color="auto" w:fill="FFFFFF"/>
        </w:rPr>
        <w:t xml:space="preserve"> </w:t>
      </w:r>
    </w:p>
    <w:p w14:paraId="44F7D5EC" w14:textId="77777777" w:rsidR="00407D63" w:rsidRPr="004804AA" w:rsidRDefault="00407D63" w:rsidP="005C37DF">
      <w:pPr>
        <w:spacing w:after="0" w:line="240" w:lineRule="auto"/>
        <w:ind w:firstLine="709"/>
        <w:jc w:val="both"/>
        <w:rPr>
          <w:rFonts w:ascii="Times New Roman" w:hAnsi="Times New Roman" w:cs="Times New Roman"/>
          <w:color w:val="212121"/>
          <w:sz w:val="28"/>
          <w:szCs w:val="28"/>
          <w:shd w:val="clear" w:color="auto" w:fill="FFFFFF"/>
        </w:rPr>
      </w:pPr>
    </w:p>
    <w:p w14:paraId="2432EFFB" w14:textId="0050212B" w:rsidR="00374DC5" w:rsidRDefault="00374DC5" w:rsidP="00DB563C">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DB563C">
        <w:rPr>
          <w:rFonts w:ascii="Times New Roman" w:hAnsi="Times New Roman" w:cs="Times New Roman"/>
          <w:color w:val="000000"/>
          <w:sz w:val="28"/>
          <w:szCs w:val="28"/>
          <w:shd w:val="clear" w:color="auto" w:fill="FFFFFF"/>
        </w:rPr>
        <w:t xml:space="preserve"> </w:t>
      </w:r>
      <w:r w:rsidR="001437B6" w:rsidRPr="001437B6">
        <w:rPr>
          <w:rFonts w:ascii="Times New Roman" w:hAnsi="Times New Roman" w:cs="Times New Roman"/>
          <w:color w:val="000000"/>
          <w:sz w:val="28"/>
          <w:szCs w:val="28"/>
          <w:shd w:val="clear" w:color="auto" w:fill="FFFFFF"/>
        </w:rPr>
        <w:t>16</w:t>
      </w:r>
      <w:r w:rsidR="00DB563C">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Факторы риска миопии</w:t>
      </w:r>
      <w:r w:rsidR="00DB563C">
        <w:rPr>
          <w:rFonts w:ascii="Times New Roman" w:hAnsi="Times New Roman" w:cs="Times New Roman"/>
          <w:color w:val="000000"/>
          <w:sz w:val="28"/>
          <w:szCs w:val="28"/>
          <w:shd w:val="clear" w:color="auto" w:fill="FFFFFF"/>
        </w:rPr>
        <w:t>: д</w:t>
      </w:r>
      <w:r w:rsidRPr="004804AA">
        <w:rPr>
          <w:rFonts w:ascii="Times New Roman" w:hAnsi="Times New Roman" w:cs="Times New Roman"/>
          <w:color w:val="000000"/>
          <w:sz w:val="28"/>
          <w:szCs w:val="28"/>
          <w:shd w:val="clear" w:color="auto" w:fill="FFFFFF"/>
        </w:rPr>
        <w:t>ополнительная зрительная нагрузка на близком расстоянии</w:t>
      </w:r>
    </w:p>
    <w:p w14:paraId="3DA3107B" w14:textId="77777777" w:rsidR="00DB563C" w:rsidRPr="004804AA" w:rsidRDefault="00DB563C" w:rsidP="00DB563C">
      <w:pPr>
        <w:spacing w:after="0" w:line="240" w:lineRule="auto"/>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589"/>
        <w:gridCol w:w="1032"/>
        <w:gridCol w:w="1256"/>
        <w:gridCol w:w="2720"/>
        <w:gridCol w:w="1726"/>
        <w:gridCol w:w="1022"/>
      </w:tblGrid>
      <w:tr w:rsidR="00374DC5" w:rsidRPr="004804AA" w14:paraId="6258DCE1" w14:textId="77777777" w:rsidTr="000A16C1">
        <w:tc>
          <w:tcPr>
            <w:tcW w:w="1604" w:type="dxa"/>
          </w:tcPr>
          <w:p w14:paraId="512D471A"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Зрительная нагрузка</w:t>
            </w:r>
          </w:p>
        </w:tc>
        <w:tc>
          <w:tcPr>
            <w:tcW w:w="1112" w:type="dxa"/>
          </w:tcPr>
          <w:p w14:paraId="510D7EE5"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302" w:type="dxa"/>
          </w:tcPr>
          <w:p w14:paraId="0DC9F7DA"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w:t>
            </w:r>
          </w:p>
        </w:tc>
        <w:tc>
          <w:tcPr>
            <w:tcW w:w="2720" w:type="dxa"/>
          </w:tcPr>
          <w:p w14:paraId="183625D0"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726" w:type="dxa"/>
          </w:tcPr>
          <w:p w14:paraId="70555834" w14:textId="5773D242"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0A16C1" w:rsidRPr="000A16C1">
              <w:rPr>
                <w:rFonts w:ascii="Times New Roman" w:hAnsi="Times New Roman" w:cs="Times New Roman"/>
                <w:sz w:val="28"/>
                <w:szCs w:val="28"/>
                <w:vertAlign w:val="superscript"/>
              </w:rPr>
              <w:t>1</w:t>
            </w:r>
          </w:p>
        </w:tc>
        <w:tc>
          <w:tcPr>
            <w:tcW w:w="1164" w:type="dxa"/>
          </w:tcPr>
          <w:p w14:paraId="1525B336" w14:textId="115603EC"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 ДИ</w:t>
            </w:r>
            <w:r w:rsidR="000A16C1" w:rsidRPr="000A16C1">
              <w:rPr>
                <w:rFonts w:ascii="Times New Roman" w:hAnsi="Times New Roman" w:cs="Times New Roman"/>
                <w:sz w:val="28"/>
                <w:szCs w:val="28"/>
                <w:vertAlign w:val="superscript"/>
              </w:rPr>
              <w:t>2</w:t>
            </w:r>
          </w:p>
        </w:tc>
      </w:tr>
      <w:tr w:rsidR="00374DC5" w:rsidRPr="004804AA" w14:paraId="70E5D60A" w14:textId="77777777" w:rsidTr="000A16C1">
        <w:tc>
          <w:tcPr>
            <w:tcW w:w="1604" w:type="dxa"/>
          </w:tcPr>
          <w:p w14:paraId="061EA1C6"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&lt;1 часа в день</w:t>
            </w:r>
          </w:p>
        </w:tc>
        <w:tc>
          <w:tcPr>
            <w:tcW w:w="1112" w:type="dxa"/>
            <w:vAlign w:val="center"/>
          </w:tcPr>
          <w:p w14:paraId="6030C9F9"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214</w:t>
            </w:r>
          </w:p>
        </w:tc>
        <w:tc>
          <w:tcPr>
            <w:tcW w:w="1302" w:type="dxa"/>
            <w:vAlign w:val="center"/>
          </w:tcPr>
          <w:p w14:paraId="4AC13344"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50</w:t>
            </w:r>
          </w:p>
        </w:tc>
        <w:tc>
          <w:tcPr>
            <w:tcW w:w="2720" w:type="dxa"/>
            <w:vAlign w:val="center"/>
          </w:tcPr>
          <w:p w14:paraId="70D8A16D"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23,4</w:t>
            </w:r>
          </w:p>
        </w:tc>
        <w:tc>
          <w:tcPr>
            <w:tcW w:w="1726" w:type="dxa"/>
            <w:vAlign w:val="center"/>
          </w:tcPr>
          <w:p w14:paraId="41B5B7C0" w14:textId="04E5AF93" w:rsidR="00374DC5" w:rsidRPr="004804AA" w:rsidRDefault="00DB563C" w:rsidP="00DB563C">
            <w:pPr>
              <w:spacing w:after="0" w:line="240" w:lineRule="auto"/>
              <w:jc w:val="center"/>
              <w:rPr>
                <w:rFonts w:ascii="Times New Roman" w:hAnsi="Times New Roman" w:cs="Times New Roman"/>
                <w:color w:val="212121"/>
                <w:sz w:val="28"/>
                <w:szCs w:val="28"/>
                <w:shd w:val="clear" w:color="auto" w:fill="FFFFFF"/>
              </w:rPr>
            </w:pPr>
            <w:r>
              <w:rPr>
                <w:rFonts w:ascii="Times New Roman" w:hAnsi="Times New Roman" w:cs="Times New Roman"/>
                <w:color w:val="000000"/>
                <w:sz w:val="28"/>
                <w:szCs w:val="28"/>
                <w:shd w:val="clear" w:color="auto" w:fill="FFFFFF"/>
              </w:rPr>
              <w:t>р</w:t>
            </w:r>
            <w:r w:rsidR="00374DC5" w:rsidRPr="004804AA">
              <w:rPr>
                <w:rFonts w:ascii="Times New Roman" w:hAnsi="Times New Roman" w:cs="Times New Roman"/>
                <w:color w:val="000000"/>
                <w:sz w:val="28"/>
                <w:szCs w:val="28"/>
                <w:shd w:val="clear" w:color="auto" w:fill="FFFFFF"/>
              </w:rPr>
              <w:t>еферентная группа</w:t>
            </w:r>
          </w:p>
        </w:tc>
        <w:tc>
          <w:tcPr>
            <w:tcW w:w="1164" w:type="dxa"/>
            <w:vAlign w:val="center"/>
          </w:tcPr>
          <w:p w14:paraId="735722FA"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p>
        </w:tc>
      </w:tr>
      <w:tr w:rsidR="00374DC5" w:rsidRPr="004804AA" w14:paraId="64F531F6" w14:textId="77777777" w:rsidTr="000A16C1">
        <w:tc>
          <w:tcPr>
            <w:tcW w:w="1604" w:type="dxa"/>
          </w:tcPr>
          <w:p w14:paraId="3C513C56"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1,01 – 2,00 часов</w:t>
            </w:r>
          </w:p>
        </w:tc>
        <w:tc>
          <w:tcPr>
            <w:tcW w:w="1112" w:type="dxa"/>
            <w:vAlign w:val="center"/>
          </w:tcPr>
          <w:p w14:paraId="13848F14"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432</w:t>
            </w:r>
          </w:p>
        </w:tc>
        <w:tc>
          <w:tcPr>
            <w:tcW w:w="1302" w:type="dxa"/>
            <w:vAlign w:val="center"/>
          </w:tcPr>
          <w:p w14:paraId="5F71B1F4"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107</w:t>
            </w:r>
          </w:p>
        </w:tc>
        <w:tc>
          <w:tcPr>
            <w:tcW w:w="2720" w:type="dxa"/>
            <w:vAlign w:val="center"/>
          </w:tcPr>
          <w:p w14:paraId="27C4C69E"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24,8</w:t>
            </w:r>
          </w:p>
        </w:tc>
        <w:tc>
          <w:tcPr>
            <w:tcW w:w="1726" w:type="dxa"/>
            <w:vAlign w:val="center"/>
          </w:tcPr>
          <w:p w14:paraId="4304613B"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1,08</w:t>
            </w:r>
          </w:p>
        </w:tc>
        <w:tc>
          <w:tcPr>
            <w:tcW w:w="1164" w:type="dxa"/>
            <w:vAlign w:val="center"/>
          </w:tcPr>
          <w:p w14:paraId="1A12F95D"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0,74-1,59</w:t>
            </w:r>
          </w:p>
        </w:tc>
      </w:tr>
      <w:tr w:rsidR="00374DC5" w:rsidRPr="004804AA" w14:paraId="330B6866" w14:textId="77777777" w:rsidTr="000A16C1">
        <w:tc>
          <w:tcPr>
            <w:tcW w:w="1604" w:type="dxa"/>
          </w:tcPr>
          <w:p w14:paraId="2D8A87A8" w14:textId="77777777" w:rsidR="00374DC5" w:rsidRPr="004804AA" w:rsidRDefault="00374DC5" w:rsidP="00DB563C">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1112" w:type="dxa"/>
            <w:vAlign w:val="center"/>
          </w:tcPr>
          <w:p w14:paraId="3682F0FA"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420</w:t>
            </w:r>
          </w:p>
        </w:tc>
        <w:tc>
          <w:tcPr>
            <w:tcW w:w="1302" w:type="dxa"/>
            <w:vAlign w:val="center"/>
          </w:tcPr>
          <w:p w14:paraId="58638275"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134</w:t>
            </w:r>
          </w:p>
        </w:tc>
        <w:tc>
          <w:tcPr>
            <w:tcW w:w="2720" w:type="dxa"/>
            <w:vAlign w:val="center"/>
          </w:tcPr>
          <w:p w14:paraId="7C90A1F6"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31,9</w:t>
            </w:r>
          </w:p>
        </w:tc>
        <w:tc>
          <w:tcPr>
            <w:tcW w:w="1726" w:type="dxa"/>
            <w:vAlign w:val="center"/>
          </w:tcPr>
          <w:p w14:paraId="53A243F1"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1,54</w:t>
            </w:r>
          </w:p>
        </w:tc>
        <w:tc>
          <w:tcPr>
            <w:tcW w:w="1164" w:type="dxa"/>
            <w:vAlign w:val="center"/>
          </w:tcPr>
          <w:p w14:paraId="13154BD8" w14:textId="77777777" w:rsidR="00374DC5" w:rsidRPr="004804AA" w:rsidRDefault="00374DC5" w:rsidP="00DB563C">
            <w:pPr>
              <w:spacing w:after="0" w:line="240" w:lineRule="auto"/>
              <w:jc w:val="center"/>
              <w:rPr>
                <w:rFonts w:ascii="Times New Roman" w:hAnsi="Times New Roman" w:cs="Times New Roman"/>
                <w:color w:val="212121"/>
                <w:sz w:val="28"/>
                <w:szCs w:val="28"/>
                <w:shd w:val="clear" w:color="auto" w:fill="FFFFFF"/>
              </w:rPr>
            </w:pPr>
            <w:r w:rsidRPr="004804AA">
              <w:rPr>
                <w:rFonts w:ascii="Times New Roman" w:hAnsi="Times New Roman" w:cs="Times New Roman"/>
                <w:color w:val="212121"/>
                <w:sz w:val="28"/>
                <w:szCs w:val="28"/>
                <w:shd w:val="clear" w:color="auto" w:fill="FFFFFF"/>
              </w:rPr>
              <w:t>1,05-2,24</w:t>
            </w:r>
          </w:p>
        </w:tc>
      </w:tr>
      <w:tr w:rsidR="000A16C1" w:rsidRPr="004804AA" w14:paraId="54403084" w14:textId="77777777" w:rsidTr="00292B55">
        <w:tc>
          <w:tcPr>
            <w:tcW w:w="9628" w:type="dxa"/>
            <w:gridSpan w:val="6"/>
          </w:tcPr>
          <w:p w14:paraId="2DDA14FF" w14:textId="77777777" w:rsidR="000A16C1" w:rsidRDefault="000A16C1" w:rsidP="000A16C1">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22645334" w14:textId="77777777" w:rsidR="000A16C1" w:rsidRDefault="000A16C1" w:rsidP="000A16C1">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6B55C3AA" w14:textId="7DD8C030" w:rsidR="000A16C1" w:rsidRPr="004804AA" w:rsidRDefault="000A16C1" w:rsidP="000A16C1">
            <w:pPr>
              <w:spacing w:after="0" w:line="240" w:lineRule="auto"/>
              <w:rPr>
                <w:rFonts w:ascii="Times New Roman" w:hAnsi="Times New Roman" w:cs="Times New Roman"/>
                <w:color w:val="212121"/>
                <w:sz w:val="28"/>
                <w:szCs w:val="28"/>
                <w:shd w:val="clear" w:color="auto" w:fill="FFFFFF"/>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tbl>
    <w:p w14:paraId="57B0DD1B" w14:textId="77777777" w:rsidR="00374DC5" w:rsidRPr="004804AA" w:rsidRDefault="00374DC5" w:rsidP="005C37DF">
      <w:pPr>
        <w:spacing w:after="0" w:line="240" w:lineRule="auto"/>
        <w:ind w:firstLine="709"/>
        <w:jc w:val="both"/>
        <w:rPr>
          <w:rFonts w:ascii="Times New Roman" w:hAnsi="Times New Roman" w:cs="Times New Roman"/>
          <w:color w:val="212121"/>
          <w:sz w:val="28"/>
          <w:szCs w:val="28"/>
          <w:shd w:val="clear" w:color="auto" w:fill="FFFFFF"/>
        </w:rPr>
      </w:pPr>
    </w:p>
    <w:p w14:paraId="4466EFCB" w14:textId="1DC257AD" w:rsidR="00374DC5"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 xml:space="preserve">Анализ анкет показал, что по оценкам родителей 247 из 1066 детей (23,2%) проводили со смартфонами более 2 часов в день. Частота использования телефонов росла соответственно возрасту: если в первом классе 19,3% детей проводили с гаджетами более 2 часов в день, то к девятому классу этот </w:t>
      </w:r>
      <w:r w:rsidRPr="00E20E23">
        <w:rPr>
          <w:rFonts w:ascii="Times New Roman" w:hAnsi="Times New Roman" w:cs="Times New Roman"/>
          <w:sz w:val="28"/>
          <w:szCs w:val="28"/>
          <w:shd w:val="clear" w:color="auto" w:fill="FFFFFF"/>
        </w:rPr>
        <w:t xml:space="preserve">показатель </w:t>
      </w:r>
      <w:r w:rsidR="00E7180E" w:rsidRPr="00E20E23">
        <w:rPr>
          <w:rFonts w:ascii="Times New Roman" w:hAnsi="Times New Roman" w:cs="Times New Roman"/>
          <w:sz w:val="28"/>
          <w:szCs w:val="28"/>
          <w:shd w:val="clear" w:color="auto" w:fill="FFFFFF"/>
        </w:rPr>
        <w:t>возрос</w:t>
      </w:r>
      <w:r w:rsidRPr="00E20E23">
        <w:rPr>
          <w:rFonts w:ascii="Times New Roman" w:hAnsi="Times New Roman" w:cs="Times New Roman"/>
          <w:sz w:val="28"/>
          <w:szCs w:val="28"/>
          <w:shd w:val="clear" w:color="auto" w:fill="FFFFFF"/>
        </w:rPr>
        <w:t xml:space="preserve"> </w:t>
      </w:r>
      <w:r w:rsidRPr="004804AA">
        <w:rPr>
          <w:rFonts w:ascii="Times New Roman" w:hAnsi="Times New Roman" w:cs="Times New Roman"/>
          <w:color w:val="000000"/>
          <w:sz w:val="28"/>
          <w:szCs w:val="28"/>
          <w:shd w:val="clear" w:color="auto" w:fill="FFFFFF"/>
        </w:rPr>
        <w:t>до 36,9% (</w:t>
      </w:r>
      <w:r w:rsidRPr="004804AA">
        <w:rPr>
          <w:rFonts w:ascii="Times New Roman" w:hAnsi="Times New Roman" w:cs="Times New Roman"/>
          <w:color w:val="000000"/>
          <w:sz w:val="28"/>
          <w:szCs w:val="28"/>
          <w:shd w:val="clear" w:color="auto" w:fill="FFFFFF"/>
          <w:lang w:val="en-US"/>
        </w:rPr>
        <w:t>p</w:t>
      </w:r>
      <w:r w:rsidRPr="004804AA">
        <w:rPr>
          <w:rFonts w:ascii="Times New Roman" w:hAnsi="Times New Roman" w:cs="Times New Roman"/>
          <w:color w:val="000000"/>
          <w:sz w:val="28"/>
          <w:szCs w:val="28"/>
          <w:shd w:val="clear" w:color="auto" w:fill="FFFFFF"/>
        </w:rPr>
        <w:t xml:space="preserve"> &lt;0,001). Лишь 10,4% детей не пользовались смартфоном ежедневно, 41,4% из них (46 детей) – первоклассники. Как видно из таблицы</w:t>
      </w:r>
      <w:r w:rsidR="00DF5788">
        <w:rPr>
          <w:rFonts w:ascii="Times New Roman" w:hAnsi="Times New Roman" w:cs="Times New Roman"/>
          <w:color w:val="000000"/>
          <w:sz w:val="28"/>
          <w:szCs w:val="28"/>
          <w:shd w:val="clear" w:color="auto" w:fill="FFFFFF"/>
        </w:rPr>
        <w:t xml:space="preserve"> 17</w:t>
      </w:r>
      <w:r w:rsidRPr="004804AA">
        <w:rPr>
          <w:rFonts w:ascii="Times New Roman" w:hAnsi="Times New Roman" w:cs="Times New Roman"/>
          <w:color w:val="000000"/>
          <w:sz w:val="28"/>
          <w:szCs w:val="28"/>
          <w:shd w:val="clear" w:color="auto" w:fill="FFFFFF"/>
        </w:rPr>
        <w:t>, школьники с миопией тратили в среднем больше времени на ежедневное использование смартфонов, чем дети без миопии. Несмотря на это, статистически значимой ассоциации между экранным временем и риском близорукости у школьников мы не выявили (</w:t>
      </w:r>
      <w:r w:rsidR="00407D63">
        <w:rPr>
          <w:rFonts w:ascii="Times New Roman" w:hAnsi="Times New Roman" w:cs="Times New Roman"/>
          <w:color w:val="000000"/>
          <w:sz w:val="28"/>
          <w:szCs w:val="28"/>
          <w:shd w:val="clear" w:color="auto" w:fill="FFFFFF"/>
        </w:rPr>
        <w:t>т</w:t>
      </w:r>
      <w:r w:rsidRPr="004804AA">
        <w:rPr>
          <w:rFonts w:ascii="Times New Roman" w:hAnsi="Times New Roman" w:cs="Times New Roman"/>
          <w:color w:val="000000"/>
          <w:sz w:val="28"/>
          <w:szCs w:val="28"/>
          <w:shd w:val="clear" w:color="auto" w:fill="FFFFFF"/>
        </w:rPr>
        <w:t>аблица</w:t>
      </w:r>
      <w:r w:rsidR="00407D63">
        <w:rPr>
          <w:rFonts w:ascii="Times New Roman" w:hAnsi="Times New Roman" w:cs="Times New Roman"/>
          <w:color w:val="000000"/>
          <w:sz w:val="28"/>
          <w:szCs w:val="28"/>
          <w:shd w:val="clear" w:color="auto" w:fill="FFFFFF"/>
        </w:rPr>
        <w:t xml:space="preserve"> </w:t>
      </w:r>
      <w:r w:rsidR="001437B6" w:rsidRPr="001437B6">
        <w:rPr>
          <w:rFonts w:ascii="Times New Roman" w:hAnsi="Times New Roman" w:cs="Times New Roman"/>
          <w:color w:val="000000"/>
          <w:sz w:val="28"/>
          <w:szCs w:val="28"/>
          <w:shd w:val="clear" w:color="auto" w:fill="FFFFFF"/>
        </w:rPr>
        <w:t>17</w:t>
      </w:r>
      <w:r w:rsidRPr="004804AA">
        <w:rPr>
          <w:rFonts w:ascii="Times New Roman" w:hAnsi="Times New Roman" w:cs="Times New Roman"/>
          <w:color w:val="000000"/>
          <w:sz w:val="28"/>
          <w:szCs w:val="28"/>
          <w:shd w:val="clear" w:color="auto" w:fill="FFFFFF"/>
        </w:rPr>
        <w:t>).</w:t>
      </w:r>
    </w:p>
    <w:p w14:paraId="2BE1E582" w14:textId="77777777" w:rsidR="00407D63" w:rsidRPr="004804AA" w:rsidRDefault="00407D63" w:rsidP="005C37DF">
      <w:pPr>
        <w:spacing w:after="0" w:line="240" w:lineRule="auto"/>
        <w:ind w:firstLine="709"/>
        <w:jc w:val="both"/>
        <w:rPr>
          <w:rFonts w:ascii="Times New Roman" w:hAnsi="Times New Roman" w:cs="Times New Roman"/>
          <w:color w:val="000000"/>
          <w:sz w:val="28"/>
          <w:szCs w:val="28"/>
          <w:shd w:val="clear" w:color="auto" w:fill="FFFFFF"/>
        </w:rPr>
      </w:pPr>
    </w:p>
    <w:p w14:paraId="3C0A14C4" w14:textId="26AA233E" w:rsidR="00374DC5" w:rsidRDefault="00374DC5" w:rsidP="00407D63">
      <w:pPr>
        <w:spacing w:after="0" w:line="240" w:lineRule="auto"/>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407D63">
        <w:rPr>
          <w:rFonts w:ascii="Times New Roman" w:hAnsi="Times New Roman" w:cs="Times New Roman"/>
          <w:color w:val="000000"/>
          <w:sz w:val="28"/>
          <w:szCs w:val="28"/>
          <w:shd w:val="clear" w:color="auto" w:fill="FFFFFF"/>
        </w:rPr>
        <w:t xml:space="preserve"> </w:t>
      </w:r>
      <w:r w:rsidR="001437B6" w:rsidRPr="00104023">
        <w:rPr>
          <w:rFonts w:ascii="Times New Roman" w:hAnsi="Times New Roman" w:cs="Times New Roman"/>
          <w:color w:val="000000"/>
          <w:sz w:val="28"/>
          <w:szCs w:val="28"/>
          <w:shd w:val="clear" w:color="auto" w:fill="FFFFFF"/>
        </w:rPr>
        <w:t>17</w:t>
      </w:r>
      <w:r w:rsidR="00407D63">
        <w:rPr>
          <w:rFonts w:ascii="Times New Roman" w:hAnsi="Times New Roman" w:cs="Times New Roman"/>
          <w:color w:val="000000"/>
          <w:sz w:val="28"/>
          <w:szCs w:val="28"/>
          <w:shd w:val="clear" w:color="auto" w:fill="FFFFFF"/>
        </w:rPr>
        <w:t xml:space="preserve"> - </w:t>
      </w:r>
      <w:r w:rsidRPr="004804AA">
        <w:rPr>
          <w:rFonts w:ascii="Times New Roman" w:hAnsi="Times New Roman" w:cs="Times New Roman"/>
          <w:color w:val="000000"/>
          <w:sz w:val="28"/>
          <w:szCs w:val="28"/>
          <w:shd w:val="clear" w:color="auto" w:fill="FFFFFF"/>
        </w:rPr>
        <w:t>Факторы риска миопии</w:t>
      </w:r>
      <w:r w:rsidR="00407D63">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экранное время</w:t>
      </w:r>
    </w:p>
    <w:p w14:paraId="67A8774F" w14:textId="77777777" w:rsidR="00407D63" w:rsidRPr="004804AA" w:rsidRDefault="00407D63" w:rsidP="00407D63">
      <w:pPr>
        <w:spacing w:after="0" w:line="240" w:lineRule="auto"/>
        <w:rPr>
          <w:rFonts w:ascii="Times New Roman" w:hAnsi="Times New Roman" w:cs="Times New Roman"/>
          <w:color w:val="000000"/>
          <w:sz w:val="28"/>
          <w:szCs w:val="28"/>
          <w:shd w:val="clear" w:color="auto" w:fill="FFFFFF"/>
        </w:rPr>
      </w:pPr>
    </w:p>
    <w:tbl>
      <w:tblPr>
        <w:tblStyle w:val="af0"/>
        <w:tblW w:w="0" w:type="auto"/>
        <w:tblLayout w:type="fixed"/>
        <w:tblLook w:val="04A0" w:firstRow="1" w:lastRow="0" w:firstColumn="1" w:lastColumn="0" w:noHBand="0" w:noVBand="1"/>
      </w:tblPr>
      <w:tblGrid>
        <w:gridCol w:w="2026"/>
        <w:gridCol w:w="905"/>
        <w:gridCol w:w="1181"/>
        <w:gridCol w:w="2713"/>
        <w:gridCol w:w="1534"/>
        <w:gridCol w:w="986"/>
      </w:tblGrid>
      <w:tr w:rsidR="00374DC5" w:rsidRPr="004804AA" w14:paraId="413B08A2" w14:textId="77777777" w:rsidTr="001A47FE">
        <w:tc>
          <w:tcPr>
            <w:tcW w:w="2026" w:type="dxa"/>
          </w:tcPr>
          <w:p w14:paraId="69CB6AC2"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bookmarkStart w:id="47" w:name="_Hlk70085100"/>
            <w:r w:rsidRPr="004804AA">
              <w:rPr>
                <w:rFonts w:ascii="Times New Roman" w:hAnsi="Times New Roman" w:cs="Times New Roman"/>
                <w:color w:val="000000"/>
                <w:sz w:val="28"/>
                <w:szCs w:val="28"/>
                <w:shd w:val="clear" w:color="auto" w:fill="FFFFFF"/>
              </w:rPr>
              <w:t>Использование смартфона</w:t>
            </w:r>
          </w:p>
        </w:tc>
        <w:tc>
          <w:tcPr>
            <w:tcW w:w="905" w:type="dxa"/>
          </w:tcPr>
          <w:p w14:paraId="3BCB8039"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181" w:type="dxa"/>
          </w:tcPr>
          <w:p w14:paraId="0902EC31"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w:t>
            </w:r>
          </w:p>
        </w:tc>
        <w:tc>
          <w:tcPr>
            <w:tcW w:w="2713" w:type="dxa"/>
          </w:tcPr>
          <w:p w14:paraId="502BD357"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534" w:type="dxa"/>
          </w:tcPr>
          <w:p w14:paraId="3C578BA5" w14:textId="16A48C9D"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E051E2" w:rsidRPr="00E051E2">
              <w:rPr>
                <w:rFonts w:ascii="Times New Roman" w:hAnsi="Times New Roman" w:cs="Times New Roman"/>
                <w:sz w:val="28"/>
                <w:szCs w:val="28"/>
                <w:vertAlign w:val="superscript"/>
              </w:rPr>
              <w:t>1</w:t>
            </w:r>
          </w:p>
        </w:tc>
        <w:tc>
          <w:tcPr>
            <w:tcW w:w="986" w:type="dxa"/>
          </w:tcPr>
          <w:p w14:paraId="05950705" w14:textId="41B32293"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 ДИ</w:t>
            </w:r>
            <w:r w:rsidR="00E051E2" w:rsidRPr="00E051E2">
              <w:rPr>
                <w:rFonts w:ascii="Times New Roman" w:hAnsi="Times New Roman" w:cs="Times New Roman"/>
                <w:sz w:val="28"/>
                <w:szCs w:val="28"/>
                <w:vertAlign w:val="superscript"/>
              </w:rPr>
              <w:t>2</w:t>
            </w:r>
          </w:p>
        </w:tc>
      </w:tr>
      <w:tr w:rsidR="00374DC5" w:rsidRPr="004804AA" w14:paraId="07336606" w14:textId="77777777" w:rsidTr="001A47FE">
        <w:tc>
          <w:tcPr>
            <w:tcW w:w="2026" w:type="dxa"/>
          </w:tcPr>
          <w:p w14:paraId="10C70313"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не используют</w:t>
            </w:r>
          </w:p>
        </w:tc>
        <w:tc>
          <w:tcPr>
            <w:tcW w:w="905" w:type="dxa"/>
          </w:tcPr>
          <w:p w14:paraId="3DCDA9AC"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111</w:t>
            </w:r>
          </w:p>
        </w:tc>
        <w:tc>
          <w:tcPr>
            <w:tcW w:w="1181" w:type="dxa"/>
          </w:tcPr>
          <w:p w14:paraId="15F3070D"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26</w:t>
            </w:r>
          </w:p>
        </w:tc>
        <w:tc>
          <w:tcPr>
            <w:tcW w:w="2713" w:type="dxa"/>
          </w:tcPr>
          <w:p w14:paraId="27622FDA"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23,4</w:t>
            </w:r>
          </w:p>
        </w:tc>
        <w:tc>
          <w:tcPr>
            <w:tcW w:w="1534" w:type="dxa"/>
          </w:tcPr>
          <w:p w14:paraId="7CD28586" w14:textId="76BFDF9A" w:rsidR="00374DC5" w:rsidRPr="004804AA" w:rsidRDefault="0058108D" w:rsidP="0058108D">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374DC5" w:rsidRPr="004804AA">
              <w:rPr>
                <w:rFonts w:ascii="Times New Roman" w:hAnsi="Times New Roman" w:cs="Times New Roman"/>
                <w:color w:val="000000"/>
                <w:sz w:val="28"/>
                <w:szCs w:val="28"/>
                <w:shd w:val="clear" w:color="auto" w:fill="FFFFFF"/>
              </w:rPr>
              <w:t>еферентная группа</w:t>
            </w:r>
          </w:p>
        </w:tc>
        <w:tc>
          <w:tcPr>
            <w:tcW w:w="986" w:type="dxa"/>
          </w:tcPr>
          <w:p w14:paraId="335962E3"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p>
        </w:tc>
      </w:tr>
    </w:tbl>
    <w:p w14:paraId="49B4FCDB" w14:textId="77777777" w:rsidR="00B37CEC" w:rsidRDefault="00B37CEC"/>
    <w:p w14:paraId="154C5C40" w14:textId="7541F733" w:rsidR="00B37CEC" w:rsidRPr="00B37CEC" w:rsidRDefault="00B37CEC" w:rsidP="00B37CEC">
      <w:pPr>
        <w:jc w:val="right"/>
        <w:rPr>
          <w:rFonts w:ascii="Times New Roman" w:hAnsi="Times New Roman" w:cs="Times New Roman"/>
          <w:sz w:val="28"/>
          <w:szCs w:val="28"/>
        </w:rPr>
      </w:pPr>
      <w:r>
        <w:rPr>
          <w:rFonts w:ascii="Times New Roman" w:hAnsi="Times New Roman" w:cs="Times New Roman"/>
          <w:sz w:val="28"/>
          <w:szCs w:val="28"/>
        </w:rPr>
        <w:lastRenderedPageBreak/>
        <w:t>п</w:t>
      </w:r>
      <w:r w:rsidRPr="00B37CEC">
        <w:rPr>
          <w:rFonts w:ascii="Times New Roman" w:hAnsi="Times New Roman" w:cs="Times New Roman"/>
          <w:sz w:val="28"/>
          <w:szCs w:val="28"/>
        </w:rPr>
        <w:t>родолжение таблицы 17</w:t>
      </w:r>
    </w:p>
    <w:tbl>
      <w:tblPr>
        <w:tblStyle w:val="af0"/>
        <w:tblW w:w="0" w:type="auto"/>
        <w:tblLayout w:type="fixed"/>
        <w:tblLook w:val="04A0" w:firstRow="1" w:lastRow="0" w:firstColumn="1" w:lastColumn="0" w:noHBand="0" w:noVBand="1"/>
      </w:tblPr>
      <w:tblGrid>
        <w:gridCol w:w="2026"/>
        <w:gridCol w:w="905"/>
        <w:gridCol w:w="1181"/>
        <w:gridCol w:w="2713"/>
        <w:gridCol w:w="1534"/>
        <w:gridCol w:w="986"/>
      </w:tblGrid>
      <w:tr w:rsidR="00374DC5" w:rsidRPr="004804AA" w14:paraId="6D584C91" w14:textId="77777777" w:rsidTr="001A47FE">
        <w:tc>
          <w:tcPr>
            <w:tcW w:w="2026" w:type="dxa"/>
          </w:tcPr>
          <w:p w14:paraId="59DDB990"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&lt;1 часа в день</w:t>
            </w:r>
          </w:p>
        </w:tc>
        <w:tc>
          <w:tcPr>
            <w:tcW w:w="905" w:type="dxa"/>
          </w:tcPr>
          <w:p w14:paraId="2A24AACC"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332</w:t>
            </w:r>
          </w:p>
        </w:tc>
        <w:tc>
          <w:tcPr>
            <w:tcW w:w="1181" w:type="dxa"/>
          </w:tcPr>
          <w:p w14:paraId="5BB913A6"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81</w:t>
            </w:r>
          </w:p>
        </w:tc>
        <w:tc>
          <w:tcPr>
            <w:tcW w:w="2713" w:type="dxa"/>
          </w:tcPr>
          <w:p w14:paraId="6633A257"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24,4</w:t>
            </w:r>
          </w:p>
        </w:tc>
        <w:tc>
          <w:tcPr>
            <w:tcW w:w="1534" w:type="dxa"/>
          </w:tcPr>
          <w:p w14:paraId="65E7D80B"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1,06</w:t>
            </w:r>
          </w:p>
        </w:tc>
        <w:tc>
          <w:tcPr>
            <w:tcW w:w="986" w:type="dxa"/>
          </w:tcPr>
          <w:p w14:paraId="0A58022E"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0,64-1,75</w:t>
            </w:r>
          </w:p>
        </w:tc>
      </w:tr>
      <w:tr w:rsidR="00374DC5" w:rsidRPr="004804AA" w14:paraId="0988002C" w14:textId="77777777" w:rsidTr="001A47FE">
        <w:tc>
          <w:tcPr>
            <w:tcW w:w="2026" w:type="dxa"/>
          </w:tcPr>
          <w:p w14:paraId="6F7E36CE" w14:textId="5D55E313"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E20E23">
              <w:rPr>
                <w:rFonts w:ascii="Times New Roman" w:hAnsi="Times New Roman" w:cs="Times New Roman"/>
                <w:sz w:val="28"/>
                <w:szCs w:val="28"/>
              </w:rPr>
              <w:t xml:space="preserve">1 – 2 </w:t>
            </w:r>
            <w:r w:rsidRPr="004804AA">
              <w:rPr>
                <w:rFonts w:ascii="Times New Roman" w:hAnsi="Times New Roman" w:cs="Times New Roman"/>
                <w:sz w:val="28"/>
                <w:szCs w:val="28"/>
              </w:rPr>
              <w:t>часа</w:t>
            </w:r>
          </w:p>
        </w:tc>
        <w:tc>
          <w:tcPr>
            <w:tcW w:w="905" w:type="dxa"/>
          </w:tcPr>
          <w:p w14:paraId="58097ED6"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376</w:t>
            </w:r>
          </w:p>
        </w:tc>
        <w:tc>
          <w:tcPr>
            <w:tcW w:w="1181" w:type="dxa"/>
          </w:tcPr>
          <w:p w14:paraId="7F53B746"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103</w:t>
            </w:r>
          </w:p>
        </w:tc>
        <w:tc>
          <w:tcPr>
            <w:tcW w:w="2713" w:type="dxa"/>
          </w:tcPr>
          <w:p w14:paraId="49AAE8F9"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27,4</w:t>
            </w:r>
          </w:p>
        </w:tc>
        <w:tc>
          <w:tcPr>
            <w:tcW w:w="1534" w:type="dxa"/>
          </w:tcPr>
          <w:p w14:paraId="3CB86BB4"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1,23</w:t>
            </w:r>
          </w:p>
        </w:tc>
        <w:tc>
          <w:tcPr>
            <w:tcW w:w="986" w:type="dxa"/>
          </w:tcPr>
          <w:p w14:paraId="0A08AAAA"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0,75-2,02</w:t>
            </w:r>
          </w:p>
        </w:tc>
      </w:tr>
      <w:tr w:rsidR="00374DC5" w:rsidRPr="004804AA" w14:paraId="12C0F9F4" w14:textId="77777777" w:rsidTr="001A47FE">
        <w:tc>
          <w:tcPr>
            <w:tcW w:w="2026" w:type="dxa"/>
          </w:tcPr>
          <w:p w14:paraId="417B453E"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905" w:type="dxa"/>
          </w:tcPr>
          <w:p w14:paraId="311C2A46"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247</w:t>
            </w:r>
          </w:p>
        </w:tc>
        <w:tc>
          <w:tcPr>
            <w:tcW w:w="1181" w:type="dxa"/>
          </w:tcPr>
          <w:p w14:paraId="208E9599"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81</w:t>
            </w:r>
          </w:p>
        </w:tc>
        <w:tc>
          <w:tcPr>
            <w:tcW w:w="2713" w:type="dxa"/>
          </w:tcPr>
          <w:p w14:paraId="190DE414"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32,8</w:t>
            </w:r>
          </w:p>
        </w:tc>
        <w:tc>
          <w:tcPr>
            <w:tcW w:w="1534" w:type="dxa"/>
          </w:tcPr>
          <w:p w14:paraId="44F39068"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1,60</w:t>
            </w:r>
          </w:p>
        </w:tc>
        <w:tc>
          <w:tcPr>
            <w:tcW w:w="986" w:type="dxa"/>
          </w:tcPr>
          <w:p w14:paraId="4EF7C803" w14:textId="77777777" w:rsidR="00374DC5" w:rsidRPr="004804AA" w:rsidRDefault="00374DC5" w:rsidP="0058108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0,95-2,67</w:t>
            </w:r>
          </w:p>
        </w:tc>
      </w:tr>
      <w:tr w:rsidR="006B4ED3" w:rsidRPr="004804AA" w14:paraId="18F96663" w14:textId="77777777" w:rsidTr="001A47FE">
        <w:tc>
          <w:tcPr>
            <w:tcW w:w="9345" w:type="dxa"/>
            <w:gridSpan w:val="6"/>
          </w:tcPr>
          <w:p w14:paraId="6D0C2562" w14:textId="77777777" w:rsidR="006B4ED3" w:rsidRDefault="006B4ED3" w:rsidP="006B4ED3">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06030682" w14:textId="77777777" w:rsidR="006B4ED3" w:rsidRDefault="006B4ED3" w:rsidP="006B4ED3">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4DFA5E1D" w14:textId="3D1D5DE7" w:rsidR="006B4ED3" w:rsidRPr="004804AA" w:rsidRDefault="006B4ED3" w:rsidP="006B4ED3">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bookmarkEnd w:id="47"/>
    </w:tbl>
    <w:p w14:paraId="1041B779" w14:textId="77777777" w:rsidR="00374DC5" w:rsidRPr="006B4ED3" w:rsidRDefault="00374DC5" w:rsidP="005C37DF">
      <w:pPr>
        <w:spacing w:after="0" w:line="240" w:lineRule="auto"/>
        <w:ind w:firstLine="709"/>
        <w:rPr>
          <w:rFonts w:ascii="Times New Roman" w:hAnsi="Times New Roman" w:cs="Times New Roman"/>
          <w:color w:val="000000"/>
          <w:sz w:val="28"/>
          <w:szCs w:val="28"/>
          <w:shd w:val="clear" w:color="auto" w:fill="FFFFFF"/>
        </w:rPr>
      </w:pPr>
    </w:p>
    <w:p w14:paraId="4428486A" w14:textId="7C529E56"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Опрос показал, что 37,5% школьников проводят на улице менее 1 часа в день, 35,8% - 1–2 часа, 26,6% - более 2 часов ежедневно. Большая часть первоклассников провод</w:t>
      </w:r>
      <w:r w:rsidR="000223AF" w:rsidRPr="00E20E23">
        <w:rPr>
          <w:rFonts w:ascii="Times New Roman" w:hAnsi="Times New Roman" w:cs="Times New Roman"/>
          <w:sz w:val="28"/>
          <w:szCs w:val="28"/>
          <w:shd w:val="clear" w:color="auto" w:fill="FFFFFF"/>
        </w:rPr>
        <w:t>я</w:t>
      </w:r>
      <w:r w:rsidRPr="004804AA">
        <w:rPr>
          <w:rFonts w:ascii="Times New Roman" w:hAnsi="Times New Roman" w:cs="Times New Roman"/>
          <w:color w:val="000000"/>
          <w:sz w:val="28"/>
          <w:szCs w:val="28"/>
          <w:shd w:val="clear" w:color="auto" w:fill="FFFFFF"/>
        </w:rPr>
        <w:t>т на улице 1–2 часа ежедневно (44,1%). Больше всех времени проводят на свежем воздухе старшеклассники: 31,9% от всех учеников 9 классов гуляют более 2 часов каждый день, против 24,</w:t>
      </w:r>
      <w:r w:rsidR="00E20E23">
        <w:rPr>
          <w:rFonts w:ascii="Times New Roman" w:hAnsi="Times New Roman" w:cs="Times New Roman"/>
          <w:color w:val="000000"/>
          <w:sz w:val="28"/>
          <w:szCs w:val="28"/>
          <w:shd w:val="clear" w:color="auto" w:fill="FFFFFF"/>
        </w:rPr>
        <w:t>0</w:t>
      </w:r>
      <w:r w:rsidRPr="004804AA">
        <w:rPr>
          <w:rFonts w:ascii="Times New Roman" w:hAnsi="Times New Roman" w:cs="Times New Roman"/>
          <w:color w:val="000000"/>
          <w:sz w:val="28"/>
          <w:szCs w:val="28"/>
          <w:shd w:val="clear" w:color="auto" w:fill="FFFFFF"/>
        </w:rPr>
        <w:t>% первоклассников (</w:t>
      </w:r>
      <w:r w:rsidRPr="004804AA">
        <w:rPr>
          <w:rFonts w:ascii="Times New Roman" w:hAnsi="Times New Roman" w:cs="Times New Roman"/>
          <w:color w:val="000000"/>
          <w:sz w:val="28"/>
          <w:szCs w:val="28"/>
          <w:shd w:val="clear" w:color="auto" w:fill="FFFFFF"/>
          <w:lang w:val="en-US"/>
        </w:rPr>
        <w:t>p</w:t>
      </w:r>
      <w:r w:rsidR="00991DCA">
        <w:rPr>
          <w:rFonts w:ascii="Times New Roman" w:hAnsi="Times New Roman" w:cs="Times New Roman"/>
          <w:color w:val="000000"/>
          <w:sz w:val="28"/>
          <w:szCs w:val="28"/>
          <w:shd w:val="clear" w:color="auto" w:fill="FFFFFF"/>
        </w:rPr>
        <w:t xml:space="preserve"> = </w:t>
      </w:r>
      <w:r w:rsidRPr="004804AA">
        <w:rPr>
          <w:rFonts w:ascii="Times New Roman" w:hAnsi="Times New Roman" w:cs="Times New Roman"/>
          <w:color w:val="000000"/>
          <w:sz w:val="28"/>
          <w:szCs w:val="28"/>
          <w:shd w:val="clear" w:color="auto" w:fill="FFFFFF"/>
        </w:rPr>
        <w:t>0,043) и 25,1% пятиклассников (</w:t>
      </w:r>
      <w:r w:rsidRPr="004804AA">
        <w:rPr>
          <w:rFonts w:ascii="Times New Roman" w:hAnsi="Times New Roman" w:cs="Times New Roman"/>
          <w:color w:val="000000"/>
          <w:sz w:val="28"/>
          <w:szCs w:val="28"/>
          <w:shd w:val="clear" w:color="auto" w:fill="FFFFFF"/>
          <w:lang w:val="en-US"/>
        </w:rPr>
        <w:t>p</w:t>
      </w:r>
      <w:r w:rsidR="00991DCA">
        <w:rPr>
          <w:rFonts w:ascii="Times New Roman" w:hAnsi="Times New Roman" w:cs="Times New Roman"/>
          <w:color w:val="000000"/>
          <w:sz w:val="28"/>
          <w:szCs w:val="28"/>
          <w:shd w:val="clear" w:color="auto" w:fill="FFFFFF"/>
        </w:rPr>
        <w:t xml:space="preserve"> = </w:t>
      </w:r>
      <w:r w:rsidRPr="004804AA">
        <w:rPr>
          <w:rFonts w:ascii="Times New Roman" w:hAnsi="Times New Roman" w:cs="Times New Roman"/>
          <w:color w:val="000000"/>
          <w:sz w:val="28"/>
          <w:szCs w:val="28"/>
          <w:shd w:val="clear" w:color="auto" w:fill="FFFFFF"/>
        </w:rPr>
        <w:t>0,054). Мальчики в целом проводят на улице больше времени, чем девочки: 31,9% мальчиков и лишь 20,8% девочек гул</w:t>
      </w:r>
      <w:r w:rsidRPr="00E20E23">
        <w:rPr>
          <w:rFonts w:ascii="Times New Roman" w:hAnsi="Times New Roman" w:cs="Times New Roman"/>
          <w:sz w:val="28"/>
          <w:szCs w:val="28"/>
          <w:shd w:val="clear" w:color="auto" w:fill="FFFFFF"/>
        </w:rPr>
        <w:t>я</w:t>
      </w:r>
      <w:r w:rsidR="000223AF" w:rsidRPr="00E20E23">
        <w:rPr>
          <w:rFonts w:ascii="Times New Roman" w:hAnsi="Times New Roman" w:cs="Times New Roman"/>
          <w:sz w:val="28"/>
          <w:szCs w:val="28"/>
          <w:shd w:val="clear" w:color="auto" w:fill="FFFFFF"/>
        </w:rPr>
        <w:t>ю</w:t>
      </w:r>
      <w:r w:rsidRPr="004804AA">
        <w:rPr>
          <w:rFonts w:ascii="Times New Roman" w:hAnsi="Times New Roman" w:cs="Times New Roman"/>
          <w:color w:val="000000"/>
          <w:sz w:val="28"/>
          <w:szCs w:val="28"/>
          <w:shd w:val="clear" w:color="auto" w:fill="FFFFFF"/>
        </w:rPr>
        <w:t>т более 2 часов ежедневно (p&lt;0,001). Распространенность близорукости среди школьников, которые проводили более 2 часов в день на свежем воздухе, составляла 22,2%, в то время как среди детей, которые провели менее 1 часа в день на открытом воздухе, была 32,0% (p=0.005). Ежедневные прогулки на открытом воздухе более 2 часов в день снижали риск развития миопии на 40,0% (ОШ 0,61; 95%; ДИ 0,43-0,86) (Таблица</w:t>
      </w:r>
      <w:r w:rsidR="0029693C">
        <w:rPr>
          <w:rFonts w:ascii="Times New Roman" w:hAnsi="Times New Roman" w:cs="Times New Roman"/>
          <w:color w:val="000000"/>
          <w:sz w:val="28"/>
          <w:szCs w:val="28"/>
          <w:shd w:val="clear" w:color="auto" w:fill="FFFFFF"/>
        </w:rPr>
        <w:t xml:space="preserve"> </w:t>
      </w:r>
      <w:r w:rsidR="00104023" w:rsidRPr="00104023">
        <w:rPr>
          <w:rFonts w:ascii="Times New Roman" w:hAnsi="Times New Roman" w:cs="Times New Roman"/>
          <w:color w:val="000000"/>
          <w:sz w:val="28"/>
          <w:szCs w:val="28"/>
          <w:shd w:val="clear" w:color="auto" w:fill="FFFFFF"/>
        </w:rPr>
        <w:t>18</w:t>
      </w:r>
      <w:r w:rsidRPr="004804AA">
        <w:rPr>
          <w:rFonts w:ascii="Times New Roman" w:hAnsi="Times New Roman" w:cs="Times New Roman"/>
          <w:color w:val="000000"/>
          <w:sz w:val="28"/>
          <w:szCs w:val="28"/>
          <w:shd w:val="clear" w:color="auto" w:fill="FFFFFF"/>
        </w:rPr>
        <w:t>)</w:t>
      </w:r>
      <w:r w:rsidR="0029693C">
        <w:rPr>
          <w:rFonts w:ascii="Times New Roman" w:hAnsi="Times New Roman" w:cs="Times New Roman"/>
          <w:color w:val="000000"/>
          <w:sz w:val="28"/>
          <w:szCs w:val="28"/>
          <w:shd w:val="clear" w:color="auto" w:fill="FFFFFF"/>
        </w:rPr>
        <w:t>.</w:t>
      </w:r>
    </w:p>
    <w:p w14:paraId="29057FA8" w14:textId="77777777" w:rsidR="0036236D" w:rsidRDefault="0036236D" w:rsidP="0036236D">
      <w:pPr>
        <w:spacing w:after="0" w:line="240" w:lineRule="auto"/>
        <w:jc w:val="both"/>
        <w:rPr>
          <w:rFonts w:ascii="Times New Roman" w:hAnsi="Times New Roman" w:cs="Times New Roman"/>
          <w:color w:val="000000"/>
          <w:sz w:val="28"/>
          <w:szCs w:val="28"/>
          <w:shd w:val="clear" w:color="auto" w:fill="FFFFFF"/>
        </w:rPr>
      </w:pPr>
    </w:p>
    <w:p w14:paraId="586EF1D5" w14:textId="78D31701" w:rsidR="00374DC5" w:rsidRDefault="00374DC5" w:rsidP="0036236D">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36236D">
        <w:rPr>
          <w:rFonts w:ascii="Times New Roman" w:hAnsi="Times New Roman" w:cs="Times New Roman"/>
          <w:color w:val="000000"/>
          <w:sz w:val="28"/>
          <w:szCs w:val="28"/>
          <w:shd w:val="clear" w:color="auto" w:fill="FFFFFF"/>
        </w:rPr>
        <w:t xml:space="preserve"> </w:t>
      </w:r>
      <w:r w:rsidR="00104023" w:rsidRPr="00104023">
        <w:rPr>
          <w:rFonts w:ascii="Times New Roman" w:hAnsi="Times New Roman" w:cs="Times New Roman"/>
          <w:color w:val="000000"/>
          <w:sz w:val="28"/>
          <w:szCs w:val="28"/>
          <w:shd w:val="clear" w:color="auto" w:fill="FFFFFF"/>
        </w:rPr>
        <w:t>18</w:t>
      </w:r>
      <w:r w:rsidR="0036236D">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Факторы риска миопии</w:t>
      </w:r>
      <w:r w:rsidR="0036236D">
        <w:rPr>
          <w:rFonts w:ascii="Times New Roman" w:hAnsi="Times New Roman" w:cs="Times New Roman"/>
          <w:color w:val="000000"/>
          <w:sz w:val="28"/>
          <w:szCs w:val="28"/>
          <w:shd w:val="clear" w:color="auto" w:fill="FFFFFF"/>
        </w:rPr>
        <w:t>:</w:t>
      </w:r>
      <w:r w:rsidRPr="004804AA">
        <w:rPr>
          <w:rFonts w:ascii="Times New Roman" w:hAnsi="Times New Roman" w:cs="Times New Roman"/>
          <w:color w:val="000000"/>
          <w:sz w:val="28"/>
          <w:szCs w:val="28"/>
          <w:shd w:val="clear" w:color="auto" w:fill="FFFFFF"/>
        </w:rPr>
        <w:t xml:space="preserve"> </w:t>
      </w:r>
      <w:r w:rsidR="0036236D">
        <w:rPr>
          <w:rFonts w:ascii="Times New Roman" w:hAnsi="Times New Roman" w:cs="Times New Roman"/>
          <w:color w:val="000000"/>
          <w:sz w:val="28"/>
          <w:szCs w:val="28"/>
          <w:shd w:val="clear" w:color="auto" w:fill="FFFFFF"/>
        </w:rPr>
        <w:t>в</w:t>
      </w:r>
      <w:r w:rsidRPr="004804AA">
        <w:rPr>
          <w:rFonts w:ascii="Times New Roman" w:hAnsi="Times New Roman" w:cs="Times New Roman"/>
          <w:color w:val="000000"/>
          <w:sz w:val="28"/>
          <w:szCs w:val="28"/>
          <w:shd w:val="clear" w:color="auto" w:fill="FFFFFF"/>
        </w:rPr>
        <w:t>ремя на открытом воздухе</w:t>
      </w:r>
    </w:p>
    <w:p w14:paraId="7D19C86D" w14:textId="77777777" w:rsidR="0036236D" w:rsidRPr="004804AA" w:rsidRDefault="0036236D" w:rsidP="0036236D">
      <w:pPr>
        <w:spacing w:after="0" w:line="240" w:lineRule="auto"/>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491"/>
        <w:gridCol w:w="1061"/>
        <w:gridCol w:w="1273"/>
        <w:gridCol w:w="2720"/>
        <w:gridCol w:w="1726"/>
        <w:gridCol w:w="1074"/>
      </w:tblGrid>
      <w:tr w:rsidR="00374DC5" w:rsidRPr="004804AA" w14:paraId="0805F5DE" w14:textId="77777777" w:rsidTr="001C29CF">
        <w:tc>
          <w:tcPr>
            <w:tcW w:w="1541" w:type="dxa"/>
          </w:tcPr>
          <w:p w14:paraId="334064BA"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Прогулки</w:t>
            </w:r>
          </w:p>
        </w:tc>
        <w:tc>
          <w:tcPr>
            <w:tcW w:w="1131" w:type="dxa"/>
          </w:tcPr>
          <w:p w14:paraId="48650012"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313" w:type="dxa"/>
          </w:tcPr>
          <w:p w14:paraId="65C09DD6"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w:t>
            </w:r>
          </w:p>
        </w:tc>
        <w:tc>
          <w:tcPr>
            <w:tcW w:w="2720" w:type="dxa"/>
          </w:tcPr>
          <w:p w14:paraId="2973F8C7"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726" w:type="dxa"/>
          </w:tcPr>
          <w:p w14:paraId="611BC28F" w14:textId="6EB6C823"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1C29CF" w:rsidRPr="001C29CF">
              <w:rPr>
                <w:rFonts w:ascii="Times New Roman" w:hAnsi="Times New Roman" w:cs="Times New Roman"/>
                <w:sz w:val="28"/>
                <w:szCs w:val="28"/>
                <w:vertAlign w:val="superscript"/>
              </w:rPr>
              <w:t>1</w:t>
            </w:r>
          </w:p>
        </w:tc>
        <w:tc>
          <w:tcPr>
            <w:tcW w:w="1197" w:type="dxa"/>
          </w:tcPr>
          <w:p w14:paraId="0103C0BE" w14:textId="7528D60E"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 ДИ</w:t>
            </w:r>
            <w:r w:rsidR="001C29CF" w:rsidRPr="001C29CF">
              <w:rPr>
                <w:rFonts w:ascii="Times New Roman" w:hAnsi="Times New Roman" w:cs="Times New Roman"/>
                <w:sz w:val="28"/>
                <w:szCs w:val="28"/>
                <w:vertAlign w:val="superscript"/>
              </w:rPr>
              <w:t>2</w:t>
            </w:r>
          </w:p>
        </w:tc>
      </w:tr>
      <w:tr w:rsidR="00374DC5" w:rsidRPr="004804AA" w14:paraId="231035C0" w14:textId="77777777" w:rsidTr="001C29CF">
        <w:tc>
          <w:tcPr>
            <w:tcW w:w="1541" w:type="dxa"/>
          </w:tcPr>
          <w:p w14:paraId="67B60C01"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&lt;1 часа в день</w:t>
            </w:r>
          </w:p>
        </w:tc>
        <w:tc>
          <w:tcPr>
            <w:tcW w:w="1131" w:type="dxa"/>
          </w:tcPr>
          <w:p w14:paraId="4DF77D35"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400</w:t>
            </w:r>
          </w:p>
        </w:tc>
        <w:tc>
          <w:tcPr>
            <w:tcW w:w="1313" w:type="dxa"/>
          </w:tcPr>
          <w:p w14:paraId="2A8B3F8F"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128</w:t>
            </w:r>
          </w:p>
        </w:tc>
        <w:tc>
          <w:tcPr>
            <w:tcW w:w="2720" w:type="dxa"/>
          </w:tcPr>
          <w:p w14:paraId="3B121A9B"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32,0</w:t>
            </w:r>
          </w:p>
        </w:tc>
        <w:tc>
          <w:tcPr>
            <w:tcW w:w="1726" w:type="dxa"/>
          </w:tcPr>
          <w:p w14:paraId="409374FD" w14:textId="17DD3309" w:rsidR="00374DC5" w:rsidRPr="004804AA" w:rsidRDefault="0036236D" w:rsidP="0036236D">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374DC5" w:rsidRPr="004804AA">
              <w:rPr>
                <w:rFonts w:ascii="Times New Roman" w:hAnsi="Times New Roman" w:cs="Times New Roman"/>
                <w:color w:val="000000"/>
                <w:sz w:val="28"/>
                <w:szCs w:val="28"/>
                <w:shd w:val="clear" w:color="auto" w:fill="FFFFFF"/>
              </w:rPr>
              <w:t>еферентная группа</w:t>
            </w:r>
          </w:p>
        </w:tc>
        <w:tc>
          <w:tcPr>
            <w:tcW w:w="1197" w:type="dxa"/>
          </w:tcPr>
          <w:p w14:paraId="73FBEF17"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10517C5D" w14:textId="77777777" w:rsidTr="001C29CF">
        <w:tc>
          <w:tcPr>
            <w:tcW w:w="1541" w:type="dxa"/>
          </w:tcPr>
          <w:p w14:paraId="3FEACBE9" w14:textId="4C1312C4" w:rsidR="00374DC5" w:rsidRPr="004804AA" w:rsidRDefault="000223AF" w:rsidP="0036236D">
            <w:pPr>
              <w:spacing w:after="0" w:line="240" w:lineRule="auto"/>
              <w:jc w:val="center"/>
              <w:rPr>
                <w:rFonts w:ascii="Times New Roman" w:hAnsi="Times New Roman" w:cs="Times New Roman"/>
                <w:color w:val="000000"/>
                <w:sz w:val="28"/>
                <w:szCs w:val="28"/>
                <w:shd w:val="clear" w:color="auto" w:fill="FFFFFF"/>
              </w:rPr>
            </w:pPr>
            <w:r w:rsidRPr="007C18FC">
              <w:rPr>
                <w:rFonts w:ascii="Times New Roman" w:hAnsi="Times New Roman" w:cs="Times New Roman"/>
                <w:sz w:val="28"/>
                <w:szCs w:val="28"/>
              </w:rPr>
              <w:t xml:space="preserve">1 – 2 </w:t>
            </w:r>
            <w:r w:rsidR="00374DC5" w:rsidRPr="007C18FC">
              <w:rPr>
                <w:rFonts w:ascii="Times New Roman" w:hAnsi="Times New Roman" w:cs="Times New Roman"/>
                <w:sz w:val="28"/>
                <w:szCs w:val="28"/>
              </w:rPr>
              <w:t>часа</w:t>
            </w:r>
          </w:p>
        </w:tc>
        <w:tc>
          <w:tcPr>
            <w:tcW w:w="1131" w:type="dxa"/>
          </w:tcPr>
          <w:p w14:paraId="2D9D7639"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382</w:t>
            </w:r>
          </w:p>
        </w:tc>
        <w:tc>
          <w:tcPr>
            <w:tcW w:w="1313" w:type="dxa"/>
          </w:tcPr>
          <w:p w14:paraId="0CCD349D"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100</w:t>
            </w:r>
          </w:p>
        </w:tc>
        <w:tc>
          <w:tcPr>
            <w:tcW w:w="2720" w:type="dxa"/>
          </w:tcPr>
          <w:p w14:paraId="37681E96"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26,2</w:t>
            </w:r>
          </w:p>
        </w:tc>
        <w:tc>
          <w:tcPr>
            <w:tcW w:w="1726" w:type="dxa"/>
          </w:tcPr>
          <w:p w14:paraId="306A3922"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0,75</w:t>
            </w:r>
          </w:p>
        </w:tc>
        <w:tc>
          <w:tcPr>
            <w:tcW w:w="1197" w:type="dxa"/>
          </w:tcPr>
          <w:p w14:paraId="761EA29E"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0,55-1,03</w:t>
            </w:r>
          </w:p>
        </w:tc>
      </w:tr>
      <w:tr w:rsidR="00374DC5" w:rsidRPr="004804AA" w14:paraId="505E40BA" w14:textId="77777777" w:rsidTr="001C29CF">
        <w:tc>
          <w:tcPr>
            <w:tcW w:w="1541" w:type="dxa"/>
          </w:tcPr>
          <w:p w14:paraId="211CC418"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1131" w:type="dxa"/>
          </w:tcPr>
          <w:p w14:paraId="679B8B0F"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284</w:t>
            </w:r>
          </w:p>
        </w:tc>
        <w:tc>
          <w:tcPr>
            <w:tcW w:w="1313" w:type="dxa"/>
          </w:tcPr>
          <w:p w14:paraId="55329D15"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63</w:t>
            </w:r>
          </w:p>
        </w:tc>
        <w:tc>
          <w:tcPr>
            <w:tcW w:w="2720" w:type="dxa"/>
          </w:tcPr>
          <w:p w14:paraId="11C11848"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22,2</w:t>
            </w:r>
          </w:p>
        </w:tc>
        <w:tc>
          <w:tcPr>
            <w:tcW w:w="1726" w:type="dxa"/>
          </w:tcPr>
          <w:p w14:paraId="37CD39FB"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0,61</w:t>
            </w:r>
          </w:p>
        </w:tc>
        <w:tc>
          <w:tcPr>
            <w:tcW w:w="1197" w:type="dxa"/>
          </w:tcPr>
          <w:p w14:paraId="57361205" w14:textId="77777777" w:rsidR="00374DC5" w:rsidRPr="004804AA" w:rsidRDefault="00374DC5" w:rsidP="0036236D">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0,43-0,86</w:t>
            </w:r>
          </w:p>
        </w:tc>
      </w:tr>
      <w:tr w:rsidR="001C29CF" w:rsidRPr="004804AA" w14:paraId="08755ED0" w14:textId="77777777" w:rsidTr="00292B55">
        <w:tc>
          <w:tcPr>
            <w:tcW w:w="9628" w:type="dxa"/>
            <w:gridSpan w:val="6"/>
          </w:tcPr>
          <w:p w14:paraId="4FF22368" w14:textId="77777777" w:rsidR="001C29CF" w:rsidRDefault="001C29CF" w:rsidP="001C29CF">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17453D07" w14:textId="77777777" w:rsidR="001C29CF" w:rsidRDefault="001C29CF" w:rsidP="001C29CF">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3850A276" w14:textId="3E055C68" w:rsidR="001C29CF" w:rsidRPr="004804AA" w:rsidRDefault="001C29CF" w:rsidP="001C29CF">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tbl>
    <w:p w14:paraId="47046DEA" w14:textId="77777777" w:rsidR="0036236D" w:rsidRDefault="0036236D" w:rsidP="005C37DF">
      <w:pPr>
        <w:spacing w:after="0" w:line="240" w:lineRule="auto"/>
        <w:ind w:firstLine="709"/>
        <w:jc w:val="both"/>
        <w:rPr>
          <w:rFonts w:ascii="Times New Roman" w:hAnsi="Times New Roman" w:cs="Times New Roman"/>
          <w:color w:val="000000"/>
          <w:sz w:val="28"/>
          <w:szCs w:val="28"/>
          <w:shd w:val="clear" w:color="auto" w:fill="FFFFFF"/>
        </w:rPr>
      </w:pPr>
    </w:p>
    <w:p w14:paraId="4AE60386" w14:textId="1AEB90F7"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 xml:space="preserve">В целом по результатам анкетирования, половина всех опрошенных детей (538 человек) посещали школу в первой половине дня, 267 детей (25,0%) респондентов учились во вторую смену, а 261 ребенок (24,5%) - полный день. </w:t>
      </w:r>
      <w:r w:rsidRPr="004804AA">
        <w:rPr>
          <w:rFonts w:ascii="Times New Roman" w:hAnsi="Times New Roman" w:cs="Times New Roman"/>
          <w:color w:val="000000"/>
          <w:sz w:val="28"/>
          <w:szCs w:val="28"/>
          <w:shd w:val="clear" w:color="auto" w:fill="FFFFFF"/>
        </w:rPr>
        <w:lastRenderedPageBreak/>
        <w:t>Согласно установленному плану организации учебного процесса, занятия учащихся первых классов государственных школ проводятся в первой половине дня, в связи с чем 78,0% опрошенных первоклассников (315 ребят) отметили первую смену обучения, остальные 22,0% детей (89 человек) посещали школы полного дня или оставались на продленное обучение в специально организованные дежурные классы. Учащиеся пятых классов посещали школу в первую, вторую смену или полный день в 33,6%, 43,9% и 22,6% случаев соответственно. Число старшеклассников с различным графиком школьного дня было примерно равным. Статистически значимого влияния послеобеденного обучения на уровень близорукости школьников нами не выявлено. Но среди школьников, обучающихся в режиме полного дня, риск миопии был в 1,6 раз выше, чем среди других детей (ОШ 1,56; 95% ДИ 1,13-2,17)</w:t>
      </w:r>
      <w:r w:rsidR="00EE4674">
        <w:rPr>
          <w:rFonts w:ascii="Times New Roman" w:hAnsi="Times New Roman" w:cs="Times New Roman"/>
          <w:color w:val="000000"/>
          <w:sz w:val="28"/>
          <w:szCs w:val="28"/>
          <w:shd w:val="clear" w:color="auto" w:fill="FFFFFF"/>
        </w:rPr>
        <w:t>.</w:t>
      </w:r>
      <w:r w:rsidR="00444869">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w:t>
      </w:r>
    </w:p>
    <w:p w14:paraId="05C0D8AD" w14:textId="77777777" w:rsidR="0029693C" w:rsidRDefault="0029693C" w:rsidP="0029693C">
      <w:pPr>
        <w:spacing w:after="0" w:line="240" w:lineRule="auto"/>
        <w:jc w:val="both"/>
        <w:rPr>
          <w:rFonts w:ascii="Times New Roman" w:hAnsi="Times New Roman" w:cs="Times New Roman"/>
          <w:color w:val="000000"/>
          <w:sz w:val="28"/>
          <w:szCs w:val="28"/>
          <w:shd w:val="clear" w:color="auto" w:fill="FFFFFF"/>
        </w:rPr>
      </w:pPr>
    </w:p>
    <w:p w14:paraId="7522115B" w14:textId="7216DD67" w:rsidR="00374DC5" w:rsidRDefault="00374DC5" w:rsidP="0029693C">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29693C">
        <w:rPr>
          <w:rFonts w:ascii="Times New Roman" w:hAnsi="Times New Roman" w:cs="Times New Roman"/>
          <w:color w:val="000000"/>
          <w:sz w:val="28"/>
          <w:szCs w:val="28"/>
          <w:shd w:val="clear" w:color="auto" w:fill="FFFFFF"/>
        </w:rPr>
        <w:t xml:space="preserve"> </w:t>
      </w:r>
      <w:r w:rsidR="00104023" w:rsidRPr="00104023">
        <w:rPr>
          <w:rFonts w:ascii="Times New Roman" w:hAnsi="Times New Roman" w:cs="Times New Roman"/>
          <w:color w:val="000000"/>
          <w:sz w:val="28"/>
          <w:szCs w:val="28"/>
          <w:shd w:val="clear" w:color="auto" w:fill="FFFFFF"/>
        </w:rPr>
        <w:t>19</w:t>
      </w:r>
      <w:r w:rsidR="0029693C">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Факторы риска миопии</w:t>
      </w:r>
      <w:r w:rsidR="0029693C">
        <w:rPr>
          <w:rFonts w:ascii="Times New Roman" w:hAnsi="Times New Roman" w:cs="Times New Roman"/>
          <w:color w:val="000000"/>
          <w:sz w:val="28"/>
          <w:szCs w:val="28"/>
          <w:shd w:val="clear" w:color="auto" w:fill="FFFFFF"/>
        </w:rPr>
        <w:t>:</w:t>
      </w:r>
      <w:r w:rsidRPr="004804AA">
        <w:rPr>
          <w:rFonts w:ascii="Times New Roman" w:hAnsi="Times New Roman" w:cs="Times New Roman"/>
          <w:color w:val="000000"/>
          <w:sz w:val="28"/>
          <w:szCs w:val="28"/>
          <w:shd w:val="clear" w:color="auto" w:fill="FFFFFF"/>
        </w:rPr>
        <w:t xml:space="preserve"> </w:t>
      </w:r>
      <w:r w:rsidR="0029693C">
        <w:rPr>
          <w:rFonts w:ascii="Times New Roman" w:hAnsi="Times New Roman" w:cs="Times New Roman"/>
          <w:color w:val="000000"/>
          <w:sz w:val="28"/>
          <w:szCs w:val="28"/>
          <w:shd w:val="clear" w:color="auto" w:fill="FFFFFF"/>
        </w:rPr>
        <w:t>ш</w:t>
      </w:r>
      <w:r w:rsidRPr="004804AA">
        <w:rPr>
          <w:rFonts w:ascii="Times New Roman" w:hAnsi="Times New Roman" w:cs="Times New Roman"/>
          <w:color w:val="000000"/>
          <w:sz w:val="28"/>
          <w:szCs w:val="28"/>
          <w:shd w:val="clear" w:color="auto" w:fill="FFFFFF"/>
        </w:rPr>
        <w:t>кольная смена</w:t>
      </w:r>
    </w:p>
    <w:p w14:paraId="74BB2DB6" w14:textId="77777777" w:rsidR="0029693C" w:rsidRPr="004804AA" w:rsidRDefault="0029693C" w:rsidP="0029693C">
      <w:pPr>
        <w:spacing w:after="0" w:line="240" w:lineRule="auto"/>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519"/>
        <w:gridCol w:w="1048"/>
        <w:gridCol w:w="1264"/>
        <w:gridCol w:w="2720"/>
        <w:gridCol w:w="1742"/>
        <w:gridCol w:w="1052"/>
      </w:tblGrid>
      <w:tr w:rsidR="00374DC5" w:rsidRPr="004804AA" w14:paraId="589B663D" w14:textId="77777777" w:rsidTr="00C82B82">
        <w:tc>
          <w:tcPr>
            <w:tcW w:w="1558" w:type="dxa"/>
          </w:tcPr>
          <w:p w14:paraId="3700BC8E"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Школьная смена</w:t>
            </w:r>
          </w:p>
        </w:tc>
        <w:tc>
          <w:tcPr>
            <w:tcW w:w="1121" w:type="dxa"/>
          </w:tcPr>
          <w:p w14:paraId="324E6E07"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305" w:type="dxa"/>
          </w:tcPr>
          <w:p w14:paraId="05DFBF3D"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(n)</w:t>
            </w:r>
          </w:p>
        </w:tc>
        <w:tc>
          <w:tcPr>
            <w:tcW w:w="2720" w:type="dxa"/>
          </w:tcPr>
          <w:p w14:paraId="73B83F94"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742" w:type="dxa"/>
          </w:tcPr>
          <w:p w14:paraId="7E6C0859" w14:textId="6C64CDAF"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C82B82" w:rsidRPr="00C82B82">
              <w:rPr>
                <w:rFonts w:ascii="Times New Roman" w:hAnsi="Times New Roman" w:cs="Times New Roman"/>
                <w:sz w:val="28"/>
                <w:szCs w:val="28"/>
                <w:vertAlign w:val="superscript"/>
              </w:rPr>
              <w:t>1</w:t>
            </w:r>
          </w:p>
        </w:tc>
        <w:tc>
          <w:tcPr>
            <w:tcW w:w="1182" w:type="dxa"/>
          </w:tcPr>
          <w:p w14:paraId="11893AA4" w14:textId="7233ADFA"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95% ДИ</w:t>
            </w:r>
            <w:r w:rsidR="00C82B82" w:rsidRPr="00C82B82">
              <w:rPr>
                <w:rFonts w:ascii="Times New Roman" w:hAnsi="Times New Roman" w:cs="Times New Roman"/>
                <w:sz w:val="28"/>
                <w:szCs w:val="28"/>
                <w:vertAlign w:val="superscript"/>
              </w:rPr>
              <w:t>2</w:t>
            </w:r>
          </w:p>
        </w:tc>
      </w:tr>
      <w:tr w:rsidR="00374DC5" w:rsidRPr="004804AA" w14:paraId="6EF66FC2" w14:textId="77777777" w:rsidTr="00C82B82">
        <w:tc>
          <w:tcPr>
            <w:tcW w:w="1558" w:type="dxa"/>
          </w:tcPr>
          <w:p w14:paraId="5CAE28FF"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до обеда</w:t>
            </w:r>
          </w:p>
        </w:tc>
        <w:tc>
          <w:tcPr>
            <w:tcW w:w="1121" w:type="dxa"/>
          </w:tcPr>
          <w:p w14:paraId="20679BA0"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538</w:t>
            </w:r>
          </w:p>
        </w:tc>
        <w:tc>
          <w:tcPr>
            <w:tcW w:w="1305" w:type="dxa"/>
          </w:tcPr>
          <w:p w14:paraId="41CA0C90"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125</w:t>
            </w:r>
          </w:p>
        </w:tc>
        <w:tc>
          <w:tcPr>
            <w:tcW w:w="2720" w:type="dxa"/>
          </w:tcPr>
          <w:p w14:paraId="7F50B611"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23,2</w:t>
            </w:r>
          </w:p>
        </w:tc>
        <w:tc>
          <w:tcPr>
            <w:tcW w:w="1742" w:type="dxa"/>
          </w:tcPr>
          <w:p w14:paraId="5665AE80"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группы</w:t>
            </w:r>
          </w:p>
        </w:tc>
        <w:tc>
          <w:tcPr>
            <w:tcW w:w="1182" w:type="dxa"/>
          </w:tcPr>
          <w:p w14:paraId="15E435F3"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22D3D1EE" w14:textId="77777777" w:rsidTr="00C82B82">
        <w:tc>
          <w:tcPr>
            <w:tcW w:w="1558" w:type="dxa"/>
          </w:tcPr>
          <w:p w14:paraId="7F2A666D"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после обеда</w:t>
            </w:r>
          </w:p>
        </w:tc>
        <w:tc>
          <w:tcPr>
            <w:tcW w:w="1121" w:type="dxa"/>
          </w:tcPr>
          <w:p w14:paraId="18A854AB"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267</w:t>
            </w:r>
          </w:p>
        </w:tc>
        <w:tc>
          <w:tcPr>
            <w:tcW w:w="1305" w:type="dxa"/>
          </w:tcPr>
          <w:p w14:paraId="0CC4DB59"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83</w:t>
            </w:r>
          </w:p>
        </w:tc>
        <w:tc>
          <w:tcPr>
            <w:tcW w:w="2720" w:type="dxa"/>
          </w:tcPr>
          <w:p w14:paraId="771F93C9"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31,1</w:t>
            </w:r>
          </w:p>
        </w:tc>
        <w:tc>
          <w:tcPr>
            <w:tcW w:w="1742" w:type="dxa"/>
          </w:tcPr>
          <w:p w14:paraId="1175778A"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1,36</w:t>
            </w:r>
          </w:p>
        </w:tc>
        <w:tc>
          <w:tcPr>
            <w:tcW w:w="1182" w:type="dxa"/>
          </w:tcPr>
          <w:p w14:paraId="6277A3CD"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0,98-1,89</w:t>
            </w:r>
          </w:p>
        </w:tc>
      </w:tr>
      <w:tr w:rsidR="00374DC5" w:rsidRPr="004804AA" w14:paraId="407A0F20" w14:textId="77777777" w:rsidTr="00C82B82">
        <w:tc>
          <w:tcPr>
            <w:tcW w:w="1558" w:type="dxa"/>
          </w:tcPr>
          <w:p w14:paraId="332964DD"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полный день</w:t>
            </w:r>
          </w:p>
        </w:tc>
        <w:tc>
          <w:tcPr>
            <w:tcW w:w="1121" w:type="dxa"/>
          </w:tcPr>
          <w:p w14:paraId="560F3E1D"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261</w:t>
            </w:r>
          </w:p>
        </w:tc>
        <w:tc>
          <w:tcPr>
            <w:tcW w:w="1305" w:type="dxa"/>
          </w:tcPr>
          <w:p w14:paraId="21CEB17C"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83</w:t>
            </w:r>
          </w:p>
        </w:tc>
        <w:tc>
          <w:tcPr>
            <w:tcW w:w="2720" w:type="dxa"/>
          </w:tcPr>
          <w:p w14:paraId="117B9873"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31,8</w:t>
            </w:r>
          </w:p>
        </w:tc>
        <w:tc>
          <w:tcPr>
            <w:tcW w:w="1742" w:type="dxa"/>
          </w:tcPr>
          <w:p w14:paraId="4D94224F"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1,56</w:t>
            </w:r>
          </w:p>
        </w:tc>
        <w:tc>
          <w:tcPr>
            <w:tcW w:w="1182" w:type="dxa"/>
          </w:tcPr>
          <w:p w14:paraId="46F502D2" w14:textId="77777777" w:rsidR="00374DC5" w:rsidRPr="004804AA" w:rsidRDefault="00374DC5" w:rsidP="00C51445">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1,13-2,17</w:t>
            </w:r>
          </w:p>
        </w:tc>
      </w:tr>
      <w:tr w:rsidR="00C82B82" w:rsidRPr="004804AA" w14:paraId="31758B0A" w14:textId="77777777" w:rsidTr="00292B55">
        <w:tc>
          <w:tcPr>
            <w:tcW w:w="9628" w:type="dxa"/>
            <w:gridSpan w:val="6"/>
          </w:tcPr>
          <w:p w14:paraId="2E2542CB" w14:textId="77777777" w:rsidR="00C82B82" w:rsidRDefault="00C82B82" w:rsidP="00C82B82">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668034A5" w14:textId="77777777" w:rsidR="00C82B82" w:rsidRDefault="00C82B82" w:rsidP="00C82B82">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00C57065" w14:textId="5F70820B" w:rsidR="00C82B82" w:rsidRPr="004804AA" w:rsidRDefault="00C82B82" w:rsidP="00C82B82">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tbl>
    <w:p w14:paraId="62CF2CD9" w14:textId="77777777" w:rsidR="00C51445" w:rsidRDefault="00C51445" w:rsidP="005C37DF">
      <w:pPr>
        <w:spacing w:after="0" w:line="240" w:lineRule="auto"/>
        <w:ind w:firstLine="709"/>
        <w:jc w:val="both"/>
        <w:rPr>
          <w:rFonts w:ascii="Times New Roman" w:hAnsi="Times New Roman" w:cs="Times New Roman"/>
          <w:color w:val="000000"/>
          <w:sz w:val="28"/>
          <w:szCs w:val="28"/>
          <w:shd w:val="clear" w:color="auto" w:fill="FFFFFF"/>
        </w:rPr>
      </w:pPr>
    </w:p>
    <w:p w14:paraId="25A31A7D" w14:textId="029B7117" w:rsidR="00374DC5"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 xml:space="preserve">Среди всех опрошенных детей 456 (42,8%) регулярно занимались тем или иным видом спорта, 58,8% из них мальчики. Школьники мужского пола в среднем занимались спортом на 42,5% чаще девочек: 47,4% - среди мальчиков, 37,5% - среди девочек (p=0.002). В разрезе возрастных групп картина распространенности занятий спортом была следующей: меньше всего детей, регулярно занимающихся </w:t>
      </w:r>
      <w:r w:rsidR="00C51445" w:rsidRPr="004804AA">
        <w:rPr>
          <w:rFonts w:ascii="Times New Roman" w:hAnsi="Times New Roman" w:cs="Times New Roman"/>
          <w:color w:val="000000"/>
          <w:sz w:val="28"/>
          <w:szCs w:val="28"/>
          <w:shd w:val="clear" w:color="auto" w:fill="FFFFFF"/>
        </w:rPr>
        <w:t>спортом,</w:t>
      </w:r>
      <w:r w:rsidRPr="004804AA">
        <w:rPr>
          <w:rFonts w:ascii="Times New Roman" w:hAnsi="Times New Roman" w:cs="Times New Roman"/>
          <w:color w:val="000000"/>
          <w:sz w:val="28"/>
          <w:szCs w:val="28"/>
          <w:shd w:val="clear" w:color="auto" w:fill="FFFFFF"/>
        </w:rPr>
        <w:t xml:space="preserve"> было среди старшеклассников- 22,4% (p=0,003), 33,1% - среди учащих 1 классов и 44,5% - учащихся 5 классов (p&lt;0,001). Наибольший охват детей спортом также отмечается среди школьников </w:t>
      </w:r>
      <w:r w:rsidRPr="007C18FC">
        <w:rPr>
          <w:rFonts w:ascii="Times New Roman" w:hAnsi="Times New Roman" w:cs="Times New Roman"/>
          <w:sz w:val="28"/>
          <w:szCs w:val="28"/>
          <w:shd w:val="clear" w:color="auto" w:fill="FFFFFF"/>
        </w:rPr>
        <w:t>средн</w:t>
      </w:r>
      <w:r w:rsidR="000223AF" w:rsidRPr="007C18FC">
        <w:rPr>
          <w:rFonts w:ascii="Times New Roman" w:hAnsi="Times New Roman" w:cs="Times New Roman"/>
          <w:sz w:val="28"/>
          <w:szCs w:val="28"/>
          <w:shd w:val="clear" w:color="auto" w:fill="FFFFFF"/>
        </w:rPr>
        <w:t xml:space="preserve">их классов </w:t>
      </w:r>
      <w:r w:rsidRPr="004804AA">
        <w:rPr>
          <w:rFonts w:ascii="Times New Roman" w:hAnsi="Times New Roman" w:cs="Times New Roman"/>
          <w:color w:val="000000"/>
          <w:sz w:val="28"/>
          <w:szCs w:val="28"/>
          <w:shd w:val="clear" w:color="auto" w:fill="FFFFFF"/>
        </w:rPr>
        <w:t xml:space="preserve">– 50,9% всех опрошенных пятиклассников. В нашем исследовании регулярные занятия спортом статистически значимо были фактором, снижающим риск развития близорукости на 30% по сравнению с «неспортивными» школьниками (ОШ 0,71; 0,95% ДИ 0,54-0,94), среди пятиклассников этот показатель достигал 40% (ОШ 0,59; 0,95% ДИ 0,38-0,92), что совпадает с данными исследований из других регионов мира. </w:t>
      </w:r>
    </w:p>
    <w:p w14:paraId="5849A05C" w14:textId="56D62588" w:rsidR="00C51445" w:rsidRDefault="00C51445" w:rsidP="00C51445">
      <w:pPr>
        <w:spacing w:after="0" w:line="240" w:lineRule="auto"/>
        <w:jc w:val="both"/>
        <w:rPr>
          <w:rFonts w:ascii="Times New Roman" w:hAnsi="Times New Roman" w:cs="Times New Roman"/>
          <w:color w:val="000000"/>
          <w:sz w:val="28"/>
          <w:szCs w:val="28"/>
          <w:shd w:val="clear" w:color="auto" w:fill="FFFFFF"/>
        </w:rPr>
      </w:pPr>
    </w:p>
    <w:p w14:paraId="706AC545" w14:textId="1851748F" w:rsidR="001A47FE" w:rsidRDefault="001A47FE" w:rsidP="00C51445">
      <w:pPr>
        <w:spacing w:after="0" w:line="240" w:lineRule="auto"/>
        <w:jc w:val="both"/>
        <w:rPr>
          <w:rFonts w:ascii="Times New Roman" w:hAnsi="Times New Roman" w:cs="Times New Roman"/>
          <w:color w:val="000000"/>
          <w:sz w:val="28"/>
          <w:szCs w:val="28"/>
          <w:shd w:val="clear" w:color="auto" w:fill="FFFFFF"/>
        </w:rPr>
      </w:pPr>
    </w:p>
    <w:p w14:paraId="7D3BFB68" w14:textId="6EFC24CB" w:rsidR="00374DC5" w:rsidRDefault="00374DC5" w:rsidP="00C51445">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lastRenderedPageBreak/>
        <w:t>Таблица</w:t>
      </w:r>
      <w:r w:rsidR="00C51445">
        <w:rPr>
          <w:rFonts w:ascii="Times New Roman" w:hAnsi="Times New Roman" w:cs="Times New Roman"/>
          <w:color w:val="000000"/>
          <w:sz w:val="28"/>
          <w:szCs w:val="28"/>
          <w:shd w:val="clear" w:color="auto" w:fill="FFFFFF"/>
        </w:rPr>
        <w:t xml:space="preserve"> </w:t>
      </w:r>
      <w:r w:rsidR="00104023" w:rsidRPr="00C636AD">
        <w:rPr>
          <w:rFonts w:ascii="Times New Roman" w:hAnsi="Times New Roman" w:cs="Times New Roman"/>
          <w:color w:val="000000"/>
          <w:sz w:val="28"/>
          <w:szCs w:val="28"/>
          <w:shd w:val="clear" w:color="auto" w:fill="FFFFFF"/>
        </w:rPr>
        <w:t>20</w:t>
      </w:r>
      <w:r w:rsidR="00C51445">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Факторы риска миопии</w:t>
      </w:r>
      <w:r w:rsidR="00C51445">
        <w:rPr>
          <w:rFonts w:ascii="Times New Roman" w:hAnsi="Times New Roman" w:cs="Times New Roman"/>
          <w:color w:val="000000"/>
          <w:sz w:val="28"/>
          <w:szCs w:val="28"/>
          <w:shd w:val="clear" w:color="auto" w:fill="FFFFFF"/>
        </w:rPr>
        <w:t>: з</w:t>
      </w:r>
      <w:r w:rsidRPr="004804AA">
        <w:rPr>
          <w:rFonts w:ascii="Times New Roman" w:hAnsi="Times New Roman" w:cs="Times New Roman"/>
          <w:color w:val="000000"/>
          <w:sz w:val="28"/>
          <w:szCs w:val="28"/>
          <w:shd w:val="clear" w:color="auto" w:fill="FFFFFF"/>
        </w:rPr>
        <w:t>анятия спортом</w:t>
      </w:r>
    </w:p>
    <w:p w14:paraId="7ECBB7D9" w14:textId="77777777" w:rsidR="00F40538" w:rsidRPr="004804AA" w:rsidRDefault="00F40538" w:rsidP="00C51445">
      <w:pPr>
        <w:spacing w:after="0" w:line="240" w:lineRule="auto"/>
        <w:jc w:val="both"/>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301"/>
        <w:gridCol w:w="1175"/>
        <w:gridCol w:w="1292"/>
        <w:gridCol w:w="2720"/>
        <w:gridCol w:w="1726"/>
        <w:gridCol w:w="1131"/>
      </w:tblGrid>
      <w:tr w:rsidR="00374DC5" w:rsidRPr="004804AA" w14:paraId="6CB052DD" w14:textId="77777777" w:rsidTr="00357E54">
        <w:tc>
          <w:tcPr>
            <w:tcW w:w="1334" w:type="dxa"/>
          </w:tcPr>
          <w:p w14:paraId="0128C85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bookmarkStart w:id="48" w:name="_Hlk70364408"/>
            <w:r w:rsidRPr="004804AA">
              <w:rPr>
                <w:rFonts w:ascii="Times New Roman" w:hAnsi="Times New Roman" w:cs="Times New Roman"/>
                <w:color w:val="000000"/>
                <w:sz w:val="28"/>
                <w:szCs w:val="28"/>
                <w:shd w:val="clear" w:color="auto" w:fill="FFFFFF"/>
              </w:rPr>
              <w:t>Занятия спортом</w:t>
            </w:r>
          </w:p>
        </w:tc>
        <w:tc>
          <w:tcPr>
            <w:tcW w:w="1270" w:type="dxa"/>
          </w:tcPr>
          <w:p w14:paraId="149B236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Всего</w:t>
            </w:r>
          </w:p>
        </w:tc>
        <w:tc>
          <w:tcPr>
            <w:tcW w:w="1330" w:type="dxa"/>
          </w:tcPr>
          <w:p w14:paraId="1EA9DFD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Миопия (</w:t>
            </w:r>
            <w:r w:rsidRPr="004804AA">
              <w:rPr>
                <w:rFonts w:ascii="Times New Roman" w:hAnsi="Times New Roman" w:cs="Times New Roman"/>
                <w:sz w:val="28"/>
                <w:szCs w:val="28"/>
                <w:lang w:val="en-US"/>
              </w:rPr>
              <w:t>N</w:t>
            </w:r>
            <w:r w:rsidRPr="004804AA">
              <w:rPr>
                <w:rFonts w:ascii="Times New Roman" w:hAnsi="Times New Roman" w:cs="Times New Roman"/>
                <w:sz w:val="28"/>
                <w:szCs w:val="28"/>
              </w:rPr>
              <w:t>)</w:t>
            </w:r>
          </w:p>
        </w:tc>
        <w:tc>
          <w:tcPr>
            <w:tcW w:w="2720" w:type="dxa"/>
          </w:tcPr>
          <w:p w14:paraId="75FC192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Распространенность, %</w:t>
            </w:r>
          </w:p>
        </w:tc>
        <w:tc>
          <w:tcPr>
            <w:tcW w:w="1726" w:type="dxa"/>
          </w:tcPr>
          <w:p w14:paraId="635D9C2F" w14:textId="41419C29"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ОШ</w:t>
            </w:r>
            <w:r w:rsidR="00357E54" w:rsidRPr="00357E54">
              <w:rPr>
                <w:rFonts w:ascii="Times New Roman" w:hAnsi="Times New Roman" w:cs="Times New Roman"/>
                <w:sz w:val="28"/>
                <w:szCs w:val="28"/>
                <w:vertAlign w:val="superscript"/>
              </w:rPr>
              <w:t>1</w:t>
            </w:r>
          </w:p>
        </w:tc>
        <w:tc>
          <w:tcPr>
            <w:tcW w:w="1248" w:type="dxa"/>
          </w:tcPr>
          <w:p w14:paraId="193DA359" w14:textId="0D10A38B"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ДИ</w:t>
            </w:r>
            <w:r w:rsidR="00357E54" w:rsidRPr="00357E54">
              <w:rPr>
                <w:rFonts w:ascii="Times New Roman" w:hAnsi="Times New Roman" w:cs="Times New Roman"/>
                <w:sz w:val="28"/>
                <w:szCs w:val="28"/>
                <w:vertAlign w:val="superscript"/>
              </w:rPr>
              <w:t>2</w:t>
            </w:r>
          </w:p>
        </w:tc>
      </w:tr>
      <w:tr w:rsidR="00374DC5" w:rsidRPr="004804AA" w14:paraId="677E6931" w14:textId="77777777" w:rsidTr="00357E54">
        <w:tc>
          <w:tcPr>
            <w:tcW w:w="1334" w:type="dxa"/>
          </w:tcPr>
          <w:p w14:paraId="4367D7B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нет</w:t>
            </w:r>
          </w:p>
        </w:tc>
        <w:tc>
          <w:tcPr>
            <w:tcW w:w="1270" w:type="dxa"/>
          </w:tcPr>
          <w:p w14:paraId="01CAF22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610</w:t>
            </w:r>
          </w:p>
        </w:tc>
        <w:tc>
          <w:tcPr>
            <w:tcW w:w="1330" w:type="dxa"/>
          </w:tcPr>
          <w:p w14:paraId="61B7986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184</w:t>
            </w:r>
          </w:p>
        </w:tc>
        <w:tc>
          <w:tcPr>
            <w:tcW w:w="2720" w:type="dxa"/>
          </w:tcPr>
          <w:p w14:paraId="5B5DAA83"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30,2</w:t>
            </w:r>
          </w:p>
        </w:tc>
        <w:tc>
          <w:tcPr>
            <w:tcW w:w="1726" w:type="dxa"/>
          </w:tcPr>
          <w:p w14:paraId="33635C4D" w14:textId="4CAC6125" w:rsidR="00374DC5" w:rsidRPr="004804AA" w:rsidRDefault="00F40538" w:rsidP="00F40538">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374DC5" w:rsidRPr="004804AA">
              <w:rPr>
                <w:rFonts w:ascii="Times New Roman" w:hAnsi="Times New Roman" w:cs="Times New Roman"/>
                <w:color w:val="000000"/>
                <w:sz w:val="28"/>
                <w:szCs w:val="28"/>
                <w:shd w:val="clear" w:color="auto" w:fill="FFFFFF"/>
              </w:rPr>
              <w:t>еферентная группа</w:t>
            </w:r>
          </w:p>
        </w:tc>
        <w:tc>
          <w:tcPr>
            <w:tcW w:w="1248" w:type="dxa"/>
          </w:tcPr>
          <w:p w14:paraId="05D8C15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22A76E7F" w14:textId="77777777" w:rsidTr="00357E54">
        <w:tc>
          <w:tcPr>
            <w:tcW w:w="1334" w:type="dxa"/>
          </w:tcPr>
          <w:p w14:paraId="7796724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есть</w:t>
            </w:r>
          </w:p>
        </w:tc>
        <w:tc>
          <w:tcPr>
            <w:tcW w:w="1270" w:type="dxa"/>
          </w:tcPr>
          <w:p w14:paraId="61AB538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456</w:t>
            </w:r>
          </w:p>
        </w:tc>
        <w:tc>
          <w:tcPr>
            <w:tcW w:w="1330" w:type="dxa"/>
          </w:tcPr>
          <w:p w14:paraId="04B0495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107</w:t>
            </w:r>
          </w:p>
        </w:tc>
        <w:tc>
          <w:tcPr>
            <w:tcW w:w="2720" w:type="dxa"/>
          </w:tcPr>
          <w:p w14:paraId="79FB877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22,6</w:t>
            </w:r>
          </w:p>
        </w:tc>
        <w:tc>
          <w:tcPr>
            <w:tcW w:w="1726" w:type="dxa"/>
          </w:tcPr>
          <w:p w14:paraId="4189DFA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0,71</w:t>
            </w:r>
          </w:p>
        </w:tc>
        <w:tc>
          <w:tcPr>
            <w:tcW w:w="1248" w:type="dxa"/>
          </w:tcPr>
          <w:p w14:paraId="61555B9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sz w:val="28"/>
                <w:szCs w:val="28"/>
              </w:rPr>
              <w:t>0,54-0,94</w:t>
            </w:r>
          </w:p>
        </w:tc>
      </w:tr>
      <w:tr w:rsidR="00357E54" w:rsidRPr="004804AA" w14:paraId="515B1ED7" w14:textId="77777777" w:rsidTr="00292B55">
        <w:tc>
          <w:tcPr>
            <w:tcW w:w="9628" w:type="dxa"/>
            <w:gridSpan w:val="6"/>
          </w:tcPr>
          <w:p w14:paraId="4C201DA6" w14:textId="77777777" w:rsidR="00357E54" w:rsidRDefault="00357E54" w:rsidP="00357E54">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071E4DF0" w14:textId="77777777" w:rsidR="00357E54" w:rsidRDefault="00357E54" w:rsidP="00357E54">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38F60644" w14:textId="30A0A17E" w:rsidR="00357E54" w:rsidRPr="004804AA" w:rsidRDefault="00357E54" w:rsidP="00357E54">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tc>
      </w:tr>
      <w:bookmarkEnd w:id="48"/>
    </w:tbl>
    <w:p w14:paraId="6C95C4AC" w14:textId="77777777" w:rsidR="00673D07" w:rsidRDefault="00673D07" w:rsidP="005C37DF">
      <w:pPr>
        <w:spacing w:after="0" w:line="240" w:lineRule="auto"/>
        <w:ind w:firstLine="709"/>
        <w:jc w:val="both"/>
        <w:rPr>
          <w:rFonts w:ascii="Times New Roman" w:hAnsi="Times New Roman" w:cs="Times New Roman"/>
          <w:color w:val="000000"/>
          <w:sz w:val="28"/>
          <w:szCs w:val="28"/>
          <w:shd w:val="clear" w:color="auto" w:fill="FFFFFF"/>
        </w:rPr>
      </w:pPr>
    </w:p>
    <w:p w14:paraId="13FDED53" w14:textId="3432C3D8" w:rsidR="00374DC5" w:rsidRPr="004804AA" w:rsidRDefault="00374DC5" w:rsidP="005C37DF">
      <w:pPr>
        <w:spacing w:after="0" w:line="240" w:lineRule="auto"/>
        <w:ind w:firstLine="709"/>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Так как ассоциация каждого отдельного фактора с исходом (в данном случае – миопией) может быть опосредована другим фактором, с целью исключения ложных заключений об ассоциации отдельных факторов необходимо проведение многофакторного регрессионного анализа. Поэтому влияние независимых сопутствующих факторов риска на миопию мы также оценивали с помощью скорректированной множественной логистической регрессии. В скорректированный анализ были включены статистически значимые факторы, показавшие достоверную ассоциацию на уровне простого одномерного анализа: наличие миопии у одного из родителей, дополнительная визуальная нагрузка более 2 часов в день, прогулки на открытом воздухе более 2 часов в день, школа полного дня и занятия спортом (Таблица</w:t>
      </w:r>
      <w:r w:rsidR="00B44767">
        <w:rPr>
          <w:rFonts w:ascii="Times New Roman" w:hAnsi="Times New Roman" w:cs="Times New Roman"/>
          <w:color w:val="000000"/>
          <w:sz w:val="28"/>
          <w:szCs w:val="28"/>
          <w:shd w:val="clear" w:color="auto" w:fill="FFFFFF"/>
        </w:rPr>
        <w:t xml:space="preserve"> </w:t>
      </w:r>
      <w:r w:rsidR="00C636AD" w:rsidRPr="00C636AD">
        <w:rPr>
          <w:rFonts w:ascii="Times New Roman" w:hAnsi="Times New Roman" w:cs="Times New Roman"/>
          <w:color w:val="000000"/>
          <w:sz w:val="28"/>
          <w:szCs w:val="28"/>
          <w:shd w:val="clear" w:color="auto" w:fill="FFFFFF"/>
        </w:rPr>
        <w:t>21</w:t>
      </w:r>
      <w:r w:rsidRPr="004804AA">
        <w:rPr>
          <w:rFonts w:ascii="Times New Roman" w:hAnsi="Times New Roman" w:cs="Times New Roman"/>
          <w:color w:val="000000"/>
          <w:sz w:val="28"/>
          <w:szCs w:val="28"/>
          <w:shd w:val="clear" w:color="auto" w:fill="FFFFFF"/>
        </w:rPr>
        <w:t>).</w:t>
      </w:r>
    </w:p>
    <w:p w14:paraId="03ECDC7C" w14:textId="77777777" w:rsidR="00F40538" w:rsidRDefault="00F40538" w:rsidP="00F40538">
      <w:pPr>
        <w:spacing w:after="0" w:line="240" w:lineRule="auto"/>
        <w:rPr>
          <w:rFonts w:ascii="Times New Roman" w:hAnsi="Times New Roman" w:cs="Times New Roman"/>
          <w:color w:val="000000"/>
          <w:sz w:val="28"/>
          <w:szCs w:val="28"/>
          <w:shd w:val="clear" w:color="auto" w:fill="FFFFFF"/>
        </w:rPr>
      </w:pPr>
    </w:p>
    <w:p w14:paraId="0F86427A" w14:textId="2FB71911" w:rsidR="00374DC5" w:rsidRDefault="00374DC5" w:rsidP="00F40538">
      <w:pPr>
        <w:spacing w:after="0" w:line="240" w:lineRule="auto"/>
        <w:jc w:val="both"/>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Таблица</w:t>
      </w:r>
      <w:r w:rsidR="00F40538">
        <w:rPr>
          <w:rFonts w:ascii="Times New Roman" w:hAnsi="Times New Roman" w:cs="Times New Roman"/>
          <w:color w:val="000000"/>
          <w:sz w:val="28"/>
          <w:szCs w:val="28"/>
          <w:shd w:val="clear" w:color="auto" w:fill="FFFFFF"/>
        </w:rPr>
        <w:t xml:space="preserve"> </w:t>
      </w:r>
      <w:r w:rsidR="00C636AD" w:rsidRPr="00C636AD">
        <w:rPr>
          <w:rFonts w:ascii="Times New Roman" w:hAnsi="Times New Roman" w:cs="Times New Roman"/>
          <w:color w:val="000000"/>
          <w:sz w:val="28"/>
          <w:szCs w:val="28"/>
          <w:shd w:val="clear" w:color="auto" w:fill="FFFFFF"/>
        </w:rPr>
        <w:t>21</w:t>
      </w:r>
      <w:r w:rsidR="00F40538">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color w:val="000000"/>
          <w:sz w:val="28"/>
          <w:szCs w:val="28"/>
          <w:shd w:val="clear" w:color="auto" w:fill="FFFFFF"/>
        </w:rPr>
        <w:t xml:space="preserve"> Распространенность миопии и ее ассоциация с отдельными предикторами</w:t>
      </w:r>
    </w:p>
    <w:p w14:paraId="2F6C8984" w14:textId="77777777" w:rsidR="00F40538" w:rsidRPr="004804AA" w:rsidRDefault="00F40538" w:rsidP="00F40538">
      <w:pPr>
        <w:spacing w:after="0" w:line="240" w:lineRule="auto"/>
        <w:rPr>
          <w:rFonts w:ascii="Times New Roman" w:hAnsi="Times New Roman" w:cs="Times New Roman"/>
          <w:color w:val="000000"/>
          <w:sz w:val="28"/>
          <w:szCs w:val="28"/>
          <w:shd w:val="clear" w:color="auto" w:fill="FFFFFF"/>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672"/>
        <w:gridCol w:w="1447"/>
        <w:gridCol w:w="1386"/>
        <w:gridCol w:w="1301"/>
      </w:tblGrid>
      <w:tr w:rsidR="00374DC5" w:rsidRPr="004804AA" w14:paraId="76BEB4C1" w14:textId="77777777" w:rsidTr="00292B55">
        <w:trPr>
          <w:trHeight w:val="588"/>
        </w:trPr>
        <w:tc>
          <w:tcPr>
            <w:tcW w:w="2122" w:type="dxa"/>
            <w:vMerge w:val="restart"/>
            <w:shd w:val="clear" w:color="auto" w:fill="auto"/>
            <w:vAlign w:val="center"/>
            <w:hideMark/>
          </w:tcPr>
          <w:p w14:paraId="2CB0F413"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Факторы риска</w:t>
            </w:r>
          </w:p>
        </w:tc>
        <w:tc>
          <w:tcPr>
            <w:tcW w:w="1417" w:type="dxa"/>
            <w:vMerge w:val="restart"/>
            <w:shd w:val="clear" w:color="auto" w:fill="auto"/>
            <w:vAlign w:val="center"/>
          </w:tcPr>
          <w:p w14:paraId="1B9047C2" w14:textId="424A6C7A" w:rsidR="00374DC5" w:rsidRPr="004804AA" w:rsidRDefault="00F40538" w:rsidP="00F40538">
            <w:pPr>
              <w:spacing w:after="0" w:line="240" w:lineRule="auto"/>
              <w:jc w:val="center"/>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Р</w:t>
            </w:r>
            <w:r w:rsidR="00374DC5" w:rsidRPr="004804AA">
              <w:rPr>
                <w:rFonts w:ascii="Times New Roman" w:hAnsi="Times New Roman" w:cs="Times New Roman"/>
                <w:bCs/>
                <w:color w:val="000000"/>
                <w:sz w:val="28"/>
                <w:szCs w:val="28"/>
                <w:shd w:val="clear" w:color="auto" w:fill="FFFFFF"/>
              </w:rPr>
              <w:t>аспространенность</w:t>
            </w:r>
            <w:r w:rsidR="00374DC5" w:rsidRPr="004804AA">
              <w:rPr>
                <w:rFonts w:ascii="Times New Roman" w:hAnsi="Times New Roman" w:cs="Times New Roman"/>
                <w:bCs/>
                <w:color w:val="000000"/>
                <w:sz w:val="28"/>
                <w:szCs w:val="28"/>
                <w:shd w:val="clear" w:color="auto" w:fill="FFFFFF"/>
                <w:lang w:val="en-US"/>
              </w:rPr>
              <w:t>,</w:t>
            </w:r>
            <w:r w:rsidR="00374DC5" w:rsidRPr="004804AA">
              <w:rPr>
                <w:rFonts w:ascii="Times New Roman" w:hAnsi="Times New Roman" w:cs="Times New Roman"/>
                <w:bCs/>
                <w:color w:val="000000"/>
                <w:sz w:val="28"/>
                <w:szCs w:val="28"/>
                <w:shd w:val="clear" w:color="auto" w:fill="FFFFFF"/>
              </w:rPr>
              <w:t xml:space="preserve"> %</w:t>
            </w:r>
          </w:p>
        </w:tc>
        <w:tc>
          <w:tcPr>
            <w:tcW w:w="3119" w:type="dxa"/>
            <w:gridSpan w:val="2"/>
            <w:shd w:val="clear" w:color="auto" w:fill="auto"/>
            <w:vAlign w:val="center"/>
          </w:tcPr>
          <w:p w14:paraId="091DA290" w14:textId="77777777"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Нескорректированный анализ</w:t>
            </w:r>
          </w:p>
        </w:tc>
        <w:tc>
          <w:tcPr>
            <w:tcW w:w="2687" w:type="dxa"/>
            <w:gridSpan w:val="2"/>
            <w:vAlign w:val="center"/>
          </w:tcPr>
          <w:p w14:paraId="50F233EC" w14:textId="77777777"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Анализ с учётом вмешивающихся факторов</w:t>
            </w:r>
          </w:p>
        </w:tc>
      </w:tr>
      <w:tr w:rsidR="00374DC5" w:rsidRPr="004804AA" w14:paraId="168C5C56" w14:textId="77777777" w:rsidTr="00292B55">
        <w:trPr>
          <w:trHeight w:val="588"/>
        </w:trPr>
        <w:tc>
          <w:tcPr>
            <w:tcW w:w="2122" w:type="dxa"/>
            <w:vMerge/>
            <w:shd w:val="clear" w:color="auto" w:fill="auto"/>
            <w:vAlign w:val="center"/>
          </w:tcPr>
          <w:p w14:paraId="0D295005"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p>
        </w:tc>
        <w:tc>
          <w:tcPr>
            <w:tcW w:w="1417" w:type="dxa"/>
            <w:vMerge/>
            <w:shd w:val="clear" w:color="auto" w:fill="auto"/>
            <w:vAlign w:val="center"/>
          </w:tcPr>
          <w:p w14:paraId="04EF85B2"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p>
        </w:tc>
        <w:tc>
          <w:tcPr>
            <w:tcW w:w="1672" w:type="dxa"/>
            <w:shd w:val="clear" w:color="auto" w:fill="auto"/>
            <w:vAlign w:val="center"/>
          </w:tcPr>
          <w:p w14:paraId="73E8A1C7" w14:textId="03155DFF"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ОШ</w:t>
            </w:r>
            <w:r w:rsidR="00CC1F18" w:rsidRPr="00CC1F18">
              <w:rPr>
                <w:rFonts w:ascii="Times New Roman" w:hAnsi="Times New Roman" w:cs="Times New Roman"/>
                <w:bCs/>
                <w:color w:val="000000"/>
                <w:sz w:val="28"/>
                <w:szCs w:val="28"/>
                <w:shd w:val="clear" w:color="auto" w:fill="FFFFFF"/>
                <w:vertAlign w:val="superscript"/>
              </w:rPr>
              <w:t>1</w:t>
            </w:r>
          </w:p>
        </w:tc>
        <w:tc>
          <w:tcPr>
            <w:tcW w:w="1447" w:type="dxa"/>
            <w:shd w:val="clear" w:color="auto" w:fill="auto"/>
            <w:vAlign w:val="center"/>
          </w:tcPr>
          <w:p w14:paraId="3E933E43" w14:textId="65C3A459"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95% ДИ</w:t>
            </w:r>
            <w:r w:rsidR="00CC1F18" w:rsidRPr="00CC1F18">
              <w:rPr>
                <w:rFonts w:ascii="Times New Roman" w:hAnsi="Times New Roman" w:cs="Times New Roman"/>
                <w:bCs/>
                <w:color w:val="000000"/>
                <w:sz w:val="28"/>
                <w:szCs w:val="28"/>
                <w:shd w:val="clear" w:color="auto" w:fill="FFFFFF"/>
                <w:vertAlign w:val="superscript"/>
              </w:rPr>
              <w:t>2</w:t>
            </w:r>
          </w:p>
        </w:tc>
        <w:tc>
          <w:tcPr>
            <w:tcW w:w="1386" w:type="dxa"/>
            <w:vAlign w:val="center"/>
          </w:tcPr>
          <w:p w14:paraId="31C86AA1" w14:textId="77777777"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ОШ</w:t>
            </w:r>
          </w:p>
        </w:tc>
        <w:tc>
          <w:tcPr>
            <w:tcW w:w="1301" w:type="dxa"/>
            <w:vAlign w:val="center"/>
          </w:tcPr>
          <w:p w14:paraId="70AF779B" w14:textId="77777777" w:rsidR="00374DC5" w:rsidRPr="004804AA" w:rsidRDefault="00374DC5" w:rsidP="00F40538">
            <w:pPr>
              <w:spacing w:after="0" w:line="240" w:lineRule="auto"/>
              <w:jc w:val="center"/>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95% ДИ</w:t>
            </w:r>
          </w:p>
        </w:tc>
      </w:tr>
      <w:tr w:rsidR="00374DC5" w:rsidRPr="004804AA" w14:paraId="3C336C56" w14:textId="77777777" w:rsidTr="00292B55">
        <w:trPr>
          <w:trHeight w:val="288"/>
        </w:trPr>
        <w:tc>
          <w:tcPr>
            <w:tcW w:w="9345" w:type="dxa"/>
            <w:gridSpan w:val="6"/>
            <w:shd w:val="clear" w:color="auto" w:fill="auto"/>
            <w:noWrap/>
            <w:vAlign w:val="bottom"/>
            <w:hideMark/>
          </w:tcPr>
          <w:p w14:paraId="21BF1FCB" w14:textId="6D79E2BC"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Пол</w:t>
            </w:r>
            <w:r w:rsidR="00631C63" w:rsidRPr="00631C63">
              <w:rPr>
                <w:rFonts w:ascii="Times New Roman" w:hAnsi="Times New Roman" w:cs="Times New Roman"/>
                <w:bCs/>
                <w:color w:val="000000"/>
                <w:sz w:val="28"/>
                <w:szCs w:val="28"/>
                <w:shd w:val="clear" w:color="auto" w:fill="FFFFFF"/>
                <w:vertAlign w:val="superscript"/>
              </w:rPr>
              <w:t>3</w:t>
            </w:r>
          </w:p>
        </w:tc>
      </w:tr>
      <w:tr w:rsidR="00374DC5" w:rsidRPr="004804AA" w14:paraId="783B03B3" w14:textId="77777777" w:rsidTr="00292B55">
        <w:trPr>
          <w:trHeight w:val="288"/>
        </w:trPr>
        <w:tc>
          <w:tcPr>
            <w:tcW w:w="2122" w:type="dxa"/>
            <w:shd w:val="clear" w:color="auto" w:fill="auto"/>
            <w:noWrap/>
            <w:vAlign w:val="bottom"/>
            <w:hideMark/>
          </w:tcPr>
          <w:p w14:paraId="1BD004EC"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bookmarkStart w:id="49" w:name="_Hlk70364452"/>
            <w:r w:rsidRPr="004804AA">
              <w:rPr>
                <w:rFonts w:ascii="Times New Roman" w:hAnsi="Times New Roman" w:cs="Times New Roman"/>
                <w:bCs/>
                <w:color w:val="000000"/>
                <w:sz w:val="28"/>
                <w:szCs w:val="28"/>
                <w:shd w:val="clear" w:color="auto" w:fill="FFFFFF"/>
              </w:rPr>
              <w:t>мужской</w:t>
            </w:r>
          </w:p>
        </w:tc>
        <w:tc>
          <w:tcPr>
            <w:tcW w:w="1417" w:type="dxa"/>
            <w:shd w:val="clear" w:color="auto" w:fill="auto"/>
            <w:noWrap/>
            <w:vAlign w:val="center"/>
          </w:tcPr>
          <w:p w14:paraId="165997D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27,4</w:t>
            </w:r>
          </w:p>
        </w:tc>
        <w:tc>
          <w:tcPr>
            <w:tcW w:w="1672" w:type="dxa"/>
            <w:shd w:val="clear" w:color="auto" w:fill="auto"/>
            <w:noWrap/>
            <w:vAlign w:val="center"/>
          </w:tcPr>
          <w:p w14:paraId="0623FA1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2D3E010D"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3EBB082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283444A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0D3D69C6" w14:textId="77777777" w:rsidTr="00292B55">
        <w:trPr>
          <w:trHeight w:val="288"/>
        </w:trPr>
        <w:tc>
          <w:tcPr>
            <w:tcW w:w="2122" w:type="dxa"/>
            <w:shd w:val="clear" w:color="auto" w:fill="auto"/>
            <w:noWrap/>
            <w:vAlign w:val="bottom"/>
            <w:hideMark/>
          </w:tcPr>
          <w:p w14:paraId="0B09D0FB"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женский</w:t>
            </w:r>
          </w:p>
        </w:tc>
        <w:tc>
          <w:tcPr>
            <w:tcW w:w="1417" w:type="dxa"/>
            <w:shd w:val="clear" w:color="auto" w:fill="auto"/>
            <w:noWrap/>
            <w:vAlign w:val="center"/>
          </w:tcPr>
          <w:p w14:paraId="12A2F6D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29,1</w:t>
            </w:r>
          </w:p>
        </w:tc>
        <w:tc>
          <w:tcPr>
            <w:tcW w:w="1672" w:type="dxa"/>
            <w:shd w:val="clear" w:color="auto" w:fill="auto"/>
            <w:noWrap/>
            <w:vAlign w:val="center"/>
          </w:tcPr>
          <w:p w14:paraId="10E45EC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1,09</w:t>
            </w:r>
          </w:p>
        </w:tc>
        <w:tc>
          <w:tcPr>
            <w:tcW w:w="1447" w:type="dxa"/>
            <w:shd w:val="clear" w:color="auto" w:fill="auto"/>
            <w:noWrap/>
            <w:vAlign w:val="center"/>
            <w:hideMark/>
          </w:tcPr>
          <w:p w14:paraId="2415263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0,91-1,30</w:t>
            </w:r>
          </w:p>
        </w:tc>
        <w:tc>
          <w:tcPr>
            <w:tcW w:w="1386" w:type="dxa"/>
          </w:tcPr>
          <w:p w14:paraId="5A6762E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4B4ABCE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bookmarkEnd w:id="49"/>
      <w:tr w:rsidR="00374DC5" w:rsidRPr="004804AA" w14:paraId="5440B382" w14:textId="77777777" w:rsidTr="00292B55">
        <w:trPr>
          <w:trHeight w:val="288"/>
        </w:trPr>
        <w:tc>
          <w:tcPr>
            <w:tcW w:w="9345" w:type="dxa"/>
            <w:gridSpan w:val="6"/>
            <w:shd w:val="clear" w:color="auto" w:fill="auto"/>
            <w:noWrap/>
            <w:vAlign w:val="bottom"/>
          </w:tcPr>
          <w:p w14:paraId="080F7679" w14:textId="77777777" w:rsidR="00374DC5" w:rsidRPr="004804AA" w:rsidRDefault="00374DC5" w:rsidP="00F40538">
            <w:pPr>
              <w:spacing w:after="0" w:line="240" w:lineRule="auto"/>
              <w:rPr>
                <w:rFonts w:ascii="Times New Roman" w:hAnsi="Times New Roman" w:cs="Times New Roman"/>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Класс</w:t>
            </w:r>
          </w:p>
        </w:tc>
      </w:tr>
      <w:tr w:rsidR="00374DC5" w:rsidRPr="004804AA" w14:paraId="042DD370" w14:textId="77777777" w:rsidTr="00292B55">
        <w:trPr>
          <w:trHeight w:val="288"/>
        </w:trPr>
        <w:tc>
          <w:tcPr>
            <w:tcW w:w="2122" w:type="dxa"/>
            <w:shd w:val="clear" w:color="auto" w:fill="auto"/>
            <w:noWrap/>
            <w:vAlign w:val="bottom"/>
          </w:tcPr>
          <w:p w14:paraId="51335ADE"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1 класс</w:t>
            </w:r>
          </w:p>
        </w:tc>
        <w:tc>
          <w:tcPr>
            <w:tcW w:w="1417" w:type="dxa"/>
            <w:shd w:val="clear" w:color="auto" w:fill="auto"/>
            <w:noWrap/>
            <w:vAlign w:val="center"/>
          </w:tcPr>
          <w:p w14:paraId="3A31CBE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17,6</w:t>
            </w:r>
          </w:p>
        </w:tc>
        <w:tc>
          <w:tcPr>
            <w:tcW w:w="1672" w:type="dxa"/>
            <w:shd w:val="clear" w:color="auto" w:fill="auto"/>
            <w:noWrap/>
            <w:vAlign w:val="center"/>
          </w:tcPr>
          <w:p w14:paraId="2368C4F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tcPr>
          <w:p w14:paraId="05594CB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4DDFD9A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1FAE7E3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3E6B3EEF" w14:textId="77777777" w:rsidTr="00292B55">
        <w:trPr>
          <w:trHeight w:val="288"/>
        </w:trPr>
        <w:tc>
          <w:tcPr>
            <w:tcW w:w="2122" w:type="dxa"/>
            <w:shd w:val="clear" w:color="auto" w:fill="auto"/>
            <w:noWrap/>
            <w:vAlign w:val="bottom"/>
          </w:tcPr>
          <w:p w14:paraId="6D152B07"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5 класс</w:t>
            </w:r>
          </w:p>
        </w:tc>
        <w:tc>
          <w:tcPr>
            <w:tcW w:w="1417" w:type="dxa"/>
            <w:shd w:val="clear" w:color="auto" w:fill="auto"/>
            <w:noWrap/>
            <w:vAlign w:val="center"/>
          </w:tcPr>
          <w:p w14:paraId="6020A65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27,0</w:t>
            </w:r>
          </w:p>
        </w:tc>
        <w:tc>
          <w:tcPr>
            <w:tcW w:w="1672" w:type="dxa"/>
            <w:shd w:val="clear" w:color="auto" w:fill="auto"/>
            <w:noWrap/>
            <w:vAlign w:val="center"/>
          </w:tcPr>
          <w:p w14:paraId="5F9A997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1,73</w:t>
            </w:r>
          </w:p>
        </w:tc>
        <w:tc>
          <w:tcPr>
            <w:tcW w:w="1447" w:type="dxa"/>
            <w:shd w:val="clear" w:color="auto" w:fill="auto"/>
            <w:noWrap/>
            <w:vAlign w:val="center"/>
          </w:tcPr>
          <w:p w14:paraId="48FD809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1,36-2,21</w:t>
            </w:r>
          </w:p>
        </w:tc>
        <w:tc>
          <w:tcPr>
            <w:tcW w:w="1386" w:type="dxa"/>
          </w:tcPr>
          <w:p w14:paraId="403AA99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1,78</w:t>
            </w:r>
          </w:p>
        </w:tc>
        <w:tc>
          <w:tcPr>
            <w:tcW w:w="1301" w:type="dxa"/>
          </w:tcPr>
          <w:p w14:paraId="258A1C4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1,26-2,52</w:t>
            </w:r>
          </w:p>
        </w:tc>
      </w:tr>
      <w:tr w:rsidR="00374DC5" w:rsidRPr="004804AA" w14:paraId="6DEC3345" w14:textId="77777777" w:rsidTr="00292B55">
        <w:trPr>
          <w:trHeight w:val="288"/>
        </w:trPr>
        <w:tc>
          <w:tcPr>
            <w:tcW w:w="2122" w:type="dxa"/>
            <w:shd w:val="clear" w:color="auto" w:fill="auto"/>
            <w:noWrap/>
            <w:vAlign w:val="bottom"/>
          </w:tcPr>
          <w:p w14:paraId="335A35AF"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9 класс</w:t>
            </w:r>
          </w:p>
        </w:tc>
        <w:tc>
          <w:tcPr>
            <w:tcW w:w="1417" w:type="dxa"/>
            <w:shd w:val="clear" w:color="auto" w:fill="auto"/>
            <w:noWrap/>
            <w:vAlign w:val="center"/>
          </w:tcPr>
          <w:p w14:paraId="26CA52C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40,5</w:t>
            </w:r>
          </w:p>
        </w:tc>
        <w:tc>
          <w:tcPr>
            <w:tcW w:w="1672" w:type="dxa"/>
            <w:shd w:val="clear" w:color="auto" w:fill="auto"/>
            <w:noWrap/>
            <w:vAlign w:val="center"/>
          </w:tcPr>
          <w:p w14:paraId="3AD5FB0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3,19</w:t>
            </w:r>
          </w:p>
        </w:tc>
        <w:tc>
          <w:tcPr>
            <w:tcW w:w="1447" w:type="dxa"/>
            <w:shd w:val="clear" w:color="auto" w:fill="auto"/>
            <w:noWrap/>
            <w:vAlign w:val="center"/>
          </w:tcPr>
          <w:p w14:paraId="3E0BFC82"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2,52-4,04</w:t>
            </w:r>
          </w:p>
        </w:tc>
        <w:tc>
          <w:tcPr>
            <w:tcW w:w="1386" w:type="dxa"/>
          </w:tcPr>
          <w:p w14:paraId="6CE2CD3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3,34</w:t>
            </w:r>
          </w:p>
        </w:tc>
        <w:tc>
          <w:tcPr>
            <w:tcW w:w="1301" w:type="dxa"/>
          </w:tcPr>
          <w:p w14:paraId="53E75D1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2,32-4,83</w:t>
            </w:r>
          </w:p>
        </w:tc>
      </w:tr>
    </w:tbl>
    <w:p w14:paraId="007B665D" w14:textId="77777777" w:rsidR="008F508D" w:rsidRDefault="008F508D"/>
    <w:p w14:paraId="7A6408D3" w14:textId="77777777" w:rsidR="008F508D" w:rsidRDefault="008F508D"/>
    <w:p w14:paraId="19129ED5" w14:textId="42EED43D" w:rsidR="008F508D" w:rsidRPr="008F508D" w:rsidRDefault="008F508D" w:rsidP="008F508D">
      <w:pPr>
        <w:jc w:val="right"/>
        <w:rPr>
          <w:rFonts w:ascii="Times New Roman" w:hAnsi="Times New Roman" w:cs="Times New Roman"/>
          <w:sz w:val="28"/>
          <w:szCs w:val="24"/>
        </w:rPr>
      </w:pPr>
      <w:r w:rsidRPr="008F508D">
        <w:rPr>
          <w:rFonts w:ascii="Times New Roman" w:hAnsi="Times New Roman" w:cs="Times New Roman"/>
          <w:sz w:val="28"/>
          <w:szCs w:val="24"/>
        </w:rPr>
        <w:lastRenderedPageBreak/>
        <w:t>Продолжение таблицы 21</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672"/>
        <w:gridCol w:w="1447"/>
        <w:gridCol w:w="1386"/>
        <w:gridCol w:w="1301"/>
      </w:tblGrid>
      <w:tr w:rsidR="00374DC5" w:rsidRPr="004804AA" w14:paraId="22835DB0" w14:textId="77777777" w:rsidTr="00292B55">
        <w:trPr>
          <w:trHeight w:val="288"/>
        </w:trPr>
        <w:tc>
          <w:tcPr>
            <w:tcW w:w="9345" w:type="dxa"/>
            <w:gridSpan w:val="6"/>
            <w:shd w:val="clear" w:color="auto" w:fill="auto"/>
            <w:noWrap/>
            <w:vAlign w:val="bottom"/>
          </w:tcPr>
          <w:p w14:paraId="1977C313" w14:textId="5F002409" w:rsidR="00374DC5" w:rsidRPr="004804AA" w:rsidRDefault="00374DC5" w:rsidP="00F40538">
            <w:pPr>
              <w:spacing w:after="0" w:line="240" w:lineRule="auto"/>
              <w:rPr>
                <w:rFonts w:ascii="Times New Roman" w:hAnsi="Times New Roman" w:cs="Times New Roman"/>
                <w:color w:val="000000"/>
                <w:sz w:val="28"/>
                <w:szCs w:val="28"/>
                <w:shd w:val="clear" w:color="auto" w:fill="FFFFFF"/>
              </w:rPr>
            </w:pPr>
            <w:r w:rsidRPr="004804AA">
              <w:rPr>
                <w:rFonts w:ascii="Times New Roman" w:hAnsi="Times New Roman" w:cs="Times New Roman"/>
                <w:bCs/>
                <w:color w:val="000000"/>
                <w:sz w:val="28"/>
                <w:szCs w:val="28"/>
                <w:shd w:val="clear" w:color="auto" w:fill="FFFFFF"/>
              </w:rPr>
              <w:t>Родительская миопия</w:t>
            </w:r>
          </w:p>
        </w:tc>
      </w:tr>
      <w:tr w:rsidR="00374DC5" w:rsidRPr="004804AA" w14:paraId="2B3AED49" w14:textId="77777777" w:rsidTr="00292B55">
        <w:trPr>
          <w:trHeight w:val="288"/>
        </w:trPr>
        <w:tc>
          <w:tcPr>
            <w:tcW w:w="2122" w:type="dxa"/>
            <w:shd w:val="clear" w:color="auto" w:fill="auto"/>
            <w:noWrap/>
            <w:vAlign w:val="bottom"/>
          </w:tcPr>
          <w:p w14:paraId="24ADDBBE"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lang w:val="en-US"/>
              </w:rPr>
            </w:pPr>
            <w:r w:rsidRPr="004804AA">
              <w:rPr>
                <w:rFonts w:ascii="Times New Roman" w:hAnsi="Times New Roman" w:cs="Times New Roman"/>
                <w:bCs/>
                <w:color w:val="000000"/>
                <w:sz w:val="28"/>
                <w:szCs w:val="28"/>
                <w:shd w:val="clear" w:color="auto" w:fill="FFFFFF"/>
              </w:rPr>
              <w:t>нет</w:t>
            </w:r>
          </w:p>
        </w:tc>
        <w:tc>
          <w:tcPr>
            <w:tcW w:w="1417" w:type="dxa"/>
            <w:shd w:val="clear" w:color="auto" w:fill="auto"/>
            <w:noWrap/>
            <w:vAlign w:val="center"/>
          </w:tcPr>
          <w:p w14:paraId="3CD3C15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25,2</w:t>
            </w:r>
          </w:p>
        </w:tc>
        <w:tc>
          <w:tcPr>
            <w:tcW w:w="1672" w:type="dxa"/>
            <w:shd w:val="clear" w:color="auto" w:fill="auto"/>
            <w:noWrap/>
            <w:vAlign w:val="center"/>
          </w:tcPr>
          <w:p w14:paraId="22AD251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tcPr>
          <w:p w14:paraId="677487D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7C8C54E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2EA280F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6151E4C9" w14:textId="77777777" w:rsidTr="00292B55">
        <w:trPr>
          <w:trHeight w:val="288"/>
        </w:trPr>
        <w:tc>
          <w:tcPr>
            <w:tcW w:w="2122" w:type="dxa"/>
            <w:shd w:val="clear" w:color="auto" w:fill="auto"/>
            <w:noWrap/>
            <w:vAlign w:val="bottom"/>
          </w:tcPr>
          <w:p w14:paraId="0EADC3AB"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lang w:val="en-US"/>
              </w:rPr>
            </w:pPr>
            <w:r w:rsidRPr="004804AA">
              <w:rPr>
                <w:rFonts w:ascii="Times New Roman" w:hAnsi="Times New Roman" w:cs="Times New Roman"/>
                <w:bCs/>
                <w:color w:val="000000"/>
                <w:sz w:val="28"/>
                <w:szCs w:val="28"/>
                <w:shd w:val="clear" w:color="auto" w:fill="FFFFFF"/>
              </w:rPr>
              <w:t>один родитель</w:t>
            </w:r>
          </w:p>
        </w:tc>
        <w:tc>
          <w:tcPr>
            <w:tcW w:w="1417" w:type="dxa"/>
            <w:shd w:val="clear" w:color="auto" w:fill="auto"/>
            <w:noWrap/>
            <w:vAlign w:val="center"/>
          </w:tcPr>
          <w:p w14:paraId="3B3828CD"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33,7</w:t>
            </w:r>
          </w:p>
        </w:tc>
        <w:tc>
          <w:tcPr>
            <w:tcW w:w="1672" w:type="dxa"/>
            <w:shd w:val="clear" w:color="auto" w:fill="auto"/>
            <w:noWrap/>
            <w:vAlign w:val="center"/>
          </w:tcPr>
          <w:p w14:paraId="7482045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1,50</w:t>
            </w:r>
          </w:p>
        </w:tc>
        <w:tc>
          <w:tcPr>
            <w:tcW w:w="1447" w:type="dxa"/>
            <w:shd w:val="clear" w:color="auto" w:fill="auto"/>
            <w:noWrap/>
            <w:vAlign w:val="center"/>
          </w:tcPr>
          <w:p w14:paraId="3AEE06A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1,08-2,09</w:t>
            </w:r>
          </w:p>
        </w:tc>
        <w:tc>
          <w:tcPr>
            <w:tcW w:w="1386" w:type="dxa"/>
          </w:tcPr>
          <w:p w14:paraId="588113C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w:t>
            </w:r>
            <w:r w:rsidRPr="004804AA">
              <w:rPr>
                <w:rFonts w:ascii="Times New Roman" w:hAnsi="Times New Roman" w:cs="Times New Roman"/>
                <w:color w:val="000000"/>
                <w:sz w:val="28"/>
                <w:szCs w:val="28"/>
                <w:shd w:val="clear" w:color="auto" w:fill="FFFFFF"/>
                <w:lang w:val="en-US"/>
              </w:rPr>
              <w:t>,38</w:t>
            </w:r>
          </w:p>
        </w:tc>
        <w:tc>
          <w:tcPr>
            <w:tcW w:w="1301" w:type="dxa"/>
          </w:tcPr>
          <w:p w14:paraId="6AE1539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lang w:val="en-US"/>
              </w:rPr>
              <w:t>0,98-1,94</w:t>
            </w:r>
          </w:p>
        </w:tc>
      </w:tr>
      <w:tr w:rsidR="00374DC5" w:rsidRPr="004804AA" w14:paraId="5D93AB74" w14:textId="77777777" w:rsidTr="00292B55">
        <w:trPr>
          <w:trHeight w:val="288"/>
        </w:trPr>
        <w:tc>
          <w:tcPr>
            <w:tcW w:w="2122" w:type="dxa"/>
            <w:shd w:val="clear" w:color="auto" w:fill="auto"/>
            <w:noWrap/>
            <w:vAlign w:val="bottom"/>
          </w:tcPr>
          <w:p w14:paraId="1DC2CDC3" w14:textId="64941C52"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lang w:val="en-US"/>
              </w:rPr>
            </w:pPr>
            <w:r w:rsidRPr="004804AA">
              <w:rPr>
                <w:rFonts w:ascii="Times New Roman" w:hAnsi="Times New Roman" w:cs="Times New Roman"/>
                <w:bCs/>
                <w:color w:val="000000"/>
                <w:sz w:val="28"/>
                <w:szCs w:val="28"/>
                <w:shd w:val="clear" w:color="auto" w:fill="FFFFFF"/>
              </w:rPr>
              <w:t>оба родителя</w:t>
            </w:r>
            <w:r w:rsidR="00631C63" w:rsidRPr="00631C63">
              <w:rPr>
                <w:rFonts w:ascii="Times New Roman" w:hAnsi="Times New Roman" w:cs="Times New Roman"/>
                <w:bCs/>
                <w:color w:val="000000"/>
                <w:sz w:val="28"/>
                <w:szCs w:val="28"/>
                <w:shd w:val="clear" w:color="auto" w:fill="FFFFFF"/>
                <w:vertAlign w:val="superscript"/>
              </w:rPr>
              <w:t>3</w:t>
            </w:r>
          </w:p>
        </w:tc>
        <w:tc>
          <w:tcPr>
            <w:tcW w:w="1417" w:type="dxa"/>
            <w:shd w:val="clear" w:color="auto" w:fill="auto"/>
            <w:noWrap/>
            <w:vAlign w:val="center"/>
          </w:tcPr>
          <w:p w14:paraId="555C640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35,4</w:t>
            </w:r>
          </w:p>
        </w:tc>
        <w:tc>
          <w:tcPr>
            <w:tcW w:w="1672" w:type="dxa"/>
            <w:shd w:val="clear" w:color="auto" w:fill="auto"/>
            <w:noWrap/>
            <w:vAlign w:val="center"/>
          </w:tcPr>
          <w:p w14:paraId="5476C84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1,63</w:t>
            </w:r>
          </w:p>
        </w:tc>
        <w:tc>
          <w:tcPr>
            <w:tcW w:w="1447" w:type="dxa"/>
            <w:shd w:val="clear" w:color="auto" w:fill="auto"/>
            <w:noWrap/>
            <w:vAlign w:val="center"/>
          </w:tcPr>
          <w:p w14:paraId="6BEEDE5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0,88-3,00</w:t>
            </w:r>
          </w:p>
        </w:tc>
        <w:tc>
          <w:tcPr>
            <w:tcW w:w="1386" w:type="dxa"/>
          </w:tcPr>
          <w:p w14:paraId="45D42ABC" w14:textId="1A7293C0" w:rsidR="00374DC5" w:rsidRPr="00AB40A8" w:rsidRDefault="00374DC5" w:rsidP="00F40538">
            <w:pPr>
              <w:spacing w:after="0" w:line="240" w:lineRule="auto"/>
              <w:jc w:val="center"/>
              <w:rPr>
                <w:rFonts w:ascii="Times New Roman" w:hAnsi="Times New Roman" w:cs="Times New Roman"/>
                <w:color w:val="000000"/>
                <w:sz w:val="28"/>
                <w:szCs w:val="28"/>
                <w:highlight w:val="yellow"/>
                <w:shd w:val="clear" w:color="auto" w:fill="FFFFFF"/>
              </w:rPr>
            </w:pPr>
          </w:p>
        </w:tc>
        <w:tc>
          <w:tcPr>
            <w:tcW w:w="1301" w:type="dxa"/>
          </w:tcPr>
          <w:p w14:paraId="77784FA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0690104E" w14:textId="77777777" w:rsidTr="00292B55">
        <w:trPr>
          <w:trHeight w:val="288"/>
        </w:trPr>
        <w:tc>
          <w:tcPr>
            <w:tcW w:w="9345" w:type="dxa"/>
            <w:gridSpan w:val="6"/>
            <w:shd w:val="clear" w:color="auto" w:fill="auto"/>
            <w:noWrap/>
            <w:vAlign w:val="bottom"/>
            <w:hideMark/>
          </w:tcPr>
          <w:p w14:paraId="05256493" w14:textId="210F5DDE"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Тип школы</w:t>
            </w:r>
            <w:r w:rsidR="00631C63" w:rsidRPr="00631C63">
              <w:rPr>
                <w:rFonts w:ascii="Times New Roman" w:hAnsi="Times New Roman" w:cs="Times New Roman"/>
                <w:bCs/>
                <w:color w:val="000000"/>
                <w:sz w:val="28"/>
                <w:szCs w:val="28"/>
                <w:shd w:val="clear" w:color="auto" w:fill="FFFFFF"/>
                <w:vertAlign w:val="superscript"/>
              </w:rPr>
              <w:t>3</w:t>
            </w:r>
          </w:p>
        </w:tc>
      </w:tr>
      <w:tr w:rsidR="00374DC5" w:rsidRPr="004804AA" w14:paraId="6402AA66" w14:textId="77777777" w:rsidTr="00292B55">
        <w:trPr>
          <w:trHeight w:val="288"/>
        </w:trPr>
        <w:tc>
          <w:tcPr>
            <w:tcW w:w="2122" w:type="dxa"/>
            <w:shd w:val="clear" w:color="auto" w:fill="auto"/>
            <w:noWrap/>
            <w:vAlign w:val="bottom"/>
            <w:hideMark/>
          </w:tcPr>
          <w:p w14:paraId="5FCE3CF4"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общеобразоват</w:t>
            </w:r>
          </w:p>
        </w:tc>
        <w:tc>
          <w:tcPr>
            <w:tcW w:w="1417" w:type="dxa"/>
            <w:shd w:val="clear" w:color="auto" w:fill="auto"/>
            <w:noWrap/>
            <w:vAlign w:val="center"/>
          </w:tcPr>
          <w:p w14:paraId="0605347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27,5</w:t>
            </w:r>
          </w:p>
        </w:tc>
        <w:tc>
          <w:tcPr>
            <w:tcW w:w="1672" w:type="dxa"/>
            <w:shd w:val="clear" w:color="auto" w:fill="auto"/>
            <w:noWrap/>
            <w:vAlign w:val="center"/>
          </w:tcPr>
          <w:p w14:paraId="10BA41D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547CF76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592BEE8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056A8F2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4E7BF71C" w14:textId="77777777" w:rsidTr="00292B55">
        <w:trPr>
          <w:trHeight w:val="288"/>
        </w:trPr>
        <w:tc>
          <w:tcPr>
            <w:tcW w:w="2122" w:type="dxa"/>
            <w:shd w:val="clear" w:color="auto" w:fill="auto"/>
            <w:noWrap/>
            <w:vAlign w:val="bottom"/>
            <w:hideMark/>
          </w:tcPr>
          <w:p w14:paraId="55500616"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гимназии</w:t>
            </w:r>
          </w:p>
        </w:tc>
        <w:tc>
          <w:tcPr>
            <w:tcW w:w="1417" w:type="dxa"/>
            <w:shd w:val="clear" w:color="auto" w:fill="auto"/>
            <w:noWrap/>
            <w:vAlign w:val="center"/>
          </w:tcPr>
          <w:p w14:paraId="7A065D92"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29,0</w:t>
            </w:r>
          </w:p>
        </w:tc>
        <w:tc>
          <w:tcPr>
            <w:tcW w:w="1672" w:type="dxa"/>
            <w:shd w:val="clear" w:color="auto" w:fill="auto"/>
            <w:noWrap/>
            <w:vAlign w:val="center"/>
          </w:tcPr>
          <w:p w14:paraId="6140933D"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1,07</w:t>
            </w:r>
          </w:p>
        </w:tc>
        <w:tc>
          <w:tcPr>
            <w:tcW w:w="1447" w:type="dxa"/>
            <w:shd w:val="clear" w:color="auto" w:fill="auto"/>
            <w:noWrap/>
            <w:vAlign w:val="center"/>
            <w:hideMark/>
          </w:tcPr>
          <w:p w14:paraId="055D65E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0,90-1,29</w:t>
            </w:r>
          </w:p>
        </w:tc>
        <w:tc>
          <w:tcPr>
            <w:tcW w:w="1386" w:type="dxa"/>
          </w:tcPr>
          <w:p w14:paraId="6B1B011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0606D09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641002C5" w14:textId="77777777" w:rsidTr="00292B55">
        <w:trPr>
          <w:trHeight w:val="288"/>
        </w:trPr>
        <w:tc>
          <w:tcPr>
            <w:tcW w:w="9345" w:type="dxa"/>
            <w:gridSpan w:val="6"/>
            <w:shd w:val="clear" w:color="auto" w:fill="auto"/>
            <w:noWrap/>
            <w:vAlign w:val="bottom"/>
            <w:hideMark/>
          </w:tcPr>
          <w:p w14:paraId="04C3BC00" w14:textId="0EDDF067"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Использование смартфона (часов в день)</w:t>
            </w:r>
            <w:r w:rsidR="00631C63" w:rsidRPr="00631C63">
              <w:rPr>
                <w:rFonts w:ascii="Times New Roman" w:hAnsi="Times New Roman" w:cs="Times New Roman"/>
                <w:bCs/>
                <w:color w:val="000000"/>
                <w:sz w:val="28"/>
                <w:szCs w:val="28"/>
                <w:shd w:val="clear" w:color="auto" w:fill="FFFFFF"/>
                <w:vertAlign w:val="superscript"/>
              </w:rPr>
              <w:t xml:space="preserve"> 3</w:t>
            </w:r>
          </w:p>
        </w:tc>
      </w:tr>
      <w:tr w:rsidR="00374DC5" w:rsidRPr="004804AA" w14:paraId="2CC88C7F" w14:textId="77777777" w:rsidTr="00292B55">
        <w:trPr>
          <w:trHeight w:val="288"/>
        </w:trPr>
        <w:tc>
          <w:tcPr>
            <w:tcW w:w="2122" w:type="dxa"/>
            <w:shd w:val="clear" w:color="auto" w:fill="auto"/>
            <w:noWrap/>
            <w:hideMark/>
          </w:tcPr>
          <w:p w14:paraId="5547374D"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не используют</w:t>
            </w:r>
          </w:p>
        </w:tc>
        <w:tc>
          <w:tcPr>
            <w:tcW w:w="1417" w:type="dxa"/>
            <w:shd w:val="clear" w:color="auto" w:fill="auto"/>
            <w:noWrap/>
            <w:vAlign w:val="center"/>
          </w:tcPr>
          <w:p w14:paraId="282168D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23,4</w:t>
            </w:r>
          </w:p>
        </w:tc>
        <w:tc>
          <w:tcPr>
            <w:tcW w:w="1672" w:type="dxa"/>
            <w:shd w:val="clear" w:color="auto" w:fill="auto"/>
            <w:noWrap/>
            <w:vAlign w:val="center"/>
          </w:tcPr>
          <w:p w14:paraId="24C051E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0112FB8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504890D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01" w:type="dxa"/>
          </w:tcPr>
          <w:p w14:paraId="0AE921F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270F4F83" w14:textId="77777777" w:rsidTr="00292B55">
        <w:trPr>
          <w:trHeight w:val="288"/>
        </w:trPr>
        <w:tc>
          <w:tcPr>
            <w:tcW w:w="2122" w:type="dxa"/>
            <w:shd w:val="clear" w:color="auto" w:fill="auto"/>
            <w:noWrap/>
            <w:hideMark/>
          </w:tcPr>
          <w:p w14:paraId="24C2AB78"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&lt;1 часа в день</w:t>
            </w:r>
          </w:p>
        </w:tc>
        <w:tc>
          <w:tcPr>
            <w:tcW w:w="1417" w:type="dxa"/>
            <w:shd w:val="clear" w:color="auto" w:fill="auto"/>
            <w:noWrap/>
            <w:vAlign w:val="center"/>
          </w:tcPr>
          <w:p w14:paraId="5B38F16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24,4</w:t>
            </w:r>
          </w:p>
        </w:tc>
        <w:tc>
          <w:tcPr>
            <w:tcW w:w="1672" w:type="dxa"/>
            <w:shd w:val="clear" w:color="auto" w:fill="auto"/>
            <w:noWrap/>
            <w:vAlign w:val="center"/>
          </w:tcPr>
          <w:p w14:paraId="32931D2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1,06</w:t>
            </w:r>
          </w:p>
        </w:tc>
        <w:tc>
          <w:tcPr>
            <w:tcW w:w="1447" w:type="dxa"/>
            <w:shd w:val="clear" w:color="auto" w:fill="auto"/>
            <w:noWrap/>
            <w:vAlign w:val="center"/>
            <w:hideMark/>
          </w:tcPr>
          <w:p w14:paraId="50D2DF6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0,64-1,75</w:t>
            </w:r>
          </w:p>
        </w:tc>
        <w:tc>
          <w:tcPr>
            <w:tcW w:w="1386" w:type="dxa"/>
          </w:tcPr>
          <w:p w14:paraId="44D131A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286ADF9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5AB0E7C8" w14:textId="77777777" w:rsidTr="00292B55">
        <w:trPr>
          <w:trHeight w:val="288"/>
        </w:trPr>
        <w:tc>
          <w:tcPr>
            <w:tcW w:w="2122" w:type="dxa"/>
            <w:shd w:val="clear" w:color="auto" w:fill="auto"/>
            <w:noWrap/>
            <w:hideMark/>
          </w:tcPr>
          <w:p w14:paraId="116A10E9"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1,01 - 2,00</w:t>
            </w:r>
          </w:p>
        </w:tc>
        <w:tc>
          <w:tcPr>
            <w:tcW w:w="1417" w:type="dxa"/>
            <w:shd w:val="clear" w:color="auto" w:fill="auto"/>
            <w:noWrap/>
            <w:vAlign w:val="center"/>
          </w:tcPr>
          <w:p w14:paraId="2D17769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27,4</w:t>
            </w:r>
          </w:p>
        </w:tc>
        <w:tc>
          <w:tcPr>
            <w:tcW w:w="1672" w:type="dxa"/>
            <w:shd w:val="clear" w:color="auto" w:fill="auto"/>
            <w:noWrap/>
            <w:vAlign w:val="center"/>
          </w:tcPr>
          <w:p w14:paraId="782D3E5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1,23</w:t>
            </w:r>
          </w:p>
        </w:tc>
        <w:tc>
          <w:tcPr>
            <w:tcW w:w="1447" w:type="dxa"/>
            <w:shd w:val="clear" w:color="auto" w:fill="auto"/>
            <w:noWrap/>
            <w:vAlign w:val="center"/>
            <w:hideMark/>
          </w:tcPr>
          <w:p w14:paraId="7ABCA3D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0,75-2,02</w:t>
            </w:r>
          </w:p>
        </w:tc>
        <w:tc>
          <w:tcPr>
            <w:tcW w:w="1386" w:type="dxa"/>
          </w:tcPr>
          <w:p w14:paraId="31E7014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06287F8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039F1D51" w14:textId="77777777" w:rsidTr="00292B55">
        <w:trPr>
          <w:trHeight w:val="288"/>
        </w:trPr>
        <w:tc>
          <w:tcPr>
            <w:tcW w:w="2122" w:type="dxa"/>
            <w:shd w:val="clear" w:color="auto" w:fill="auto"/>
            <w:noWrap/>
            <w:hideMark/>
          </w:tcPr>
          <w:p w14:paraId="4FB8D506"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1417" w:type="dxa"/>
            <w:shd w:val="clear" w:color="auto" w:fill="auto"/>
            <w:noWrap/>
            <w:vAlign w:val="center"/>
          </w:tcPr>
          <w:p w14:paraId="00D11A3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32,8</w:t>
            </w:r>
          </w:p>
        </w:tc>
        <w:tc>
          <w:tcPr>
            <w:tcW w:w="1672" w:type="dxa"/>
            <w:shd w:val="clear" w:color="auto" w:fill="auto"/>
            <w:noWrap/>
            <w:vAlign w:val="center"/>
          </w:tcPr>
          <w:p w14:paraId="70E6FA4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1,6</w:t>
            </w:r>
          </w:p>
        </w:tc>
        <w:tc>
          <w:tcPr>
            <w:tcW w:w="1447" w:type="dxa"/>
            <w:shd w:val="clear" w:color="auto" w:fill="auto"/>
            <w:noWrap/>
            <w:vAlign w:val="center"/>
            <w:hideMark/>
          </w:tcPr>
          <w:p w14:paraId="681B86C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0,95-2,67</w:t>
            </w:r>
          </w:p>
        </w:tc>
        <w:tc>
          <w:tcPr>
            <w:tcW w:w="1386" w:type="dxa"/>
          </w:tcPr>
          <w:p w14:paraId="030D51C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lang w:val="en-US"/>
              </w:rPr>
              <w:t>-</w:t>
            </w:r>
          </w:p>
        </w:tc>
        <w:tc>
          <w:tcPr>
            <w:tcW w:w="1301" w:type="dxa"/>
          </w:tcPr>
          <w:p w14:paraId="3107644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1569FCF0" w14:textId="77777777" w:rsidTr="00292B55">
        <w:trPr>
          <w:trHeight w:val="288"/>
        </w:trPr>
        <w:tc>
          <w:tcPr>
            <w:tcW w:w="9345" w:type="dxa"/>
            <w:gridSpan w:val="6"/>
            <w:shd w:val="clear" w:color="auto" w:fill="auto"/>
            <w:noWrap/>
            <w:vAlign w:val="bottom"/>
            <w:hideMark/>
          </w:tcPr>
          <w:p w14:paraId="0A3459E9" w14:textId="77777777"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Зрительная работа на близком расстоянии (часов в день)</w:t>
            </w:r>
          </w:p>
        </w:tc>
      </w:tr>
      <w:tr w:rsidR="00374DC5" w:rsidRPr="004804AA" w14:paraId="3D300CBF" w14:textId="77777777" w:rsidTr="00292B55">
        <w:trPr>
          <w:trHeight w:val="288"/>
        </w:trPr>
        <w:tc>
          <w:tcPr>
            <w:tcW w:w="2122" w:type="dxa"/>
            <w:shd w:val="clear" w:color="auto" w:fill="auto"/>
            <w:noWrap/>
            <w:hideMark/>
          </w:tcPr>
          <w:p w14:paraId="1E194CFF"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&lt;1 часа в день</w:t>
            </w:r>
          </w:p>
        </w:tc>
        <w:tc>
          <w:tcPr>
            <w:tcW w:w="1417" w:type="dxa"/>
            <w:shd w:val="clear" w:color="auto" w:fill="auto"/>
            <w:noWrap/>
            <w:vAlign w:val="center"/>
          </w:tcPr>
          <w:p w14:paraId="4BAB82E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23,4</w:t>
            </w:r>
          </w:p>
        </w:tc>
        <w:tc>
          <w:tcPr>
            <w:tcW w:w="1672" w:type="dxa"/>
            <w:shd w:val="clear" w:color="auto" w:fill="auto"/>
            <w:noWrap/>
            <w:vAlign w:val="center"/>
          </w:tcPr>
          <w:p w14:paraId="0DC93DC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7C53795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29630973"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576E4A9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596EA7CB" w14:textId="77777777" w:rsidTr="00292B55">
        <w:trPr>
          <w:trHeight w:val="288"/>
        </w:trPr>
        <w:tc>
          <w:tcPr>
            <w:tcW w:w="2122" w:type="dxa"/>
            <w:shd w:val="clear" w:color="auto" w:fill="auto"/>
            <w:noWrap/>
            <w:hideMark/>
          </w:tcPr>
          <w:p w14:paraId="7765D453"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1,01 - 2,00</w:t>
            </w:r>
          </w:p>
        </w:tc>
        <w:tc>
          <w:tcPr>
            <w:tcW w:w="1417" w:type="dxa"/>
            <w:shd w:val="clear" w:color="auto" w:fill="auto"/>
            <w:noWrap/>
            <w:vAlign w:val="center"/>
          </w:tcPr>
          <w:p w14:paraId="188F654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24,8</w:t>
            </w:r>
          </w:p>
        </w:tc>
        <w:tc>
          <w:tcPr>
            <w:tcW w:w="1672" w:type="dxa"/>
            <w:shd w:val="clear" w:color="auto" w:fill="auto"/>
            <w:noWrap/>
            <w:vAlign w:val="center"/>
          </w:tcPr>
          <w:p w14:paraId="502DD2E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1,08</w:t>
            </w:r>
          </w:p>
        </w:tc>
        <w:tc>
          <w:tcPr>
            <w:tcW w:w="1447" w:type="dxa"/>
            <w:shd w:val="clear" w:color="auto" w:fill="auto"/>
            <w:noWrap/>
            <w:vAlign w:val="center"/>
            <w:hideMark/>
          </w:tcPr>
          <w:p w14:paraId="08FFB30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0,74-1,59</w:t>
            </w:r>
          </w:p>
        </w:tc>
        <w:tc>
          <w:tcPr>
            <w:tcW w:w="1386" w:type="dxa"/>
          </w:tcPr>
          <w:p w14:paraId="5484746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7872713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3A765E3E" w14:textId="77777777" w:rsidTr="00292B55">
        <w:trPr>
          <w:trHeight w:val="288"/>
        </w:trPr>
        <w:tc>
          <w:tcPr>
            <w:tcW w:w="2122" w:type="dxa"/>
            <w:shd w:val="clear" w:color="auto" w:fill="auto"/>
            <w:noWrap/>
            <w:hideMark/>
          </w:tcPr>
          <w:p w14:paraId="0527FBFA"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1417" w:type="dxa"/>
            <w:shd w:val="clear" w:color="auto" w:fill="auto"/>
            <w:noWrap/>
            <w:vAlign w:val="center"/>
          </w:tcPr>
          <w:p w14:paraId="69FA688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31,9</w:t>
            </w:r>
          </w:p>
        </w:tc>
        <w:tc>
          <w:tcPr>
            <w:tcW w:w="1672" w:type="dxa"/>
            <w:shd w:val="clear" w:color="auto" w:fill="auto"/>
            <w:noWrap/>
            <w:vAlign w:val="center"/>
          </w:tcPr>
          <w:p w14:paraId="4688100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1,54</w:t>
            </w:r>
          </w:p>
        </w:tc>
        <w:tc>
          <w:tcPr>
            <w:tcW w:w="1447" w:type="dxa"/>
            <w:shd w:val="clear" w:color="auto" w:fill="auto"/>
            <w:noWrap/>
            <w:vAlign w:val="center"/>
            <w:hideMark/>
          </w:tcPr>
          <w:p w14:paraId="6CDBBD5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1,05-2,24</w:t>
            </w:r>
          </w:p>
        </w:tc>
        <w:tc>
          <w:tcPr>
            <w:tcW w:w="1386" w:type="dxa"/>
          </w:tcPr>
          <w:p w14:paraId="44FBF33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1,16</w:t>
            </w:r>
          </w:p>
        </w:tc>
        <w:tc>
          <w:tcPr>
            <w:tcW w:w="1301" w:type="dxa"/>
          </w:tcPr>
          <w:p w14:paraId="10AF91B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0,87-1,55</w:t>
            </w:r>
          </w:p>
        </w:tc>
      </w:tr>
      <w:tr w:rsidR="00374DC5" w:rsidRPr="004804AA" w14:paraId="27C2643C" w14:textId="77777777" w:rsidTr="00292B55">
        <w:trPr>
          <w:trHeight w:val="288"/>
        </w:trPr>
        <w:tc>
          <w:tcPr>
            <w:tcW w:w="9345" w:type="dxa"/>
            <w:gridSpan w:val="6"/>
            <w:shd w:val="clear" w:color="auto" w:fill="auto"/>
            <w:noWrap/>
            <w:vAlign w:val="bottom"/>
            <w:hideMark/>
          </w:tcPr>
          <w:p w14:paraId="6A0A49E9" w14:textId="77777777"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Пребывание на открытом воздухе (часов в день)</w:t>
            </w:r>
          </w:p>
        </w:tc>
      </w:tr>
      <w:tr w:rsidR="00374DC5" w:rsidRPr="004804AA" w14:paraId="58699E20" w14:textId="77777777" w:rsidTr="00292B55">
        <w:trPr>
          <w:trHeight w:val="288"/>
        </w:trPr>
        <w:tc>
          <w:tcPr>
            <w:tcW w:w="2122" w:type="dxa"/>
            <w:shd w:val="clear" w:color="auto" w:fill="auto"/>
            <w:noWrap/>
            <w:hideMark/>
          </w:tcPr>
          <w:p w14:paraId="678C1D8C"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&lt;1 часа в день</w:t>
            </w:r>
          </w:p>
        </w:tc>
        <w:tc>
          <w:tcPr>
            <w:tcW w:w="1417" w:type="dxa"/>
            <w:shd w:val="clear" w:color="auto" w:fill="auto"/>
            <w:noWrap/>
            <w:vAlign w:val="center"/>
          </w:tcPr>
          <w:p w14:paraId="0556763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32,0</w:t>
            </w:r>
          </w:p>
        </w:tc>
        <w:tc>
          <w:tcPr>
            <w:tcW w:w="1672" w:type="dxa"/>
            <w:shd w:val="clear" w:color="auto" w:fill="auto"/>
            <w:noWrap/>
            <w:vAlign w:val="center"/>
          </w:tcPr>
          <w:p w14:paraId="6101636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0D4F87A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3F145A6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0ADCEC8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4F79A2C2" w14:textId="77777777" w:rsidTr="00292B55">
        <w:trPr>
          <w:trHeight w:val="288"/>
        </w:trPr>
        <w:tc>
          <w:tcPr>
            <w:tcW w:w="2122" w:type="dxa"/>
            <w:shd w:val="clear" w:color="auto" w:fill="auto"/>
            <w:noWrap/>
            <w:hideMark/>
          </w:tcPr>
          <w:p w14:paraId="66E4113B" w14:textId="1F7F5C7C"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sz w:val="28"/>
                <w:szCs w:val="28"/>
              </w:rPr>
              <w:t>1,01 - 2,00</w:t>
            </w:r>
            <w:r w:rsidR="00631C63">
              <w:rPr>
                <w:rFonts w:ascii="Times New Roman" w:hAnsi="Times New Roman" w:cs="Times New Roman"/>
                <w:sz w:val="28"/>
                <w:szCs w:val="28"/>
              </w:rPr>
              <w:t xml:space="preserve"> часа в день</w:t>
            </w:r>
            <w:r w:rsidR="00631C63" w:rsidRPr="00631C63">
              <w:rPr>
                <w:rFonts w:ascii="Times New Roman" w:hAnsi="Times New Roman" w:cs="Times New Roman"/>
                <w:bCs/>
                <w:color w:val="000000"/>
                <w:sz w:val="28"/>
                <w:szCs w:val="28"/>
                <w:shd w:val="clear" w:color="auto" w:fill="FFFFFF"/>
                <w:vertAlign w:val="superscript"/>
              </w:rPr>
              <w:t>3</w:t>
            </w:r>
          </w:p>
        </w:tc>
        <w:tc>
          <w:tcPr>
            <w:tcW w:w="1417" w:type="dxa"/>
            <w:shd w:val="clear" w:color="auto" w:fill="auto"/>
            <w:noWrap/>
            <w:vAlign w:val="center"/>
          </w:tcPr>
          <w:p w14:paraId="5675FBF1"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26,2</w:t>
            </w:r>
          </w:p>
        </w:tc>
        <w:tc>
          <w:tcPr>
            <w:tcW w:w="1672" w:type="dxa"/>
            <w:shd w:val="clear" w:color="auto" w:fill="auto"/>
            <w:noWrap/>
            <w:vAlign w:val="center"/>
          </w:tcPr>
          <w:p w14:paraId="074F41E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0,75</w:t>
            </w:r>
          </w:p>
        </w:tc>
        <w:tc>
          <w:tcPr>
            <w:tcW w:w="1447" w:type="dxa"/>
            <w:shd w:val="clear" w:color="auto" w:fill="auto"/>
            <w:noWrap/>
            <w:vAlign w:val="center"/>
            <w:hideMark/>
          </w:tcPr>
          <w:p w14:paraId="069F8C8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0,55-1,03</w:t>
            </w:r>
          </w:p>
        </w:tc>
        <w:tc>
          <w:tcPr>
            <w:tcW w:w="1386" w:type="dxa"/>
          </w:tcPr>
          <w:p w14:paraId="31DF534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5F8A15F8"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2689DF3E" w14:textId="77777777" w:rsidTr="00292B55">
        <w:trPr>
          <w:trHeight w:val="288"/>
        </w:trPr>
        <w:tc>
          <w:tcPr>
            <w:tcW w:w="2122" w:type="dxa"/>
            <w:shd w:val="clear" w:color="auto" w:fill="auto"/>
            <w:noWrap/>
            <w:hideMark/>
          </w:tcPr>
          <w:p w14:paraId="0865DA40" w14:textId="77777777" w:rsidR="00374DC5" w:rsidRPr="004804AA" w:rsidRDefault="00374DC5" w:rsidP="00F40538">
            <w:pPr>
              <w:spacing w:after="0" w:line="240" w:lineRule="auto"/>
              <w:jc w:val="both"/>
              <w:rPr>
                <w:rFonts w:ascii="Times New Roman" w:hAnsi="Times New Roman" w:cs="Times New Roman"/>
                <w:bCs/>
                <w:color w:val="000000"/>
                <w:sz w:val="28"/>
                <w:szCs w:val="28"/>
                <w:shd w:val="clear" w:color="auto" w:fill="FFFFFF"/>
              </w:rPr>
            </w:pPr>
            <w:r w:rsidRPr="004804AA">
              <w:rPr>
                <w:rFonts w:ascii="Times New Roman" w:hAnsi="Times New Roman" w:cs="Times New Roman"/>
                <w:color w:val="000000"/>
                <w:sz w:val="28"/>
                <w:szCs w:val="28"/>
                <w:shd w:val="clear" w:color="auto" w:fill="FFFFFF"/>
              </w:rPr>
              <w:t>&gt; 2 часов в день</w:t>
            </w:r>
          </w:p>
        </w:tc>
        <w:tc>
          <w:tcPr>
            <w:tcW w:w="1417" w:type="dxa"/>
            <w:shd w:val="clear" w:color="auto" w:fill="auto"/>
            <w:noWrap/>
            <w:vAlign w:val="center"/>
          </w:tcPr>
          <w:p w14:paraId="467280B2"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22,2</w:t>
            </w:r>
          </w:p>
        </w:tc>
        <w:tc>
          <w:tcPr>
            <w:tcW w:w="1672" w:type="dxa"/>
            <w:shd w:val="clear" w:color="auto" w:fill="auto"/>
            <w:noWrap/>
            <w:vAlign w:val="center"/>
          </w:tcPr>
          <w:p w14:paraId="31C0166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0,61</w:t>
            </w:r>
          </w:p>
        </w:tc>
        <w:tc>
          <w:tcPr>
            <w:tcW w:w="1447" w:type="dxa"/>
            <w:shd w:val="clear" w:color="auto" w:fill="auto"/>
            <w:noWrap/>
            <w:vAlign w:val="center"/>
            <w:hideMark/>
          </w:tcPr>
          <w:p w14:paraId="3127B91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0,43-0,86</w:t>
            </w:r>
          </w:p>
        </w:tc>
        <w:tc>
          <w:tcPr>
            <w:tcW w:w="1386" w:type="dxa"/>
          </w:tcPr>
          <w:p w14:paraId="5BF595F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0,63</w:t>
            </w:r>
          </w:p>
        </w:tc>
        <w:tc>
          <w:tcPr>
            <w:tcW w:w="1301" w:type="dxa"/>
          </w:tcPr>
          <w:p w14:paraId="77878F1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0,45-0,88</w:t>
            </w:r>
          </w:p>
        </w:tc>
      </w:tr>
      <w:tr w:rsidR="00374DC5" w:rsidRPr="004804AA" w14:paraId="27137B76" w14:textId="77777777" w:rsidTr="00292B55">
        <w:trPr>
          <w:trHeight w:val="288"/>
        </w:trPr>
        <w:tc>
          <w:tcPr>
            <w:tcW w:w="9345" w:type="dxa"/>
            <w:gridSpan w:val="6"/>
            <w:shd w:val="clear" w:color="auto" w:fill="auto"/>
            <w:noWrap/>
            <w:vAlign w:val="bottom"/>
            <w:hideMark/>
          </w:tcPr>
          <w:p w14:paraId="12461EAD" w14:textId="77777777"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Школьная смена</w:t>
            </w:r>
          </w:p>
        </w:tc>
      </w:tr>
      <w:tr w:rsidR="00374DC5" w:rsidRPr="004804AA" w14:paraId="059CDD5E" w14:textId="77777777" w:rsidTr="00292B55">
        <w:trPr>
          <w:trHeight w:val="288"/>
        </w:trPr>
        <w:tc>
          <w:tcPr>
            <w:tcW w:w="2122" w:type="dxa"/>
            <w:shd w:val="clear" w:color="auto" w:fill="auto"/>
            <w:noWrap/>
            <w:vAlign w:val="bottom"/>
            <w:hideMark/>
          </w:tcPr>
          <w:p w14:paraId="31742294"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первая половина дня</w:t>
            </w:r>
          </w:p>
        </w:tc>
        <w:tc>
          <w:tcPr>
            <w:tcW w:w="1417" w:type="dxa"/>
            <w:shd w:val="clear" w:color="auto" w:fill="auto"/>
            <w:noWrap/>
            <w:vAlign w:val="center"/>
          </w:tcPr>
          <w:p w14:paraId="4F5F50E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23,2</w:t>
            </w:r>
          </w:p>
        </w:tc>
        <w:tc>
          <w:tcPr>
            <w:tcW w:w="1672" w:type="dxa"/>
            <w:shd w:val="clear" w:color="auto" w:fill="auto"/>
            <w:noWrap/>
            <w:vAlign w:val="center"/>
          </w:tcPr>
          <w:p w14:paraId="16AF45D3"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lang w:val="en-US"/>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5D1660F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3E925E6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103CBFF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535208B6" w14:textId="77777777" w:rsidTr="00292B55">
        <w:trPr>
          <w:trHeight w:val="361"/>
        </w:trPr>
        <w:tc>
          <w:tcPr>
            <w:tcW w:w="2122" w:type="dxa"/>
            <w:shd w:val="clear" w:color="auto" w:fill="auto"/>
            <w:noWrap/>
            <w:vAlign w:val="bottom"/>
            <w:hideMark/>
          </w:tcPr>
          <w:p w14:paraId="6DE51DF0"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после обеда</w:t>
            </w:r>
          </w:p>
        </w:tc>
        <w:tc>
          <w:tcPr>
            <w:tcW w:w="1417" w:type="dxa"/>
            <w:shd w:val="clear" w:color="auto" w:fill="auto"/>
            <w:noWrap/>
            <w:vAlign w:val="center"/>
          </w:tcPr>
          <w:p w14:paraId="09BA6246"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31,1</w:t>
            </w:r>
          </w:p>
        </w:tc>
        <w:tc>
          <w:tcPr>
            <w:tcW w:w="1672" w:type="dxa"/>
            <w:shd w:val="clear" w:color="auto" w:fill="auto"/>
            <w:noWrap/>
            <w:vAlign w:val="center"/>
          </w:tcPr>
          <w:p w14:paraId="4E58C21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1,36</w:t>
            </w:r>
          </w:p>
        </w:tc>
        <w:tc>
          <w:tcPr>
            <w:tcW w:w="1447" w:type="dxa"/>
            <w:shd w:val="clear" w:color="auto" w:fill="auto"/>
            <w:noWrap/>
            <w:vAlign w:val="center"/>
            <w:hideMark/>
          </w:tcPr>
          <w:p w14:paraId="3E19C73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0,98-1,89</w:t>
            </w:r>
          </w:p>
        </w:tc>
        <w:tc>
          <w:tcPr>
            <w:tcW w:w="1386" w:type="dxa"/>
          </w:tcPr>
          <w:p w14:paraId="7DFC55E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54797A34"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29FF3D4B" w14:textId="77777777" w:rsidTr="00292B55">
        <w:trPr>
          <w:trHeight w:val="288"/>
        </w:trPr>
        <w:tc>
          <w:tcPr>
            <w:tcW w:w="2122" w:type="dxa"/>
            <w:shd w:val="clear" w:color="auto" w:fill="auto"/>
            <w:noWrap/>
            <w:vAlign w:val="bottom"/>
            <w:hideMark/>
          </w:tcPr>
          <w:p w14:paraId="0D251692"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полный день</w:t>
            </w:r>
          </w:p>
        </w:tc>
        <w:tc>
          <w:tcPr>
            <w:tcW w:w="1417" w:type="dxa"/>
            <w:shd w:val="clear" w:color="auto" w:fill="auto"/>
            <w:noWrap/>
            <w:vAlign w:val="center"/>
          </w:tcPr>
          <w:p w14:paraId="62DF9A75"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31,8</w:t>
            </w:r>
          </w:p>
        </w:tc>
        <w:tc>
          <w:tcPr>
            <w:tcW w:w="1672" w:type="dxa"/>
            <w:shd w:val="clear" w:color="auto" w:fill="auto"/>
            <w:noWrap/>
            <w:vAlign w:val="center"/>
          </w:tcPr>
          <w:p w14:paraId="373555EB"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1,56</w:t>
            </w:r>
          </w:p>
        </w:tc>
        <w:tc>
          <w:tcPr>
            <w:tcW w:w="1447" w:type="dxa"/>
            <w:shd w:val="clear" w:color="auto" w:fill="auto"/>
            <w:noWrap/>
            <w:vAlign w:val="center"/>
            <w:hideMark/>
          </w:tcPr>
          <w:p w14:paraId="142DE2EE"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1,13-2,17</w:t>
            </w:r>
          </w:p>
        </w:tc>
        <w:tc>
          <w:tcPr>
            <w:tcW w:w="1386" w:type="dxa"/>
          </w:tcPr>
          <w:p w14:paraId="3F676DAC"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1,31</w:t>
            </w:r>
          </w:p>
        </w:tc>
        <w:tc>
          <w:tcPr>
            <w:tcW w:w="1301" w:type="dxa"/>
          </w:tcPr>
          <w:p w14:paraId="7DE73593"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0,96-1,80</w:t>
            </w:r>
          </w:p>
        </w:tc>
      </w:tr>
    </w:tbl>
    <w:p w14:paraId="10D089A3" w14:textId="77777777" w:rsidR="00DE42BD" w:rsidRDefault="00DE42BD"/>
    <w:p w14:paraId="2B3CE325" w14:textId="32B970CF" w:rsidR="00DE42BD" w:rsidRDefault="00DE42BD" w:rsidP="00DE42BD">
      <w:pPr>
        <w:jc w:val="right"/>
      </w:pPr>
      <w:r w:rsidRPr="008F508D">
        <w:rPr>
          <w:rFonts w:ascii="Times New Roman" w:hAnsi="Times New Roman" w:cs="Times New Roman"/>
          <w:sz w:val="28"/>
          <w:szCs w:val="24"/>
        </w:rPr>
        <w:lastRenderedPageBreak/>
        <w:t>Продолжение таблицы 21</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672"/>
        <w:gridCol w:w="1447"/>
        <w:gridCol w:w="1386"/>
        <w:gridCol w:w="1301"/>
      </w:tblGrid>
      <w:tr w:rsidR="00374DC5" w:rsidRPr="004804AA" w14:paraId="6EFB8815" w14:textId="77777777" w:rsidTr="00292B55">
        <w:trPr>
          <w:trHeight w:val="288"/>
        </w:trPr>
        <w:tc>
          <w:tcPr>
            <w:tcW w:w="9345" w:type="dxa"/>
            <w:gridSpan w:val="6"/>
            <w:shd w:val="clear" w:color="auto" w:fill="auto"/>
            <w:noWrap/>
            <w:vAlign w:val="bottom"/>
            <w:hideMark/>
          </w:tcPr>
          <w:p w14:paraId="3FDF2782" w14:textId="77777777" w:rsidR="00374DC5" w:rsidRPr="004804AA" w:rsidRDefault="00374DC5" w:rsidP="00F40538">
            <w:pPr>
              <w:spacing w:after="0" w:line="240" w:lineRule="auto"/>
              <w:rPr>
                <w:rFonts w:ascii="Times New Roman" w:hAnsi="Times New Roman" w:cs="Times New Roman"/>
                <w:bCs/>
                <w:color w:val="000000"/>
                <w:sz w:val="28"/>
                <w:szCs w:val="28"/>
                <w:shd w:val="clear" w:color="auto" w:fill="FFFFFF"/>
              </w:rPr>
            </w:pPr>
            <w:r w:rsidRPr="004804AA">
              <w:rPr>
                <w:rFonts w:ascii="Times New Roman" w:hAnsi="Times New Roman" w:cs="Times New Roman"/>
                <w:color w:val="000000"/>
                <w:sz w:val="28"/>
                <w:szCs w:val="28"/>
                <w:shd w:val="clear" w:color="auto" w:fill="FFFFFF"/>
              </w:rPr>
              <w:t>Занятия спортом</w:t>
            </w:r>
          </w:p>
        </w:tc>
      </w:tr>
      <w:tr w:rsidR="00374DC5" w:rsidRPr="004804AA" w14:paraId="7A8A778D" w14:textId="77777777" w:rsidTr="00292B55">
        <w:trPr>
          <w:trHeight w:val="288"/>
        </w:trPr>
        <w:tc>
          <w:tcPr>
            <w:tcW w:w="2122" w:type="dxa"/>
            <w:shd w:val="clear" w:color="auto" w:fill="auto"/>
            <w:noWrap/>
            <w:vAlign w:val="bottom"/>
            <w:hideMark/>
          </w:tcPr>
          <w:p w14:paraId="42A07003"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нет</w:t>
            </w:r>
          </w:p>
        </w:tc>
        <w:tc>
          <w:tcPr>
            <w:tcW w:w="1417" w:type="dxa"/>
            <w:shd w:val="clear" w:color="auto" w:fill="auto"/>
            <w:noWrap/>
            <w:vAlign w:val="center"/>
          </w:tcPr>
          <w:p w14:paraId="1FF5E99A"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30,2</w:t>
            </w:r>
          </w:p>
        </w:tc>
        <w:tc>
          <w:tcPr>
            <w:tcW w:w="1672" w:type="dxa"/>
            <w:shd w:val="clear" w:color="auto" w:fill="auto"/>
            <w:noWrap/>
            <w:vAlign w:val="center"/>
          </w:tcPr>
          <w:p w14:paraId="380F6980"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447" w:type="dxa"/>
            <w:shd w:val="clear" w:color="auto" w:fill="auto"/>
            <w:noWrap/>
            <w:vAlign w:val="center"/>
            <w:hideMark/>
          </w:tcPr>
          <w:p w14:paraId="424F21F3"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c>
          <w:tcPr>
            <w:tcW w:w="1386" w:type="dxa"/>
          </w:tcPr>
          <w:p w14:paraId="70D647EF"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референтная группа</w:t>
            </w:r>
          </w:p>
        </w:tc>
        <w:tc>
          <w:tcPr>
            <w:tcW w:w="1301" w:type="dxa"/>
          </w:tcPr>
          <w:p w14:paraId="679281CD"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p>
        </w:tc>
      </w:tr>
      <w:tr w:rsidR="00374DC5" w:rsidRPr="004804AA" w14:paraId="58614C82" w14:textId="77777777" w:rsidTr="00292B55">
        <w:trPr>
          <w:trHeight w:val="288"/>
        </w:trPr>
        <w:tc>
          <w:tcPr>
            <w:tcW w:w="2122" w:type="dxa"/>
            <w:shd w:val="clear" w:color="auto" w:fill="auto"/>
            <w:noWrap/>
            <w:vAlign w:val="bottom"/>
            <w:hideMark/>
          </w:tcPr>
          <w:p w14:paraId="2D195383" w14:textId="77777777" w:rsidR="00374DC5" w:rsidRPr="004804AA" w:rsidRDefault="00374DC5" w:rsidP="00F40538">
            <w:pPr>
              <w:spacing w:after="0" w:line="240" w:lineRule="auto"/>
              <w:jc w:val="right"/>
              <w:rPr>
                <w:rFonts w:ascii="Times New Roman" w:hAnsi="Times New Roman" w:cs="Times New Roman"/>
                <w:bCs/>
                <w:color w:val="000000"/>
                <w:sz w:val="28"/>
                <w:szCs w:val="28"/>
                <w:shd w:val="clear" w:color="auto" w:fill="FFFFFF"/>
              </w:rPr>
            </w:pPr>
            <w:r w:rsidRPr="004804AA">
              <w:rPr>
                <w:rFonts w:ascii="Times New Roman" w:hAnsi="Times New Roman" w:cs="Times New Roman"/>
                <w:bCs/>
                <w:color w:val="000000"/>
                <w:sz w:val="28"/>
                <w:szCs w:val="28"/>
                <w:shd w:val="clear" w:color="auto" w:fill="FFFFFF"/>
              </w:rPr>
              <w:t>да</w:t>
            </w:r>
          </w:p>
        </w:tc>
        <w:tc>
          <w:tcPr>
            <w:tcW w:w="1417" w:type="dxa"/>
            <w:shd w:val="clear" w:color="auto" w:fill="auto"/>
            <w:noWrap/>
            <w:vAlign w:val="center"/>
          </w:tcPr>
          <w:p w14:paraId="3FA582A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22,6</w:t>
            </w:r>
          </w:p>
        </w:tc>
        <w:tc>
          <w:tcPr>
            <w:tcW w:w="1672" w:type="dxa"/>
            <w:shd w:val="clear" w:color="auto" w:fill="auto"/>
            <w:noWrap/>
            <w:vAlign w:val="center"/>
          </w:tcPr>
          <w:p w14:paraId="4B925E7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0,71</w:t>
            </w:r>
          </w:p>
        </w:tc>
        <w:tc>
          <w:tcPr>
            <w:tcW w:w="1447" w:type="dxa"/>
            <w:shd w:val="clear" w:color="auto" w:fill="auto"/>
            <w:noWrap/>
            <w:vAlign w:val="center"/>
            <w:hideMark/>
          </w:tcPr>
          <w:p w14:paraId="493EE999"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0,54-0,94</w:t>
            </w:r>
          </w:p>
        </w:tc>
        <w:tc>
          <w:tcPr>
            <w:tcW w:w="1386" w:type="dxa"/>
          </w:tcPr>
          <w:p w14:paraId="0D9481C7"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0,69</w:t>
            </w:r>
          </w:p>
        </w:tc>
        <w:tc>
          <w:tcPr>
            <w:tcW w:w="1301" w:type="dxa"/>
          </w:tcPr>
          <w:p w14:paraId="1543780D" w14:textId="77777777" w:rsidR="00374DC5" w:rsidRPr="004804AA" w:rsidRDefault="00374DC5" w:rsidP="00F40538">
            <w:pPr>
              <w:spacing w:after="0" w:line="240" w:lineRule="auto"/>
              <w:jc w:val="center"/>
              <w:rPr>
                <w:rFonts w:ascii="Times New Roman" w:hAnsi="Times New Roman" w:cs="Times New Roman"/>
                <w:color w:val="000000"/>
                <w:sz w:val="28"/>
                <w:szCs w:val="28"/>
                <w:shd w:val="clear" w:color="auto" w:fill="FFFFFF"/>
              </w:rPr>
            </w:pPr>
            <w:r w:rsidRPr="004804AA">
              <w:rPr>
                <w:rFonts w:ascii="Times New Roman" w:hAnsi="Times New Roman" w:cs="Times New Roman"/>
                <w:color w:val="000000"/>
                <w:sz w:val="28"/>
                <w:szCs w:val="28"/>
                <w:shd w:val="clear" w:color="auto" w:fill="FFFFFF"/>
              </w:rPr>
              <w:t>0,52-0,93</w:t>
            </w:r>
          </w:p>
        </w:tc>
      </w:tr>
      <w:tr w:rsidR="00CC1F18" w:rsidRPr="004804AA" w14:paraId="0F716D44" w14:textId="77777777" w:rsidTr="00292B55">
        <w:trPr>
          <w:trHeight w:val="288"/>
        </w:trPr>
        <w:tc>
          <w:tcPr>
            <w:tcW w:w="9345" w:type="dxa"/>
            <w:gridSpan w:val="6"/>
            <w:shd w:val="clear" w:color="auto" w:fill="auto"/>
            <w:noWrap/>
            <w:vAlign w:val="bottom"/>
          </w:tcPr>
          <w:p w14:paraId="38810A2A" w14:textId="77777777" w:rsidR="00CC1F18" w:rsidRDefault="00CC1F18" w:rsidP="00CC1F18">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w:t>
            </w:r>
          </w:p>
          <w:p w14:paraId="496FAE4C" w14:textId="77777777" w:rsidR="00CC1F18" w:rsidRDefault="00CC1F18" w:rsidP="00CC1F18">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1</w:t>
            </w:r>
            <w:r w:rsidRPr="00892E4B">
              <w:rPr>
                <w:rFonts w:ascii="Times New Roman" w:hAnsi="Times New Roman" w:cs="Times New Roman"/>
                <w:sz w:val="28"/>
                <w:szCs w:val="28"/>
              </w:rPr>
              <w:t xml:space="preserve">ОШ </w:t>
            </w:r>
            <w:r>
              <w:rPr>
                <w:rFonts w:ascii="Times New Roman" w:hAnsi="Times New Roman" w:cs="Times New Roman"/>
                <w:sz w:val="28"/>
                <w:szCs w:val="28"/>
              </w:rPr>
              <w:t>– отношение шансов;</w:t>
            </w:r>
          </w:p>
          <w:p w14:paraId="3EBFE802" w14:textId="77777777" w:rsidR="00CC1F18" w:rsidRDefault="00CC1F18" w:rsidP="00CC1F18">
            <w:pPr>
              <w:spacing w:after="0" w:line="240" w:lineRule="auto"/>
              <w:rPr>
                <w:rFonts w:ascii="Times New Roman" w:hAnsi="Times New Roman" w:cs="Times New Roman"/>
                <w:sz w:val="28"/>
                <w:szCs w:val="28"/>
              </w:rPr>
            </w:pPr>
            <w:r w:rsidRPr="006647EC">
              <w:rPr>
                <w:rFonts w:ascii="Times New Roman" w:hAnsi="Times New Roman" w:cs="Times New Roman"/>
                <w:sz w:val="28"/>
                <w:szCs w:val="28"/>
                <w:vertAlign w:val="superscript"/>
              </w:rPr>
              <w:t>2</w:t>
            </w:r>
            <w:r>
              <w:rPr>
                <w:rFonts w:ascii="Times New Roman" w:hAnsi="Times New Roman" w:cs="Times New Roman"/>
                <w:sz w:val="28"/>
                <w:szCs w:val="28"/>
              </w:rPr>
              <w:t>ДИ – доверительный интервал</w:t>
            </w:r>
          </w:p>
          <w:p w14:paraId="3804139E" w14:textId="636EC6B3" w:rsidR="00631C63" w:rsidRPr="004804AA" w:rsidRDefault="00631C63" w:rsidP="00323B55">
            <w:pPr>
              <w:spacing w:after="0" w:line="240" w:lineRule="auto"/>
              <w:jc w:val="both"/>
              <w:rPr>
                <w:rFonts w:ascii="Times New Roman" w:hAnsi="Times New Roman" w:cs="Times New Roman"/>
                <w:color w:val="000000"/>
                <w:sz w:val="28"/>
                <w:szCs w:val="28"/>
                <w:shd w:val="clear" w:color="auto" w:fill="FFFFFF"/>
              </w:rPr>
            </w:pPr>
            <w:r w:rsidRPr="00631C63">
              <w:rPr>
                <w:rFonts w:ascii="Times New Roman" w:hAnsi="Times New Roman" w:cs="Times New Roman"/>
                <w:bCs/>
                <w:color w:val="000000"/>
                <w:sz w:val="28"/>
                <w:szCs w:val="28"/>
                <w:shd w:val="clear" w:color="auto" w:fill="FFFFFF"/>
                <w:vertAlign w:val="superscript"/>
              </w:rPr>
              <w:t>3</w:t>
            </w:r>
            <w:r w:rsidRPr="00631C63">
              <w:rPr>
                <w:rFonts w:ascii="Times New Roman" w:hAnsi="Times New Roman" w:cs="Times New Roman"/>
                <w:bCs/>
                <w:color w:val="000000"/>
                <w:sz w:val="28"/>
                <w:szCs w:val="28"/>
                <w:shd w:val="clear" w:color="auto" w:fill="FFFFFF"/>
              </w:rPr>
              <w:t>Фактор</w:t>
            </w:r>
            <w:r>
              <w:rPr>
                <w:rFonts w:ascii="Times New Roman" w:hAnsi="Times New Roman" w:cs="Times New Roman"/>
                <w:bCs/>
                <w:color w:val="000000"/>
                <w:sz w:val="28"/>
                <w:szCs w:val="28"/>
                <w:shd w:val="clear" w:color="auto" w:fill="FFFFFF"/>
              </w:rPr>
              <w:t xml:space="preserve"> – для данного фактора проводился только простой одномерный анализ, по результатам которого </w:t>
            </w:r>
            <w:r w:rsidR="00057159">
              <w:rPr>
                <w:rFonts w:ascii="Times New Roman" w:hAnsi="Times New Roman" w:cs="Times New Roman"/>
                <w:bCs/>
                <w:color w:val="000000"/>
                <w:sz w:val="28"/>
                <w:szCs w:val="28"/>
                <w:shd w:val="clear" w:color="auto" w:fill="FFFFFF"/>
              </w:rPr>
              <w:t xml:space="preserve">данный </w:t>
            </w:r>
            <w:r>
              <w:rPr>
                <w:rFonts w:ascii="Times New Roman" w:hAnsi="Times New Roman" w:cs="Times New Roman"/>
                <w:bCs/>
                <w:color w:val="000000"/>
                <w:sz w:val="28"/>
                <w:szCs w:val="28"/>
                <w:shd w:val="clear" w:color="auto" w:fill="FFFFFF"/>
              </w:rPr>
              <w:t xml:space="preserve">фактор не </w:t>
            </w:r>
            <w:r w:rsidR="00057159">
              <w:rPr>
                <w:rFonts w:ascii="Times New Roman" w:hAnsi="Times New Roman" w:cs="Times New Roman"/>
                <w:color w:val="000000"/>
                <w:sz w:val="28"/>
                <w:szCs w:val="28"/>
                <w:shd w:val="clear" w:color="auto" w:fill="FFFFFF"/>
              </w:rPr>
              <w:t>показал</w:t>
            </w:r>
            <w:r w:rsidR="00057159" w:rsidRPr="004804AA">
              <w:rPr>
                <w:rFonts w:ascii="Times New Roman" w:hAnsi="Times New Roman" w:cs="Times New Roman"/>
                <w:color w:val="000000"/>
                <w:sz w:val="28"/>
                <w:szCs w:val="28"/>
                <w:shd w:val="clear" w:color="auto" w:fill="FFFFFF"/>
              </w:rPr>
              <w:t xml:space="preserve"> достоверную ассоциацию</w:t>
            </w:r>
            <w:r w:rsidR="00057159">
              <w:rPr>
                <w:rFonts w:ascii="Times New Roman" w:hAnsi="Times New Roman" w:cs="Times New Roman"/>
                <w:color w:val="000000"/>
                <w:sz w:val="28"/>
                <w:szCs w:val="28"/>
                <w:shd w:val="clear" w:color="auto" w:fill="FFFFFF"/>
              </w:rPr>
              <w:t xml:space="preserve"> с миопией и, соответственно, не был включен в многомерный анализ</w:t>
            </w:r>
          </w:p>
        </w:tc>
      </w:tr>
    </w:tbl>
    <w:p w14:paraId="307CF15E" w14:textId="77777777" w:rsidR="00567508" w:rsidRDefault="00567508" w:rsidP="005C37DF">
      <w:pPr>
        <w:spacing w:after="0" w:line="240" w:lineRule="auto"/>
        <w:ind w:firstLine="709"/>
        <w:jc w:val="both"/>
        <w:rPr>
          <w:rFonts w:ascii="Times New Roman" w:hAnsi="Times New Roman" w:cs="Times New Roman"/>
          <w:color w:val="000000"/>
          <w:sz w:val="28"/>
          <w:szCs w:val="28"/>
          <w:shd w:val="clear" w:color="auto" w:fill="FFFFFF"/>
        </w:rPr>
      </w:pPr>
    </w:p>
    <w:p w14:paraId="32E41ED6" w14:textId="258CCC31" w:rsidR="00B94760" w:rsidRDefault="00B94760" w:rsidP="005C37D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Таким образом, н</w:t>
      </w:r>
      <w:r w:rsidR="00374DC5" w:rsidRPr="004804AA">
        <w:rPr>
          <w:rFonts w:ascii="Times New Roman" w:hAnsi="Times New Roman" w:cs="Times New Roman"/>
          <w:color w:val="000000"/>
          <w:sz w:val="28"/>
          <w:szCs w:val="28"/>
          <w:shd w:val="clear" w:color="auto" w:fill="FFFFFF"/>
        </w:rPr>
        <w:t xml:space="preserve">а основании проведенного многофакторного </w:t>
      </w:r>
      <w:r w:rsidR="00A40577">
        <w:rPr>
          <w:rFonts w:ascii="Times New Roman" w:hAnsi="Times New Roman" w:cs="Times New Roman"/>
          <w:color w:val="000000"/>
          <w:sz w:val="28"/>
          <w:szCs w:val="28"/>
          <w:shd w:val="clear" w:color="auto" w:fill="FFFFFF"/>
        </w:rPr>
        <w:t>логистического</w:t>
      </w:r>
      <w:r w:rsidR="00374DC5" w:rsidRPr="004804AA">
        <w:rPr>
          <w:rFonts w:ascii="Times New Roman" w:hAnsi="Times New Roman" w:cs="Times New Roman"/>
          <w:color w:val="000000"/>
          <w:sz w:val="28"/>
          <w:szCs w:val="28"/>
          <w:shd w:val="clear" w:color="auto" w:fill="FFFFFF"/>
        </w:rPr>
        <w:t xml:space="preserve"> </w:t>
      </w:r>
      <w:r w:rsidR="00567508" w:rsidRPr="004804AA">
        <w:rPr>
          <w:rFonts w:ascii="Times New Roman" w:hAnsi="Times New Roman" w:cs="Times New Roman"/>
          <w:color w:val="000000"/>
          <w:sz w:val="28"/>
          <w:szCs w:val="28"/>
          <w:shd w:val="clear" w:color="auto" w:fill="FFFFFF"/>
        </w:rPr>
        <w:t>анализа</w:t>
      </w:r>
      <w:r w:rsidR="00374DC5" w:rsidRPr="004804AA">
        <w:rPr>
          <w:rFonts w:ascii="Times New Roman" w:hAnsi="Times New Roman" w:cs="Times New Roman"/>
          <w:color w:val="000000"/>
          <w:sz w:val="28"/>
          <w:szCs w:val="28"/>
          <w:shd w:val="clear" w:color="auto" w:fill="FFFFFF"/>
        </w:rPr>
        <w:t xml:space="preserve"> с учётом всех вмешивающихся </w:t>
      </w:r>
      <w:r w:rsidR="00567508" w:rsidRPr="004804AA">
        <w:rPr>
          <w:rFonts w:ascii="Times New Roman" w:hAnsi="Times New Roman" w:cs="Times New Roman"/>
          <w:color w:val="000000"/>
          <w:sz w:val="28"/>
          <w:szCs w:val="28"/>
          <w:shd w:val="clear" w:color="auto" w:fill="FFFFFF"/>
        </w:rPr>
        <w:t>факторов</w:t>
      </w:r>
      <w:r w:rsidR="00374DC5" w:rsidRPr="004804AA">
        <w:rPr>
          <w:rFonts w:ascii="Times New Roman" w:hAnsi="Times New Roman" w:cs="Times New Roman"/>
          <w:color w:val="000000"/>
          <w:sz w:val="28"/>
          <w:szCs w:val="28"/>
          <w:shd w:val="clear" w:color="auto" w:fill="FFFFFF"/>
        </w:rPr>
        <w:t xml:space="preserve"> качестве статистически значимых предикторов миопии были определены более высокие уровни обучения: 5-й класс (ОШ 1,78; 95% ДИ 1,26–2,52) и 9-й класс (ОШ 3,34; 95% ДИ 2,32–4,83). И наоборот, активность на открытом воздухе более 2 часов в день (ОШ 0,63; 95% ДИ 0,45–0,88) и регулярные занятия спортом (ОШ 0,69; 95% ДИ 0,52–0,93)</w:t>
      </w:r>
      <w:r>
        <w:rPr>
          <w:rFonts w:ascii="Times New Roman" w:hAnsi="Times New Roman" w:cs="Times New Roman"/>
          <w:color w:val="000000"/>
          <w:sz w:val="28"/>
          <w:szCs w:val="28"/>
          <w:shd w:val="clear" w:color="auto" w:fill="FFFFFF"/>
        </w:rPr>
        <w:t>,</w:t>
      </w:r>
      <w:r w:rsidR="00374DC5" w:rsidRPr="004804AA">
        <w:rPr>
          <w:rFonts w:ascii="Times New Roman" w:hAnsi="Times New Roman" w:cs="Times New Roman"/>
          <w:color w:val="000000"/>
          <w:sz w:val="28"/>
          <w:szCs w:val="28"/>
          <w:shd w:val="clear" w:color="auto" w:fill="FFFFFF"/>
        </w:rPr>
        <w:t xml:space="preserve"> являлись</w:t>
      </w:r>
      <w:r w:rsidR="00085EB8">
        <w:rPr>
          <w:rFonts w:ascii="Times New Roman" w:hAnsi="Times New Roman" w:cs="Times New Roman"/>
          <w:color w:val="000000"/>
          <w:sz w:val="28"/>
          <w:szCs w:val="28"/>
          <w:shd w:val="clear" w:color="auto" w:fill="FFFFFF"/>
        </w:rPr>
        <w:t xml:space="preserve"> факторами, </w:t>
      </w:r>
      <w:r w:rsidR="00085EB8" w:rsidRPr="007C18FC">
        <w:rPr>
          <w:rFonts w:ascii="Times New Roman" w:hAnsi="Times New Roman" w:cs="Times New Roman"/>
          <w:sz w:val="28"/>
          <w:szCs w:val="28"/>
          <w:shd w:val="clear" w:color="auto" w:fill="FFFFFF"/>
        </w:rPr>
        <w:t>снижающими риск возникновения и прогрессирования миопии</w:t>
      </w:r>
      <w:r w:rsidR="00374DC5" w:rsidRPr="004804A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B94760">
        <w:rPr>
          <w:rFonts w:ascii="Times New Roman" w:hAnsi="Times New Roman" w:cs="Times New Roman"/>
          <w:color w:val="000000"/>
          <w:sz w:val="28"/>
          <w:szCs w:val="28"/>
          <w:shd w:val="clear" w:color="auto" w:fill="FFFFFF"/>
        </w:rPr>
        <w:t>ровед</w:t>
      </w:r>
      <w:r>
        <w:rPr>
          <w:rFonts w:ascii="Times New Roman" w:hAnsi="Times New Roman" w:cs="Times New Roman"/>
          <w:color w:val="000000"/>
          <w:sz w:val="28"/>
          <w:szCs w:val="28"/>
          <w:shd w:val="clear" w:color="auto" w:fill="FFFFFF"/>
        </w:rPr>
        <w:t>я</w:t>
      </w:r>
      <w:r w:rsidRPr="00B94760">
        <w:rPr>
          <w:rFonts w:ascii="Times New Roman" w:hAnsi="Times New Roman" w:cs="Times New Roman"/>
          <w:color w:val="000000"/>
          <w:sz w:val="28"/>
          <w:szCs w:val="28"/>
          <w:shd w:val="clear" w:color="auto" w:fill="FFFFFF"/>
        </w:rPr>
        <w:t xml:space="preserve"> статистический </w:t>
      </w:r>
      <w:r w:rsidR="00595EDC">
        <w:rPr>
          <w:rFonts w:ascii="Times New Roman" w:hAnsi="Times New Roman" w:cs="Times New Roman"/>
          <w:color w:val="000000"/>
          <w:sz w:val="28"/>
          <w:szCs w:val="28"/>
          <w:shd w:val="clear" w:color="auto" w:fill="FFFFFF"/>
        </w:rPr>
        <w:t>пере</w:t>
      </w:r>
      <w:r w:rsidRPr="00B94760">
        <w:rPr>
          <w:rFonts w:ascii="Times New Roman" w:hAnsi="Times New Roman" w:cs="Times New Roman"/>
          <w:color w:val="000000"/>
          <w:sz w:val="28"/>
          <w:szCs w:val="28"/>
          <w:shd w:val="clear" w:color="auto" w:fill="FFFFFF"/>
        </w:rPr>
        <w:t>расчет по формуле</w:t>
      </w:r>
      <w:r w:rsidR="00D84BA9">
        <w:rPr>
          <w:rFonts w:ascii="Times New Roman" w:hAnsi="Times New Roman" w:cs="Times New Roman"/>
          <w:color w:val="000000"/>
          <w:sz w:val="28"/>
          <w:szCs w:val="28"/>
          <w:shd w:val="clear" w:color="auto" w:fill="FFFFFF"/>
        </w:rPr>
        <w:t xml:space="preserve"> 9</w:t>
      </w:r>
      <w:r w:rsidRPr="00B94760">
        <w:rPr>
          <w:rFonts w:ascii="Times New Roman" w:hAnsi="Times New Roman" w:cs="Times New Roman"/>
          <w:color w:val="000000"/>
          <w:sz w:val="28"/>
          <w:szCs w:val="28"/>
          <w:shd w:val="clear" w:color="auto" w:fill="FFFFFF"/>
        </w:rPr>
        <w:t xml:space="preserve">: </w:t>
      </w:r>
    </w:p>
    <w:p w14:paraId="4238F738" w14:textId="77777777" w:rsidR="00595EDC" w:rsidRDefault="00595EDC" w:rsidP="005C37DF">
      <w:pPr>
        <w:spacing w:after="0" w:line="240" w:lineRule="auto"/>
        <w:ind w:firstLine="709"/>
        <w:jc w:val="both"/>
        <w:rPr>
          <w:rFonts w:ascii="Times New Roman" w:hAnsi="Times New Roman" w:cs="Times New Roman"/>
          <w:color w:val="000000"/>
          <w:sz w:val="28"/>
          <w:szCs w:val="28"/>
          <w:shd w:val="clear" w:color="auto" w:fill="FFFFFF"/>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595EDC" w14:paraId="17A00678" w14:textId="77777777" w:rsidTr="00D84BA9">
        <w:tc>
          <w:tcPr>
            <w:tcW w:w="8784" w:type="dxa"/>
          </w:tcPr>
          <w:p w14:paraId="7052D490" w14:textId="61380F40" w:rsidR="00595EDC" w:rsidRDefault="007641DE" w:rsidP="005C37DF">
            <w:pPr>
              <w:spacing w:after="0" w:line="240" w:lineRule="auto"/>
              <w:jc w:val="both"/>
              <w:rPr>
                <w:rFonts w:ascii="Times New Roman" w:hAnsi="Times New Roman" w:cs="Times New Roman"/>
                <w:color w:val="000000"/>
                <w:sz w:val="28"/>
                <w:szCs w:val="28"/>
                <w:shd w:val="clear" w:color="auto" w:fill="FFFFFF"/>
              </w:rPr>
            </w:pPr>
            <m:oMathPara>
              <m:oMath>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1</m:t>
                    </m:r>
                  </m:num>
                  <m:den>
                    <m:r>
                      <w:rPr>
                        <w:rFonts w:ascii="Cambria Math" w:hAnsi="Cambria Math" w:cs="Times New Roman"/>
                        <w:color w:val="000000"/>
                        <w:sz w:val="28"/>
                        <w:szCs w:val="28"/>
                        <w:shd w:val="clear" w:color="auto" w:fill="FFFFFF"/>
                      </w:rPr>
                      <m:t>ОШ</m:t>
                    </m:r>
                  </m:den>
                </m:f>
                <m:r>
                  <w:rPr>
                    <w:rFonts w:ascii="Cambria Math" w:hAnsi="Cambria Math" w:cs="Times New Roman"/>
                    <w:color w:val="000000"/>
                    <w:sz w:val="28"/>
                    <w:szCs w:val="28"/>
                    <w:shd w:val="clear" w:color="auto" w:fill="FFFFFF"/>
                  </w:rPr>
                  <m:t>=</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1</m:t>
                    </m:r>
                  </m:num>
                  <m:den>
                    <m:r>
                      <w:rPr>
                        <w:rFonts w:ascii="Cambria Math" w:hAnsi="Cambria Math" w:cs="Times New Roman"/>
                        <w:color w:val="000000"/>
                        <w:sz w:val="28"/>
                        <w:szCs w:val="28"/>
                        <w:shd w:val="clear" w:color="auto" w:fill="FFFFFF"/>
                      </w:rPr>
                      <m:t>0, 63</m:t>
                    </m:r>
                  </m:den>
                </m:f>
                <m:r>
                  <w:rPr>
                    <w:rFonts w:ascii="Cambria Math" w:hAnsi="Cambria Math" w:cs="Times New Roman"/>
                    <w:color w:val="000000"/>
                    <w:sz w:val="28"/>
                    <w:szCs w:val="28"/>
                    <w:shd w:val="clear" w:color="auto" w:fill="FFFFFF"/>
                  </w:rPr>
                  <m:t xml:space="preserve">=1,59  и  </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1</m:t>
                    </m:r>
                  </m:num>
                  <m:den>
                    <m:r>
                      <w:rPr>
                        <w:rFonts w:ascii="Cambria Math" w:hAnsi="Cambria Math" w:cs="Times New Roman"/>
                        <w:color w:val="000000"/>
                        <w:sz w:val="28"/>
                        <w:szCs w:val="28"/>
                        <w:shd w:val="clear" w:color="auto" w:fill="FFFFFF"/>
                      </w:rPr>
                      <m:t>0,69</m:t>
                    </m:r>
                  </m:den>
                </m:f>
                <m:r>
                  <w:rPr>
                    <w:rFonts w:ascii="Cambria Math" w:hAnsi="Cambria Math" w:cs="Times New Roman"/>
                    <w:color w:val="000000"/>
                    <w:sz w:val="28"/>
                    <w:szCs w:val="28"/>
                    <w:shd w:val="clear" w:color="auto" w:fill="FFFFFF"/>
                  </w:rPr>
                  <m:t>=1,45,</m:t>
                </m:r>
              </m:oMath>
            </m:oMathPara>
          </w:p>
        </w:tc>
        <w:tc>
          <w:tcPr>
            <w:tcW w:w="561" w:type="dxa"/>
            <w:vAlign w:val="center"/>
          </w:tcPr>
          <w:p w14:paraId="34B179F2" w14:textId="54760654" w:rsidR="00595EDC" w:rsidRDefault="00D84BA9" w:rsidP="00595EDC">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tc>
      </w:tr>
    </w:tbl>
    <w:p w14:paraId="1E70EDDF" w14:textId="77777777" w:rsidR="00595EDC" w:rsidRDefault="00595EDC" w:rsidP="005C37DF">
      <w:pPr>
        <w:spacing w:after="0" w:line="240" w:lineRule="auto"/>
        <w:ind w:firstLine="709"/>
        <w:jc w:val="both"/>
        <w:rPr>
          <w:rFonts w:ascii="Times New Roman" w:hAnsi="Times New Roman" w:cs="Times New Roman"/>
          <w:color w:val="000000"/>
          <w:sz w:val="28"/>
          <w:szCs w:val="28"/>
          <w:shd w:val="clear" w:color="auto" w:fill="FFFFFF"/>
        </w:rPr>
      </w:pPr>
    </w:p>
    <w:p w14:paraId="03704F70" w14:textId="42E53FF0" w:rsidR="00B94760" w:rsidRDefault="00595EDC" w:rsidP="00595ED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мы можем говорить о том, что р</w:t>
      </w:r>
      <w:r w:rsidRPr="00B94760">
        <w:rPr>
          <w:rFonts w:ascii="Times New Roman" w:hAnsi="Times New Roman" w:cs="Times New Roman"/>
          <w:sz w:val="28"/>
          <w:szCs w:val="28"/>
        </w:rPr>
        <w:t xml:space="preserve">иск развития миопии у детей, проводящих на открытом воздухе менее 2 часов в день на </w:t>
      </w:r>
      <w:r>
        <w:rPr>
          <w:rFonts w:ascii="Times New Roman" w:hAnsi="Times New Roman" w:cs="Times New Roman"/>
          <w:sz w:val="28"/>
          <w:szCs w:val="28"/>
        </w:rPr>
        <w:t>59</w:t>
      </w:r>
      <w:r w:rsidRPr="00B94760">
        <w:rPr>
          <w:rFonts w:ascii="Times New Roman" w:hAnsi="Times New Roman" w:cs="Times New Roman"/>
          <w:sz w:val="28"/>
          <w:szCs w:val="28"/>
        </w:rPr>
        <w:t xml:space="preserve">% </w:t>
      </w:r>
      <w:r w:rsidR="000230F8">
        <w:rPr>
          <w:rFonts w:ascii="Times New Roman" w:hAnsi="Times New Roman" w:cs="Times New Roman"/>
          <w:sz w:val="28"/>
          <w:szCs w:val="28"/>
        </w:rPr>
        <w:t xml:space="preserve">выше, </w:t>
      </w:r>
      <w:r>
        <w:rPr>
          <w:rFonts w:ascii="Times New Roman" w:hAnsi="Times New Roman" w:cs="Times New Roman"/>
          <w:sz w:val="28"/>
          <w:szCs w:val="28"/>
        </w:rPr>
        <w:t xml:space="preserve">чем у детей, </w:t>
      </w:r>
      <w:r w:rsidR="00B94760" w:rsidRPr="00B94760">
        <w:rPr>
          <w:rFonts w:ascii="Times New Roman" w:hAnsi="Times New Roman" w:cs="Times New Roman"/>
          <w:color w:val="000000"/>
          <w:sz w:val="28"/>
          <w:szCs w:val="28"/>
          <w:shd w:val="clear" w:color="auto" w:fill="FFFFFF"/>
        </w:rPr>
        <w:t>которые гуляют более 2 часов в день</w:t>
      </w:r>
      <w:r w:rsidR="000230F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 р</w:t>
      </w:r>
      <w:r w:rsidRPr="00B94760">
        <w:rPr>
          <w:rFonts w:ascii="Times New Roman" w:hAnsi="Times New Roman" w:cs="Times New Roman"/>
          <w:sz w:val="28"/>
          <w:szCs w:val="28"/>
        </w:rPr>
        <w:t xml:space="preserve">иск развития миопии у </w:t>
      </w:r>
      <w:r>
        <w:rPr>
          <w:rFonts w:ascii="Times New Roman" w:hAnsi="Times New Roman" w:cs="Times New Roman"/>
          <w:sz w:val="28"/>
          <w:szCs w:val="28"/>
        </w:rPr>
        <w:t xml:space="preserve">неспортивных детей – на 45% выше, чем у детей регулярно занимающихся спортом. </w:t>
      </w:r>
    </w:p>
    <w:p w14:paraId="27C10380" w14:textId="3B7997B9"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color w:val="000000"/>
          <w:sz w:val="28"/>
          <w:szCs w:val="28"/>
          <w:shd w:val="clear" w:color="auto" w:fill="FFFFFF"/>
        </w:rPr>
        <w:t>Анализ с учетом вмешивающихся факторов показал, что распространенность миопии, которая увеличивается с классом (возрастом), почти на 30% ниже среди детей, посещающих сп</w:t>
      </w:r>
      <w:r w:rsidRPr="00E81FA1">
        <w:rPr>
          <w:rFonts w:ascii="Times New Roman" w:hAnsi="Times New Roman" w:cs="Times New Roman"/>
          <w:color w:val="000000"/>
          <w:sz w:val="28"/>
          <w:szCs w:val="28"/>
          <w:shd w:val="clear" w:color="auto" w:fill="FFFFFF"/>
        </w:rPr>
        <w:t>ортив</w:t>
      </w:r>
      <w:r w:rsidRPr="004804AA">
        <w:rPr>
          <w:rFonts w:ascii="Times New Roman" w:hAnsi="Times New Roman" w:cs="Times New Roman"/>
          <w:color w:val="000000"/>
          <w:sz w:val="28"/>
          <w:szCs w:val="28"/>
          <w:shd w:val="clear" w:color="auto" w:fill="FFFFFF"/>
        </w:rPr>
        <w:t xml:space="preserve">ные секции и проводящих более 2 часов в день на открытом </w:t>
      </w:r>
      <w:r w:rsidRPr="00E81FA1">
        <w:rPr>
          <w:rFonts w:ascii="Times New Roman" w:hAnsi="Times New Roman" w:cs="Times New Roman"/>
          <w:color w:val="000000"/>
          <w:sz w:val="28"/>
          <w:szCs w:val="28"/>
          <w:shd w:val="clear" w:color="auto" w:fill="FFFFFF"/>
        </w:rPr>
        <w:t xml:space="preserve">воздухе. </w:t>
      </w:r>
      <w:r w:rsidR="007D63B7" w:rsidRPr="00E81FA1">
        <w:rPr>
          <w:rFonts w:ascii="Times New Roman" w:hAnsi="Times New Roman" w:cs="Times New Roman"/>
          <w:sz w:val="28"/>
          <w:szCs w:val="28"/>
        </w:rPr>
        <w:t>[24</w:t>
      </w:r>
      <w:r w:rsidR="007C23F8" w:rsidRPr="00E81FA1">
        <w:rPr>
          <w:rFonts w:ascii="Times New Roman" w:hAnsi="Times New Roman" w:cs="Times New Roman"/>
          <w:sz w:val="28"/>
          <w:szCs w:val="28"/>
        </w:rPr>
        <w:t>8]</w:t>
      </w:r>
    </w:p>
    <w:p w14:paraId="4E1129D8" w14:textId="12F453A1" w:rsidR="009F0FB4" w:rsidRDefault="009F0FB4" w:rsidP="00595ED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8A56294" w14:textId="247F98AF" w:rsidR="00374DC5" w:rsidRPr="0073206A" w:rsidRDefault="00374DC5" w:rsidP="005C37DF">
      <w:pPr>
        <w:spacing w:after="0" w:line="240" w:lineRule="auto"/>
        <w:ind w:firstLine="709"/>
        <w:rPr>
          <w:rFonts w:ascii="Times New Roman" w:hAnsi="Times New Roman" w:cs="Times New Roman"/>
          <w:b/>
          <w:bCs/>
          <w:sz w:val="28"/>
          <w:szCs w:val="28"/>
        </w:rPr>
      </w:pPr>
      <w:r w:rsidRPr="0073206A">
        <w:rPr>
          <w:rFonts w:ascii="Times New Roman" w:hAnsi="Times New Roman" w:cs="Times New Roman"/>
          <w:b/>
          <w:bCs/>
          <w:sz w:val="28"/>
          <w:szCs w:val="28"/>
        </w:rPr>
        <w:lastRenderedPageBreak/>
        <w:t>3.3 Дистантный компьютерный скрининг</w:t>
      </w:r>
    </w:p>
    <w:p w14:paraId="1BC39791" w14:textId="01EAF07C" w:rsidR="00374DC5"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Для определения достоверности и эффективности нового метода выявления нарушений зрения, дистантной компьютерной интерактивной программы скрининга, было проведено исследование, целью которого являлось сравнение его со стандартным офтальмологическим обследованием, принятым в качестве эталонного метода. Исследование включало в себя 3 этапа: офтальмологический осмотр, затем дистантный компьютерный скрининг, по результатам которых дети с выявленным снижением зрения отбирались для 3 этапа – повторного офтальмологического обследования. Схема этапности представлена на рисунке</w:t>
      </w:r>
      <w:r w:rsidR="007E0515">
        <w:rPr>
          <w:rFonts w:ascii="Times New Roman" w:hAnsi="Times New Roman" w:cs="Times New Roman"/>
          <w:sz w:val="28"/>
          <w:szCs w:val="28"/>
        </w:rPr>
        <w:t xml:space="preserve"> </w:t>
      </w:r>
      <w:r w:rsidR="007263F7">
        <w:rPr>
          <w:rFonts w:ascii="Times New Roman" w:hAnsi="Times New Roman" w:cs="Times New Roman"/>
          <w:sz w:val="28"/>
          <w:szCs w:val="28"/>
        </w:rPr>
        <w:t>1</w:t>
      </w:r>
      <w:r w:rsidR="002D062E">
        <w:rPr>
          <w:rFonts w:ascii="Times New Roman" w:hAnsi="Times New Roman" w:cs="Times New Roman"/>
          <w:sz w:val="28"/>
          <w:szCs w:val="28"/>
        </w:rPr>
        <w:t>1</w:t>
      </w:r>
      <w:r w:rsidRPr="004804AA">
        <w:rPr>
          <w:rFonts w:ascii="Times New Roman" w:hAnsi="Times New Roman" w:cs="Times New Roman"/>
          <w:sz w:val="28"/>
          <w:szCs w:val="28"/>
        </w:rPr>
        <w:t>.</w:t>
      </w:r>
    </w:p>
    <w:p w14:paraId="376BD530" w14:textId="4F1E9B20" w:rsidR="002F4E37" w:rsidRDefault="002F4E37"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A0AFAB" wp14:editId="4F847600">
            <wp:extent cx="5486400" cy="3200400"/>
            <wp:effectExtent l="0" t="0" r="57150" b="0"/>
            <wp:docPr id="138328926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B608C9C" w14:textId="75B48DE9" w:rsidR="007E0515" w:rsidRPr="004804AA" w:rsidRDefault="007E0515" w:rsidP="007E0515">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Рисунок</w:t>
      </w:r>
      <w:r>
        <w:rPr>
          <w:rFonts w:ascii="Times New Roman" w:hAnsi="Times New Roman" w:cs="Times New Roman"/>
          <w:sz w:val="28"/>
          <w:szCs w:val="28"/>
        </w:rPr>
        <w:t xml:space="preserve"> </w:t>
      </w:r>
      <w:r w:rsidR="007263F7">
        <w:rPr>
          <w:rFonts w:ascii="Times New Roman" w:hAnsi="Times New Roman" w:cs="Times New Roman"/>
          <w:sz w:val="28"/>
          <w:szCs w:val="28"/>
        </w:rPr>
        <w:t>1</w:t>
      </w:r>
      <w:r w:rsidR="002D062E">
        <w:rPr>
          <w:rFonts w:ascii="Times New Roman" w:hAnsi="Times New Roman" w:cs="Times New Roman"/>
          <w:sz w:val="28"/>
          <w:szCs w:val="28"/>
        </w:rPr>
        <w:t>1</w:t>
      </w:r>
      <w:r>
        <w:rPr>
          <w:rFonts w:ascii="Times New Roman" w:hAnsi="Times New Roman" w:cs="Times New Roman"/>
          <w:sz w:val="28"/>
          <w:szCs w:val="28"/>
        </w:rPr>
        <w:t xml:space="preserve"> -</w:t>
      </w:r>
      <w:r w:rsidRPr="004804AA">
        <w:rPr>
          <w:rFonts w:ascii="Times New Roman" w:hAnsi="Times New Roman" w:cs="Times New Roman"/>
          <w:sz w:val="28"/>
          <w:szCs w:val="28"/>
        </w:rPr>
        <w:t xml:space="preserve"> Этапы исследования нарушений зрения среди школьников</w:t>
      </w:r>
    </w:p>
    <w:p w14:paraId="1ED5746A" w14:textId="77777777" w:rsidR="00185000" w:rsidRDefault="00185000" w:rsidP="005C37DF">
      <w:pPr>
        <w:spacing w:after="0" w:line="240" w:lineRule="auto"/>
        <w:ind w:firstLine="709"/>
        <w:jc w:val="both"/>
        <w:rPr>
          <w:rFonts w:ascii="Times New Roman" w:hAnsi="Times New Roman" w:cs="Times New Roman"/>
          <w:sz w:val="28"/>
          <w:szCs w:val="28"/>
        </w:rPr>
      </w:pPr>
    </w:p>
    <w:p w14:paraId="740F8074" w14:textId="7C73072E"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На первом этапе обследований среди 1276 детей выявлено 420 школьников (32,9%) с нарушениями рефракции. Среди учащихся первых классов доля школьников с теми или иными рефракционными аномалиями составила 20,2%; среди пятиклассников – 38,6%; среди девятиклассников – 43,8%. Результаты представлены в таблице</w:t>
      </w:r>
      <w:r w:rsidR="00185000">
        <w:rPr>
          <w:rFonts w:ascii="Times New Roman" w:hAnsi="Times New Roman" w:cs="Times New Roman"/>
          <w:sz w:val="28"/>
          <w:szCs w:val="28"/>
        </w:rPr>
        <w:t xml:space="preserve"> </w:t>
      </w:r>
      <w:r w:rsidR="00C636AD" w:rsidRPr="00672E3D">
        <w:rPr>
          <w:rFonts w:ascii="Times New Roman" w:hAnsi="Times New Roman" w:cs="Times New Roman"/>
          <w:sz w:val="28"/>
          <w:szCs w:val="28"/>
        </w:rPr>
        <w:t>22</w:t>
      </w:r>
      <w:r w:rsidRPr="004804AA">
        <w:rPr>
          <w:rFonts w:ascii="Times New Roman" w:hAnsi="Times New Roman" w:cs="Times New Roman"/>
          <w:sz w:val="28"/>
          <w:szCs w:val="28"/>
        </w:rPr>
        <w:t>.</w:t>
      </w:r>
    </w:p>
    <w:p w14:paraId="11BFDFF3"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08FF1FDC" w14:textId="2BFE0DC3" w:rsidR="00374DC5" w:rsidRDefault="00374DC5" w:rsidP="00185000">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Таблица</w:t>
      </w:r>
      <w:r w:rsidR="00185000">
        <w:rPr>
          <w:rFonts w:ascii="Times New Roman" w:hAnsi="Times New Roman" w:cs="Times New Roman"/>
          <w:sz w:val="28"/>
          <w:szCs w:val="28"/>
        </w:rPr>
        <w:t xml:space="preserve"> </w:t>
      </w:r>
      <w:r w:rsidR="00C636AD" w:rsidRPr="00C636AD">
        <w:rPr>
          <w:rFonts w:ascii="Times New Roman" w:hAnsi="Times New Roman" w:cs="Times New Roman"/>
          <w:sz w:val="28"/>
          <w:szCs w:val="28"/>
        </w:rPr>
        <w:t>22</w:t>
      </w:r>
      <w:r w:rsidR="00185000">
        <w:rPr>
          <w:rFonts w:ascii="Times New Roman" w:hAnsi="Times New Roman" w:cs="Times New Roman"/>
          <w:sz w:val="28"/>
          <w:szCs w:val="28"/>
        </w:rPr>
        <w:t xml:space="preserve"> -</w:t>
      </w:r>
      <w:r w:rsidRPr="004804AA">
        <w:rPr>
          <w:rFonts w:ascii="Times New Roman" w:hAnsi="Times New Roman" w:cs="Times New Roman"/>
          <w:sz w:val="28"/>
          <w:szCs w:val="28"/>
        </w:rPr>
        <w:t xml:space="preserve"> Количество детей с выявленным нарушением рефракции</w:t>
      </w:r>
    </w:p>
    <w:p w14:paraId="2A03FC50" w14:textId="77777777" w:rsidR="00185000" w:rsidRPr="004804AA" w:rsidRDefault="00185000" w:rsidP="00185000">
      <w:pPr>
        <w:spacing w:after="0" w:line="240" w:lineRule="auto"/>
        <w:jc w:val="both"/>
        <w:rPr>
          <w:rFonts w:ascii="Times New Roman" w:hAnsi="Times New Roman" w:cs="Times New Roman"/>
          <w:sz w:val="28"/>
          <w:szCs w:val="28"/>
        </w:rPr>
      </w:pPr>
    </w:p>
    <w:tbl>
      <w:tblPr>
        <w:tblStyle w:val="af0"/>
        <w:tblW w:w="9345" w:type="dxa"/>
        <w:tblLayout w:type="fixed"/>
        <w:tblLook w:val="04A0" w:firstRow="1" w:lastRow="0" w:firstColumn="1" w:lastColumn="0" w:noHBand="0" w:noVBand="1"/>
      </w:tblPr>
      <w:tblGrid>
        <w:gridCol w:w="1129"/>
        <w:gridCol w:w="993"/>
        <w:gridCol w:w="2835"/>
        <w:gridCol w:w="1701"/>
        <w:gridCol w:w="2687"/>
      </w:tblGrid>
      <w:tr w:rsidR="00374DC5" w:rsidRPr="004804AA" w14:paraId="62A6093D" w14:textId="77777777" w:rsidTr="00185000">
        <w:trPr>
          <w:trHeight w:val="825"/>
        </w:trPr>
        <w:tc>
          <w:tcPr>
            <w:tcW w:w="1129" w:type="dxa"/>
            <w:hideMark/>
          </w:tcPr>
          <w:p w14:paraId="3E75DF56"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bookmarkStart w:id="50" w:name="_Hlk18862472"/>
            <w:r w:rsidRPr="004804AA">
              <w:rPr>
                <w:rFonts w:ascii="Times New Roman" w:eastAsia="Times New Roman" w:hAnsi="Times New Roman" w:cs="Times New Roman"/>
                <w:sz w:val="28"/>
                <w:szCs w:val="28"/>
              </w:rPr>
              <w:t> Класс</w:t>
            </w:r>
          </w:p>
        </w:tc>
        <w:tc>
          <w:tcPr>
            <w:tcW w:w="993" w:type="dxa"/>
          </w:tcPr>
          <w:p w14:paraId="4B05CAB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Всего детей</w:t>
            </w:r>
          </w:p>
        </w:tc>
        <w:tc>
          <w:tcPr>
            <w:tcW w:w="2835" w:type="dxa"/>
          </w:tcPr>
          <w:p w14:paraId="383EE4F0" w14:textId="74B17342"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Первый этап- офтальмологическо</w:t>
            </w:r>
            <w:r w:rsidR="00185000">
              <w:rPr>
                <w:rFonts w:ascii="Times New Roman" w:eastAsia="Times New Roman" w:hAnsi="Times New Roman" w:cs="Times New Roman"/>
                <w:sz w:val="28"/>
                <w:szCs w:val="28"/>
              </w:rPr>
              <w:t>е</w:t>
            </w:r>
            <w:r w:rsidRPr="004804AA">
              <w:rPr>
                <w:rFonts w:ascii="Times New Roman" w:eastAsia="Times New Roman" w:hAnsi="Times New Roman" w:cs="Times New Roman"/>
                <w:sz w:val="28"/>
                <w:szCs w:val="28"/>
              </w:rPr>
              <w:t xml:space="preserve"> обследование</w:t>
            </w:r>
          </w:p>
        </w:tc>
        <w:tc>
          <w:tcPr>
            <w:tcW w:w="1701" w:type="dxa"/>
          </w:tcPr>
          <w:p w14:paraId="5FE19AD6"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Дистантный скрининг</w:t>
            </w:r>
          </w:p>
        </w:tc>
        <w:tc>
          <w:tcPr>
            <w:tcW w:w="2687" w:type="dxa"/>
            <w:hideMark/>
          </w:tcPr>
          <w:p w14:paraId="6CFDE0CD"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Третий этап - офтальмологическое обследование</w:t>
            </w:r>
          </w:p>
        </w:tc>
      </w:tr>
      <w:tr w:rsidR="00374DC5" w:rsidRPr="004804AA" w14:paraId="1BF30E1F" w14:textId="77777777" w:rsidTr="00185000">
        <w:trPr>
          <w:trHeight w:val="654"/>
        </w:trPr>
        <w:tc>
          <w:tcPr>
            <w:tcW w:w="1129" w:type="dxa"/>
            <w:hideMark/>
          </w:tcPr>
          <w:p w14:paraId="16BD513D"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 xml:space="preserve">1-й </w:t>
            </w:r>
          </w:p>
        </w:tc>
        <w:tc>
          <w:tcPr>
            <w:tcW w:w="993" w:type="dxa"/>
          </w:tcPr>
          <w:p w14:paraId="77E25019"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491</w:t>
            </w:r>
          </w:p>
        </w:tc>
        <w:tc>
          <w:tcPr>
            <w:tcW w:w="2835" w:type="dxa"/>
          </w:tcPr>
          <w:p w14:paraId="4027BF1A"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99</w:t>
            </w:r>
          </w:p>
        </w:tc>
        <w:tc>
          <w:tcPr>
            <w:tcW w:w="1701" w:type="dxa"/>
          </w:tcPr>
          <w:p w14:paraId="4FDB1133"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116</w:t>
            </w:r>
          </w:p>
        </w:tc>
        <w:tc>
          <w:tcPr>
            <w:tcW w:w="2687" w:type="dxa"/>
            <w:hideMark/>
          </w:tcPr>
          <w:p w14:paraId="222FB9AE"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97</w:t>
            </w:r>
          </w:p>
        </w:tc>
      </w:tr>
      <w:tr w:rsidR="00374DC5" w:rsidRPr="004804AA" w14:paraId="1B6D426F" w14:textId="77777777" w:rsidTr="00185000">
        <w:trPr>
          <w:trHeight w:val="654"/>
        </w:trPr>
        <w:tc>
          <w:tcPr>
            <w:tcW w:w="1129" w:type="dxa"/>
            <w:hideMark/>
          </w:tcPr>
          <w:p w14:paraId="567180CB"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5-й</w:t>
            </w:r>
          </w:p>
        </w:tc>
        <w:tc>
          <w:tcPr>
            <w:tcW w:w="993" w:type="dxa"/>
          </w:tcPr>
          <w:p w14:paraId="5B66DB2A"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438</w:t>
            </w:r>
          </w:p>
        </w:tc>
        <w:tc>
          <w:tcPr>
            <w:tcW w:w="2835" w:type="dxa"/>
          </w:tcPr>
          <w:p w14:paraId="13F2B7EC"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169</w:t>
            </w:r>
          </w:p>
        </w:tc>
        <w:tc>
          <w:tcPr>
            <w:tcW w:w="1701" w:type="dxa"/>
          </w:tcPr>
          <w:p w14:paraId="61868E2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167</w:t>
            </w:r>
          </w:p>
        </w:tc>
        <w:tc>
          <w:tcPr>
            <w:tcW w:w="2687" w:type="dxa"/>
            <w:hideMark/>
          </w:tcPr>
          <w:p w14:paraId="020881EE"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162</w:t>
            </w:r>
          </w:p>
        </w:tc>
      </w:tr>
      <w:tr w:rsidR="00374DC5" w:rsidRPr="004804AA" w14:paraId="7F0E1F68" w14:textId="77777777" w:rsidTr="00185000">
        <w:trPr>
          <w:trHeight w:val="654"/>
        </w:trPr>
        <w:tc>
          <w:tcPr>
            <w:tcW w:w="1129" w:type="dxa"/>
            <w:hideMark/>
          </w:tcPr>
          <w:p w14:paraId="499A4DEE"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9-й</w:t>
            </w:r>
          </w:p>
        </w:tc>
        <w:tc>
          <w:tcPr>
            <w:tcW w:w="993" w:type="dxa"/>
          </w:tcPr>
          <w:p w14:paraId="3FAC7762"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347</w:t>
            </w:r>
          </w:p>
        </w:tc>
        <w:tc>
          <w:tcPr>
            <w:tcW w:w="2835" w:type="dxa"/>
          </w:tcPr>
          <w:p w14:paraId="566CAEDC"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152</w:t>
            </w:r>
          </w:p>
        </w:tc>
        <w:tc>
          <w:tcPr>
            <w:tcW w:w="1701" w:type="dxa"/>
          </w:tcPr>
          <w:p w14:paraId="227D19F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157</w:t>
            </w:r>
          </w:p>
        </w:tc>
        <w:tc>
          <w:tcPr>
            <w:tcW w:w="2687" w:type="dxa"/>
            <w:hideMark/>
          </w:tcPr>
          <w:p w14:paraId="345A1616"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148</w:t>
            </w:r>
          </w:p>
        </w:tc>
      </w:tr>
    </w:tbl>
    <w:p w14:paraId="0F2972DE" w14:textId="587A7471" w:rsidR="00DE42BD" w:rsidRDefault="00DE42BD" w:rsidP="00DE42BD">
      <w:pPr>
        <w:jc w:val="right"/>
      </w:pPr>
      <w:r w:rsidRPr="008F508D">
        <w:rPr>
          <w:rFonts w:ascii="Times New Roman" w:hAnsi="Times New Roman" w:cs="Times New Roman"/>
          <w:sz w:val="28"/>
          <w:szCs w:val="24"/>
        </w:rPr>
        <w:lastRenderedPageBreak/>
        <w:t>Продолжение таблицы</w:t>
      </w:r>
      <w:r>
        <w:rPr>
          <w:rFonts w:ascii="Times New Roman" w:hAnsi="Times New Roman" w:cs="Times New Roman"/>
          <w:sz w:val="28"/>
          <w:szCs w:val="24"/>
        </w:rPr>
        <w:t xml:space="preserve"> 22</w:t>
      </w:r>
    </w:p>
    <w:tbl>
      <w:tblPr>
        <w:tblStyle w:val="af0"/>
        <w:tblW w:w="9345" w:type="dxa"/>
        <w:tblLayout w:type="fixed"/>
        <w:tblLook w:val="04A0" w:firstRow="1" w:lastRow="0" w:firstColumn="1" w:lastColumn="0" w:noHBand="0" w:noVBand="1"/>
      </w:tblPr>
      <w:tblGrid>
        <w:gridCol w:w="1129"/>
        <w:gridCol w:w="993"/>
        <w:gridCol w:w="2835"/>
        <w:gridCol w:w="1701"/>
        <w:gridCol w:w="2687"/>
      </w:tblGrid>
      <w:tr w:rsidR="00374DC5" w:rsidRPr="004804AA" w14:paraId="17459E9A" w14:textId="77777777" w:rsidTr="00185000">
        <w:trPr>
          <w:trHeight w:val="654"/>
        </w:trPr>
        <w:tc>
          <w:tcPr>
            <w:tcW w:w="1129" w:type="dxa"/>
            <w:hideMark/>
          </w:tcPr>
          <w:p w14:paraId="5BD7DBAE"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Всего</w:t>
            </w:r>
          </w:p>
        </w:tc>
        <w:tc>
          <w:tcPr>
            <w:tcW w:w="993" w:type="dxa"/>
          </w:tcPr>
          <w:p w14:paraId="031388A4" w14:textId="77777777" w:rsidR="00374DC5" w:rsidRPr="004804AA" w:rsidRDefault="00374DC5" w:rsidP="00333421">
            <w:pPr>
              <w:spacing w:after="0" w:line="240" w:lineRule="auto"/>
              <w:jc w:val="center"/>
              <w:rPr>
                <w:rFonts w:ascii="Times New Roman" w:eastAsia="Times New Roman" w:hAnsi="Times New Roman" w:cs="Times New Roman"/>
                <w:b/>
                <w:bCs/>
                <w:sz w:val="28"/>
                <w:szCs w:val="28"/>
              </w:rPr>
            </w:pPr>
            <w:r w:rsidRPr="004804AA">
              <w:rPr>
                <w:rFonts w:ascii="Times New Roman" w:eastAsia="Times New Roman" w:hAnsi="Times New Roman" w:cs="Times New Roman"/>
                <w:b/>
                <w:bCs/>
                <w:sz w:val="28"/>
                <w:szCs w:val="28"/>
              </w:rPr>
              <w:t>1276</w:t>
            </w:r>
          </w:p>
        </w:tc>
        <w:tc>
          <w:tcPr>
            <w:tcW w:w="2835" w:type="dxa"/>
          </w:tcPr>
          <w:p w14:paraId="1F6DBAAC" w14:textId="77777777" w:rsidR="00374DC5" w:rsidRPr="004804AA" w:rsidRDefault="00374DC5" w:rsidP="00333421">
            <w:pPr>
              <w:spacing w:after="0" w:line="240" w:lineRule="auto"/>
              <w:jc w:val="center"/>
              <w:rPr>
                <w:rFonts w:ascii="Times New Roman" w:eastAsia="Times New Roman" w:hAnsi="Times New Roman" w:cs="Times New Roman"/>
                <w:b/>
                <w:bCs/>
                <w:sz w:val="28"/>
                <w:szCs w:val="28"/>
              </w:rPr>
            </w:pPr>
            <w:r w:rsidRPr="004804AA">
              <w:rPr>
                <w:rFonts w:ascii="Times New Roman" w:eastAsia="Times New Roman" w:hAnsi="Times New Roman" w:cs="Times New Roman"/>
                <w:b/>
                <w:bCs/>
                <w:sz w:val="28"/>
                <w:szCs w:val="28"/>
              </w:rPr>
              <w:t>420</w:t>
            </w:r>
          </w:p>
        </w:tc>
        <w:tc>
          <w:tcPr>
            <w:tcW w:w="1701" w:type="dxa"/>
          </w:tcPr>
          <w:p w14:paraId="4F9F09B7" w14:textId="77777777" w:rsidR="00374DC5" w:rsidRPr="004804AA" w:rsidRDefault="00374DC5" w:rsidP="00333421">
            <w:pPr>
              <w:spacing w:after="0" w:line="240" w:lineRule="auto"/>
              <w:jc w:val="center"/>
              <w:rPr>
                <w:rFonts w:ascii="Times New Roman" w:eastAsia="Times New Roman" w:hAnsi="Times New Roman" w:cs="Times New Roman"/>
                <w:b/>
                <w:bCs/>
                <w:sz w:val="28"/>
                <w:szCs w:val="28"/>
              </w:rPr>
            </w:pPr>
            <w:r w:rsidRPr="004804AA">
              <w:rPr>
                <w:rFonts w:ascii="Times New Roman" w:eastAsia="Times New Roman" w:hAnsi="Times New Roman" w:cs="Times New Roman"/>
                <w:b/>
                <w:bCs/>
                <w:sz w:val="28"/>
                <w:szCs w:val="28"/>
              </w:rPr>
              <w:t>440</w:t>
            </w:r>
          </w:p>
        </w:tc>
        <w:tc>
          <w:tcPr>
            <w:tcW w:w="2687" w:type="dxa"/>
            <w:hideMark/>
          </w:tcPr>
          <w:p w14:paraId="234488ED" w14:textId="77777777" w:rsidR="00374DC5" w:rsidRPr="004804AA" w:rsidRDefault="00374DC5" w:rsidP="00333421">
            <w:pPr>
              <w:spacing w:after="0" w:line="240" w:lineRule="auto"/>
              <w:jc w:val="center"/>
              <w:rPr>
                <w:rFonts w:ascii="Times New Roman" w:eastAsia="Times New Roman" w:hAnsi="Times New Roman" w:cs="Times New Roman"/>
                <w:b/>
                <w:bCs/>
                <w:sz w:val="28"/>
                <w:szCs w:val="28"/>
              </w:rPr>
            </w:pPr>
            <w:r w:rsidRPr="004804AA">
              <w:rPr>
                <w:rFonts w:ascii="Times New Roman" w:eastAsia="Times New Roman" w:hAnsi="Times New Roman" w:cs="Times New Roman"/>
                <w:b/>
                <w:bCs/>
                <w:sz w:val="28"/>
                <w:szCs w:val="28"/>
              </w:rPr>
              <w:t>407</w:t>
            </w:r>
          </w:p>
        </w:tc>
      </w:tr>
      <w:bookmarkEnd w:id="50"/>
    </w:tbl>
    <w:p w14:paraId="1E98F016" w14:textId="77777777" w:rsidR="00333421" w:rsidRDefault="00333421" w:rsidP="005C37DF">
      <w:pPr>
        <w:spacing w:after="0" w:line="240" w:lineRule="auto"/>
        <w:ind w:firstLine="709"/>
        <w:jc w:val="both"/>
        <w:rPr>
          <w:rFonts w:ascii="Times New Roman" w:hAnsi="Times New Roman" w:cs="Times New Roman"/>
          <w:sz w:val="28"/>
          <w:szCs w:val="28"/>
        </w:rPr>
      </w:pPr>
    </w:p>
    <w:p w14:paraId="64E23DC1" w14:textId="7D78CE8D"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Дистантный компьютерный скрининг показал сопоставимые данные по числу нарушений рефракции среди всех обследованных детей. Путем проведения дистантного скрининга всего выявлен 440 ребенок с нарушениями рефракции (34,5% от общего числа обследованных или 104,8% от числа детей с нарушениями рефракции по данным первого этапа. Среди первых, пятых и девятых классов доля детей с нарушениями зрения по результатам скрининга составила 23,6%, 38,1% и 45,2% соответственно. </w:t>
      </w:r>
    </w:p>
    <w:p w14:paraId="5667FDB6" w14:textId="7B5B78AE"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Анализ выгрузки данных показал, что из 4 тестов компьютерного скрининга наиболее часто отклонения выявлялись при определении остроты зрения посредством колец Ландольта: 82,0% всех детей с нарушениями зрения, выявленных при помощи дистантного скрининга. На втором месте по частоте выявляемых нарушений был дуохромный тест (75,9% от всех выявленных детей с нарушениями зрения). При этом смещение в красный спектр встречались чаще, чем в зеленый (61,5% против 38,5%), что говорит о более частой миопической рефракции у исследуемых детей. В 75,5% случаев у детей, отобранных компьютерной программой для расширенного обследования, были нарушения в тесте «лучистая фигура», которая говорит о наличии клинически значимого астигматизма. Ошибки в тесте Амслера обнаружили 45,7% детей с нарушением зрения (таблица</w:t>
      </w:r>
      <w:r w:rsidR="00333421">
        <w:rPr>
          <w:rFonts w:ascii="Times New Roman" w:hAnsi="Times New Roman" w:cs="Times New Roman"/>
          <w:sz w:val="28"/>
          <w:szCs w:val="28"/>
        </w:rPr>
        <w:t xml:space="preserve"> </w:t>
      </w:r>
      <w:r w:rsidR="00C636AD" w:rsidRPr="00C636AD">
        <w:rPr>
          <w:rFonts w:ascii="Times New Roman" w:hAnsi="Times New Roman" w:cs="Times New Roman"/>
          <w:sz w:val="28"/>
          <w:szCs w:val="28"/>
        </w:rPr>
        <w:t>2</w:t>
      </w:r>
      <w:r w:rsidR="00333421">
        <w:rPr>
          <w:rFonts w:ascii="Times New Roman" w:hAnsi="Times New Roman" w:cs="Times New Roman"/>
          <w:sz w:val="28"/>
          <w:szCs w:val="28"/>
        </w:rPr>
        <w:t>3</w:t>
      </w:r>
      <w:r w:rsidRPr="004804AA">
        <w:rPr>
          <w:rFonts w:ascii="Times New Roman" w:hAnsi="Times New Roman" w:cs="Times New Roman"/>
          <w:sz w:val="28"/>
          <w:szCs w:val="28"/>
        </w:rPr>
        <w:t>).</w:t>
      </w:r>
    </w:p>
    <w:p w14:paraId="6E7D1ED5"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5114CAE9" w14:textId="37F1DF31" w:rsidR="00374DC5" w:rsidRDefault="00374DC5" w:rsidP="00333421">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Таблица</w:t>
      </w:r>
      <w:r w:rsidR="00333421">
        <w:rPr>
          <w:rFonts w:ascii="Times New Roman" w:hAnsi="Times New Roman" w:cs="Times New Roman"/>
          <w:sz w:val="28"/>
          <w:szCs w:val="28"/>
        </w:rPr>
        <w:t xml:space="preserve"> </w:t>
      </w:r>
      <w:r w:rsidR="00C636AD" w:rsidRPr="00C636AD">
        <w:rPr>
          <w:rFonts w:ascii="Times New Roman" w:hAnsi="Times New Roman" w:cs="Times New Roman"/>
          <w:sz w:val="28"/>
          <w:szCs w:val="28"/>
        </w:rPr>
        <w:t>2</w:t>
      </w:r>
      <w:r w:rsidR="00333421">
        <w:rPr>
          <w:rFonts w:ascii="Times New Roman" w:hAnsi="Times New Roman" w:cs="Times New Roman"/>
          <w:sz w:val="28"/>
          <w:szCs w:val="28"/>
        </w:rPr>
        <w:t>3 -</w:t>
      </w:r>
      <w:r w:rsidRPr="004804AA">
        <w:rPr>
          <w:rFonts w:ascii="Times New Roman" w:hAnsi="Times New Roman" w:cs="Times New Roman"/>
          <w:sz w:val="28"/>
          <w:szCs w:val="28"/>
        </w:rPr>
        <w:t xml:space="preserve"> Количество выявленных нарушений в различных тестах дистантного компьютерного скрининга </w:t>
      </w:r>
    </w:p>
    <w:p w14:paraId="00EE1306" w14:textId="77777777" w:rsidR="00333421" w:rsidRPr="004804AA" w:rsidRDefault="00333421" w:rsidP="00333421">
      <w:pPr>
        <w:spacing w:after="0" w:line="240" w:lineRule="auto"/>
        <w:jc w:val="both"/>
        <w:rPr>
          <w:rFonts w:ascii="Times New Roman" w:hAnsi="Times New Roman" w:cs="Times New Roman"/>
          <w:sz w:val="28"/>
          <w:szCs w:val="28"/>
        </w:rPr>
      </w:pPr>
    </w:p>
    <w:tbl>
      <w:tblPr>
        <w:tblStyle w:val="af0"/>
        <w:tblW w:w="9345" w:type="dxa"/>
        <w:tblLayout w:type="fixed"/>
        <w:tblLook w:val="04A0" w:firstRow="1" w:lastRow="0" w:firstColumn="1" w:lastColumn="0" w:noHBand="0" w:noVBand="1"/>
      </w:tblPr>
      <w:tblGrid>
        <w:gridCol w:w="988"/>
        <w:gridCol w:w="1134"/>
        <w:gridCol w:w="1842"/>
        <w:gridCol w:w="1985"/>
        <w:gridCol w:w="1559"/>
        <w:gridCol w:w="1837"/>
      </w:tblGrid>
      <w:tr w:rsidR="00374DC5" w:rsidRPr="004804AA" w14:paraId="7288BBC7" w14:textId="77777777" w:rsidTr="00333421">
        <w:trPr>
          <w:trHeight w:val="825"/>
        </w:trPr>
        <w:tc>
          <w:tcPr>
            <w:tcW w:w="988" w:type="dxa"/>
            <w:hideMark/>
          </w:tcPr>
          <w:p w14:paraId="25B93E76"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Класс</w:t>
            </w:r>
          </w:p>
        </w:tc>
        <w:tc>
          <w:tcPr>
            <w:tcW w:w="1134" w:type="dxa"/>
          </w:tcPr>
          <w:p w14:paraId="4E9E0B55"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Всего детей</w:t>
            </w:r>
          </w:p>
        </w:tc>
        <w:tc>
          <w:tcPr>
            <w:tcW w:w="1842" w:type="dxa"/>
          </w:tcPr>
          <w:p w14:paraId="2025AD3F"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Острота зрения</w:t>
            </w:r>
            <w:r w:rsidRPr="004804AA">
              <w:rPr>
                <w:rFonts w:ascii="Times New Roman" w:eastAsia="Times New Roman" w:hAnsi="Times New Roman" w:cs="Times New Roman"/>
                <w:sz w:val="28"/>
                <w:szCs w:val="28"/>
                <w:lang w:val="en-US"/>
              </w:rPr>
              <w:t>, N</w:t>
            </w:r>
            <w:r w:rsidRPr="004804AA">
              <w:rPr>
                <w:rFonts w:ascii="Times New Roman" w:eastAsia="Times New Roman" w:hAnsi="Times New Roman" w:cs="Times New Roman"/>
                <w:sz w:val="28"/>
                <w:szCs w:val="28"/>
              </w:rPr>
              <w:t xml:space="preserve"> (%)</w:t>
            </w:r>
          </w:p>
        </w:tc>
        <w:tc>
          <w:tcPr>
            <w:tcW w:w="1985" w:type="dxa"/>
          </w:tcPr>
          <w:p w14:paraId="60741CE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Дуохромный тест</w:t>
            </w:r>
            <w:r w:rsidRPr="004804AA">
              <w:rPr>
                <w:rFonts w:ascii="Times New Roman" w:eastAsia="Times New Roman" w:hAnsi="Times New Roman" w:cs="Times New Roman"/>
                <w:sz w:val="28"/>
                <w:szCs w:val="28"/>
                <w:lang w:val="en-US"/>
              </w:rPr>
              <w:t>, N</w:t>
            </w:r>
            <w:r w:rsidRPr="004804AA">
              <w:rPr>
                <w:rFonts w:ascii="Times New Roman" w:eastAsia="Times New Roman" w:hAnsi="Times New Roman" w:cs="Times New Roman"/>
                <w:sz w:val="28"/>
                <w:szCs w:val="28"/>
              </w:rPr>
              <w:t xml:space="preserve"> (%)</w:t>
            </w:r>
          </w:p>
        </w:tc>
        <w:tc>
          <w:tcPr>
            <w:tcW w:w="1559" w:type="dxa"/>
            <w:hideMark/>
          </w:tcPr>
          <w:p w14:paraId="6185D402"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Лучистая фигура</w:t>
            </w:r>
            <w:r w:rsidRPr="004804AA">
              <w:rPr>
                <w:rFonts w:ascii="Times New Roman" w:eastAsia="Times New Roman" w:hAnsi="Times New Roman" w:cs="Times New Roman"/>
                <w:sz w:val="28"/>
                <w:szCs w:val="28"/>
                <w:lang w:val="en-US"/>
              </w:rPr>
              <w:t>, N</w:t>
            </w:r>
            <w:r w:rsidRPr="004804AA">
              <w:rPr>
                <w:rFonts w:ascii="Times New Roman" w:eastAsia="Times New Roman" w:hAnsi="Times New Roman" w:cs="Times New Roman"/>
                <w:sz w:val="28"/>
                <w:szCs w:val="28"/>
              </w:rPr>
              <w:t xml:space="preserve"> (%)</w:t>
            </w:r>
          </w:p>
        </w:tc>
        <w:tc>
          <w:tcPr>
            <w:tcW w:w="1837" w:type="dxa"/>
          </w:tcPr>
          <w:p w14:paraId="662347DC"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Тест Амслера</w:t>
            </w:r>
            <w:r w:rsidRPr="004804AA">
              <w:rPr>
                <w:rFonts w:ascii="Times New Roman" w:eastAsia="Times New Roman" w:hAnsi="Times New Roman" w:cs="Times New Roman"/>
                <w:sz w:val="28"/>
                <w:szCs w:val="28"/>
                <w:lang w:val="en-US"/>
              </w:rPr>
              <w:t>, N</w:t>
            </w:r>
            <w:r w:rsidRPr="004804AA">
              <w:rPr>
                <w:rFonts w:ascii="Times New Roman" w:eastAsia="Times New Roman" w:hAnsi="Times New Roman" w:cs="Times New Roman"/>
                <w:sz w:val="28"/>
                <w:szCs w:val="28"/>
              </w:rPr>
              <w:t xml:space="preserve"> (%)</w:t>
            </w:r>
          </w:p>
        </w:tc>
      </w:tr>
      <w:tr w:rsidR="00374DC5" w:rsidRPr="004804AA" w14:paraId="5BE30AD1" w14:textId="77777777" w:rsidTr="00333421">
        <w:trPr>
          <w:trHeight w:val="654"/>
        </w:trPr>
        <w:tc>
          <w:tcPr>
            <w:tcW w:w="988" w:type="dxa"/>
            <w:hideMark/>
          </w:tcPr>
          <w:p w14:paraId="0298C0FA"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 xml:space="preserve">1-й </w:t>
            </w:r>
          </w:p>
        </w:tc>
        <w:tc>
          <w:tcPr>
            <w:tcW w:w="1134" w:type="dxa"/>
          </w:tcPr>
          <w:p w14:paraId="392FD7B7"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116</w:t>
            </w:r>
          </w:p>
        </w:tc>
        <w:tc>
          <w:tcPr>
            <w:tcW w:w="1842" w:type="dxa"/>
          </w:tcPr>
          <w:p w14:paraId="7B73575A"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112 (96,2%)</w:t>
            </w:r>
          </w:p>
        </w:tc>
        <w:tc>
          <w:tcPr>
            <w:tcW w:w="1985" w:type="dxa"/>
          </w:tcPr>
          <w:p w14:paraId="12EB20AB"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112 (96,2%)</w:t>
            </w:r>
          </w:p>
        </w:tc>
        <w:tc>
          <w:tcPr>
            <w:tcW w:w="1559" w:type="dxa"/>
            <w:hideMark/>
          </w:tcPr>
          <w:p w14:paraId="6150F51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98 (84,6%)</w:t>
            </w:r>
          </w:p>
        </w:tc>
        <w:tc>
          <w:tcPr>
            <w:tcW w:w="1837" w:type="dxa"/>
          </w:tcPr>
          <w:p w14:paraId="79D783AA"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62 (53,8%)</w:t>
            </w:r>
          </w:p>
        </w:tc>
      </w:tr>
      <w:tr w:rsidR="00374DC5" w:rsidRPr="004804AA" w14:paraId="46DBD80C" w14:textId="77777777" w:rsidTr="00333421">
        <w:trPr>
          <w:trHeight w:val="654"/>
        </w:trPr>
        <w:tc>
          <w:tcPr>
            <w:tcW w:w="988" w:type="dxa"/>
            <w:hideMark/>
          </w:tcPr>
          <w:p w14:paraId="3022C9B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5-й</w:t>
            </w:r>
          </w:p>
        </w:tc>
        <w:tc>
          <w:tcPr>
            <w:tcW w:w="1134" w:type="dxa"/>
          </w:tcPr>
          <w:p w14:paraId="41A170DC"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167</w:t>
            </w:r>
          </w:p>
        </w:tc>
        <w:tc>
          <w:tcPr>
            <w:tcW w:w="1842" w:type="dxa"/>
          </w:tcPr>
          <w:p w14:paraId="697379AB"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119 (71,4%)</w:t>
            </w:r>
          </w:p>
        </w:tc>
        <w:tc>
          <w:tcPr>
            <w:tcW w:w="1985" w:type="dxa"/>
          </w:tcPr>
          <w:p w14:paraId="0E0F757B"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103 (61,9%)</w:t>
            </w:r>
          </w:p>
        </w:tc>
        <w:tc>
          <w:tcPr>
            <w:tcW w:w="1559" w:type="dxa"/>
            <w:hideMark/>
          </w:tcPr>
          <w:p w14:paraId="021AB9CB"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115 (69,0%)</w:t>
            </w:r>
          </w:p>
        </w:tc>
        <w:tc>
          <w:tcPr>
            <w:tcW w:w="1837" w:type="dxa"/>
          </w:tcPr>
          <w:p w14:paraId="56564682"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60 (35,7%)</w:t>
            </w:r>
          </w:p>
        </w:tc>
      </w:tr>
      <w:tr w:rsidR="00374DC5" w:rsidRPr="004804AA" w14:paraId="6FB0FEAF" w14:textId="77777777" w:rsidTr="00333421">
        <w:trPr>
          <w:trHeight w:val="654"/>
        </w:trPr>
        <w:tc>
          <w:tcPr>
            <w:tcW w:w="988" w:type="dxa"/>
            <w:hideMark/>
          </w:tcPr>
          <w:p w14:paraId="7AFC27A3"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9-й</w:t>
            </w:r>
          </w:p>
        </w:tc>
        <w:tc>
          <w:tcPr>
            <w:tcW w:w="1134" w:type="dxa"/>
          </w:tcPr>
          <w:p w14:paraId="36898BE8"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157</w:t>
            </w:r>
          </w:p>
        </w:tc>
        <w:tc>
          <w:tcPr>
            <w:tcW w:w="1842" w:type="dxa"/>
          </w:tcPr>
          <w:p w14:paraId="55C90824"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130 (82,6%)</w:t>
            </w:r>
          </w:p>
        </w:tc>
        <w:tc>
          <w:tcPr>
            <w:tcW w:w="1985" w:type="dxa"/>
          </w:tcPr>
          <w:p w14:paraId="1C4A2426"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119 (76,1%)</w:t>
            </w:r>
          </w:p>
        </w:tc>
        <w:tc>
          <w:tcPr>
            <w:tcW w:w="1559" w:type="dxa"/>
            <w:hideMark/>
          </w:tcPr>
          <w:p w14:paraId="63597BD3"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119 (76,1%)</w:t>
            </w:r>
          </w:p>
        </w:tc>
        <w:tc>
          <w:tcPr>
            <w:tcW w:w="1837" w:type="dxa"/>
          </w:tcPr>
          <w:p w14:paraId="7AF04C6E" w14:textId="77777777" w:rsidR="00374DC5" w:rsidRPr="004804AA" w:rsidRDefault="00374DC5" w:rsidP="00333421">
            <w:pPr>
              <w:spacing w:after="0" w:line="240" w:lineRule="auto"/>
              <w:jc w:val="center"/>
              <w:rPr>
                <w:rFonts w:ascii="Times New Roman" w:eastAsia="Times New Roman" w:hAnsi="Times New Roman" w:cs="Times New Roman"/>
                <w:sz w:val="28"/>
                <w:szCs w:val="28"/>
              </w:rPr>
            </w:pPr>
            <w:r w:rsidRPr="004804AA">
              <w:rPr>
                <w:rFonts w:ascii="Times New Roman" w:eastAsia="Times New Roman" w:hAnsi="Times New Roman" w:cs="Times New Roman"/>
                <w:sz w:val="28"/>
                <w:szCs w:val="28"/>
              </w:rPr>
              <w:t>79 (50,0%)</w:t>
            </w:r>
          </w:p>
        </w:tc>
      </w:tr>
      <w:tr w:rsidR="00374DC5" w:rsidRPr="004804AA" w14:paraId="12364F6E" w14:textId="77777777" w:rsidTr="00333421">
        <w:trPr>
          <w:trHeight w:val="654"/>
        </w:trPr>
        <w:tc>
          <w:tcPr>
            <w:tcW w:w="988" w:type="dxa"/>
            <w:hideMark/>
          </w:tcPr>
          <w:p w14:paraId="742780F9"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Всего</w:t>
            </w:r>
          </w:p>
        </w:tc>
        <w:tc>
          <w:tcPr>
            <w:tcW w:w="1134" w:type="dxa"/>
          </w:tcPr>
          <w:p w14:paraId="2A8BC4F9"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440</w:t>
            </w:r>
          </w:p>
        </w:tc>
        <w:tc>
          <w:tcPr>
            <w:tcW w:w="1842" w:type="dxa"/>
          </w:tcPr>
          <w:p w14:paraId="4F104951"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361 (82,0%)</w:t>
            </w:r>
          </w:p>
        </w:tc>
        <w:tc>
          <w:tcPr>
            <w:tcW w:w="1985" w:type="dxa"/>
          </w:tcPr>
          <w:p w14:paraId="3ED97F7E"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334 (75,9%)</w:t>
            </w:r>
          </w:p>
        </w:tc>
        <w:tc>
          <w:tcPr>
            <w:tcW w:w="1559" w:type="dxa"/>
          </w:tcPr>
          <w:p w14:paraId="38FCE129"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332 (75,5%)</w:t>
            </w:r>
          </w:p>
        </w:tc>
        <w:tc>
          <w:tcPr>
            <w:tcW w:w="1837" w:type="dxa"/>
          </w:tcPr>
          <w:p w14:paraId="5856BA4F" w14:textId="77777777" w:rsidR="00374DC5" w:rsidRPr="00D6643C" w:rsidRDefault="00374DC5" w:rsidP="00333421">
            <w:pPr>
              <w:spacing w:after="0" w:line="240" w:lineRule="auto"/>
              <w:jc w:val="center"/>
              <w:rPr>
                <w:rFonts w:ascii="Times New Roman" w:eastAsia="Times New Roman" w:hAnsi="Times New Roman" w:cs="Times New Roman"/>
                <w:sz w:val="28"/>
                <w:szCs w:val="28"/>
              </w:rPr>
            </w:pPr>
            <w:r w:rsidRPr="00D6643C">
              <w:rPr>
                <w:rFonts w:ascii="Times New Roman" w:eastAsia="Times New Roman" w:hAnsi="Times New Roman" w:cs="Times New Roman"/>
                <w:sz w:val="28"/>
                <w:szCs w:val="28"/>
              </w:rPr>
              <w:t>201 (45,7%)</w:t>
            </w:r>
          </w:p>
        </w:tc>
      </w:tr>
    </w:tbl>
    <w:p w14:paraId="4891E38F"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1FD3D26C" w14:textId="3BCA9060"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Все дети с нарушением зрения, выявленные путем скрининга, были повторно обследованы офтальмологами. После расширенного офтальмологического осмотра среди 116 учащихся первых классов выявлено лишь 97 детей с истинными нарушениями рефракции (83,6%). Такая </w:t>
      </w:r>
      <w:r w:rsidRPr="004804AA">
        <w:rPr>
          <w:rFonts w:ascii="Times New Roman" w:hAnsi="Times New Roman" w:cs="Times New Roman"/>
          <w:sz w:val="28"/>
          <w:szCs w:val="28"/>
        </w:rPr>
        <w:lastRenderedPageBreak/>
        <w:t>гипердиагностика вероятно связана с возрастом, невнимательностью и сложностью восприятия и понимания требований компьютерного тестирования. Среди учащихся 5 и 9 классов доля выявленных случаев аномалий рефракции составила 97,0% и 94,3% соответственно. Среди всех детей, направленных на обследование после второго этапа обследования (440 детей), подтвержденная доля нарушений рефракции составила 92,5% (407 детей).</w:t>
      </w:r>
      <w:r w:rsidR="00444869">
        <w:rPr>
          <w:rFonts w:ascii="Times New Roman" w:hAnsi="Times New Roman" w:cs="Times New Roman"/>
          <w:sz w:val="28"/>
          <w:szCs w:val="28"/>
        </w:rPr>
        <w:t xml:space="preserve"> </w:t>
      </w:r>
    </w:p>
    <w:p w14:paraId="1C3C3B2C" w14:textId="65550D8A"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Для оценки информативности и разрешающей способности компьютерного скрининга выявления нарушений рефракции был проведен расчет основных его операционных характеристик: чувствительности, специфичности, предсказательной ценности, отношения правдоподобия и точности (таблица</w:t>
      </w:r>
      <w:r w:rsidR="005B22ED">
        <w:rPr>
          <w:rFonts w:ascii="Times New Roman" w:hAnsi="Times New Roman" w:cs="Times New Roman"/>
          <w:sz w:val="28"/>
          <w:szCs w:val="28"/>
        </w:rPr>
        <w:t xml:space="preserve"> </w:t>
      </w:r>
      <w:r w:rsidR="003D6E86" w:rsidRPr="003D6E86">
        <w:rPr>
          <w:rFonts w:ascii="Times New Roman" w:hAnsi="Times New Roman" w:cs="Times New Roman"/>
          <w:sz w:val="28"/>
          <w:szCs w:val="28"/>
        </w:rPr>
        <w:t>24</w:t>
      </w:r>
      <w:r w:rsidRPr="004804AA">
        <w:rPr>
          <w:rFonts w:ascii="Times New Roman" w:hAnsi="Times New Roman" w:cs="Times New Roman"/>
          <w:sz w:val="28"/>
          <w:szCs w:val="28"/>
        </w:rPr>
        <w:t>). Общая чувствительность дистантного компьютерного скрининга среди всех исследуемых учеников составила 96,9%. Специфичность составила 96,1%. Прогностическая ценность положительного результата в общей выборке была 92,5%; отрицательного результата 98,4%. Чувствительность и специфичность скрининга среди первоклассников составила 97,9% и 95,2% соответственно. Прогностичность положительного и отрицательного результатов равнялась 83,6% и 99,5% соответственно. В пятом классе чувствительность теста была на уровне 95,9%, специфичность – 98,1%. Среди учащихся девятых классов чувствительность и специфичность составили 97,4% и 95,4% соответственно.</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Точность дистантного компьютерного метода составила 96,4%. Отношение правдоподобия положительного результата теста составила 25,14; отношение правдоподобия отрицательного результата 0,03.</w:t>
      </w:r>
    </w:p>
    <w:p w14:paraId="7AF5DAAB"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44D2C24A" w14:textId="2DFB850E" w:rsidR="00374DC5"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Таблица</w:t>
      </w:r>
      <w:r w:rsidR="004E6E5E">
        <w:rPr>
          <w:rFonts w:ascii="Times New Roman" w:hAnsi="Times New Roman" w:cs="Times New Roman"/>
          <w:sz w:val="28"/>
          <w:szCs w:val="28"/>
        </w:rPr>
        <w:t xml:space="preserve"> </w:t>
      </w:r>
      <w:r w:rsidR="003D6E86" w:rsidRPr="003D6E86">
        <w:rPr>
          <w:rFonts w:ascii="Times New Roman" w:hAnsi="Times New Roman" w:cs="Times New Roman"/>
          <w:sz w:val="28"/>
          <w:szCs w:val="28"/>
        </w:rPr>
        <w:t>24</w:t>
      </w:r>
      <w:r w:rsidR="00A94515">
        <w:rPr>
          <w:rFonts w:ascii="Times New Roman" w:hAnsi="Times New Roman" w:cs="Times New Roman"/>
          <w:sz w:val="28"/>
          <w:szCs w:val="28"/>
        </w:rPr>
        <w:t xml:space="preserve"> </w:t>
      </w:r>
      <w:r w:rsidR="004E6E5E">
        <w:rPr>
          <w:rFonts w:ascii="Times New Roman" w:hAnsi="Times New Roman" w:cs="Times New Roman"/>
          <w:sz w:val="28"/>
          <w:szCs w:val="28"/>
        </w:rPr>
        <w:t>-</w:t>
      </w:r>
      <w:r w:rsidRPr="004804AA">
        <w:rPr>
          <w:rFonts w:ascii="Times New Roman" w:hAnsi="Times New Roman" w:cs="Times New Roman"/>
          <w:sz w:val="28"/>
          <w:szCs w:val="28"/>
        </w:rPr>
        <w:t xml:space="preserve"> Основные и дополнительные </w:t>
      </w:r>
      <w:r w:rsidR="00307735">
        <w:rPr>
          <w:rFonts w:ascii="Times New Roman" w:hAnsi="Times New Roman" w:cs="Times New Roman"/>
          <w:sz w:val="28"/>
          <w:szCs w:val="28"/>
        </w:rPr>
        <w:t xml:space="preserve">показатели </w:t>
      </w:r>
      <w:r w:rsidRPr="004804AA">
        <w:rPr>
          <w:rFonts w:ascii="Times New Roman" w:hAnsi="Times New Roman" w:cs="Times New Roman"/>
          <w:sz w:val="28"/>
          <w:szCs w:val="28"/>
        </w:rPr>
        <w:t>операционных характеристик дистантного скрининга</w:t>
      </w:r>
    </w:p>
    <w:p w14:paraId="7648741E" w14:textId="77777777" w:rsidR="004E6E5E" w:rsidRPr="004804AA" w:rsidRDefault="004E6E5E" w:rsidP="004E6E5E">
      <w:pPr>
        <w:spacing w:after="0" w:line="240" w:lineRule="auto"/>
        <w:jc w:val="both"/>
        <w:rPr>
          <w:rFonts w:ascii="Times New Roman" w:hAnsi="Times New Roman" w:cs="Times New Roman"/>
          <w:sz w:val="28"/>
          <w:szCs w:val="28"/>
        </w:rPr>
      </w:pPr>
    </w:p>
    <w:tbl>
      <w:tblPr>
        <w:tblStyle w:val="af0"/>
        <w:tblW w:w="9493" w:type="dxa"/>
        <w:tblLook w:val="04A0" w:firstRow="1" w:lastRow="0" w:firstColumn="1" w:lastColumn="0" w:noHBand="0" w:noVBand="1"/>
      </w:tblPr>
      <w:tblGrid>
        <w:gridCol w:w="6941"/>
        <w:gridCol w:w="2552"/>
      </w:tblGrid>
      <w:tr w:rsidR="00374DC5" w:rsidRPr="004804AA" w14:paraId="4D808DB8" w14:textId="77777777" w:rsidTr="00292B55">
        <w:tc>
          <w:tcPr>
            <w:tcW w:w="6941" w:type="dxa"/>
          </w:tcPr>
          <w:p w14:paraId="64746793" w14:textId="399C5737" w:rsidR="00374DC5" w:rsidRPr="004804AA" w:rsidRDefault="00374DC5" w:rsidP="004E6E5E">
            <w:pPr>
              <w:spacing w:after="0" w:line="240" w:lineRule="auto"/>
              <w:jc w:val="center"/>
              <w:rPr>
                <w:rFonts w:ascii="Times New Roman" w:hAnsi="Times New Roman" w:cs="Times New Roman"/>
                <w:b/>
                <w:bCs/>
                <w:sz w:val="28"/>
                <w:szCs w:val="28"/>
              </w:rPr>
            </w:pPr>
            <w:r w:rsidRPr="004804AA">
              <w:rPr>
                <w:rFonts w:ascii="Times New Roman" w:hAnsi="Times New Roman" w:cs="Times New Roman"/>
                <w:b/>
                <w:bCs/>
                <w:sz w:val="28"/>
                <w:szCs w:val="28"/>
              </w:rPr>
              <w:t>Показатель</w:t>
            </w:r>
          </w:p>
        </w:tc>
        <w:tc>
          <w:tcPr>
            <w:tcW w:w="2552" w:type="dxa"/>
          </w:tcPr>
          <w:p w14:paraId="60B6524F" w14:textId="77777777" w:rsidR="00374DC5" w:rsidRPr="004804AA" w:rsidRDefault="00374DC5" w:rsidP="004E6E5E">
            <w:pPr>
              <w:spacing w:after="0" w:line="240" w:lineRule="auto"/>
              <w:jc w:val="center"/>
              <w:rPr>
                <w:rFonts w:ascii="Times New Roman" w:hAnsi="Times New Roman" w:cs="Times New Roman"/>
                <w:b/>
                <w:bCs/>
                <w:sz w:val="28"/>
                <w:szCs w:val="28"/>
              </w:rPr>
            </w:pPr>
            <w:r w:rsidRPr="004804AA">
              <w:rPr>
                <w:rFonts w:ascii="Times New Roman" w:hAnsi="Times New Roman" w:cs="Times New Roman"/>
                <w:b/>
                <w:bCs/>
                <w:sz w:val="28"/>
                <w:szCs w:val="28"/>
              </w:rPr>
              <w:t>Значение</w:t>
            </w:r>
          </w:p>
        </w:tc>
      </w:tr>
      <w:tr w:rsidR="00374DC5" w:rsidRPr="004804AA" w14:paraId="7D79A433" w14:textId="77777777" w:rsidTr="00292B55">
        <w:tc>
          <w:tcPr>
            <w:tcW w:w="6941" w:type="dxa"/>
          </w:tcPr>
          <w:p w14:paraId="57C9B0B2" w14:textId="77777777" w:rsidR="00374DC5" w:rsidRPr="004804AA"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Чувствительность</w:t>
            </w:r>
          </w:p>
        </w:tc>
        <w:tc>
          <w:tcPr>
            <w:tcW w:w="2552" w:type="dxa"/>
          </w:tcPr>
          <w:p w14:paraId="6F8C893C"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96,9%</w:t>
            </w:r>
          </w:p>
        </w:tc>
      </w:tr>
      <w:tr w:rsidR="00374DC5" w:rsidRPr="004804AA" w14:paraId="57642722" w14:textId="77777777" w:rsidTr="00292B55">
        <w:tc>
          <w:tcPr>
            <w:tcW w:w="6941" w:type="dxa"/>
          </w:tcPr>
          <w:p w14:paraId="3E9D3DD3" w14:textId="77777777" w:rsidR="00374DC5" w:rsidRPr="004804AA"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Специфичность</w:t>
            </w:r>
          </w:p>
        </w:tc>
        <w:tc>
          <w:tcPr>
            <w:tcW w:w="2552" w:type="dxa"/>
          </w:tcPr>
          <w:p w14:paraId="3159A6E3"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96,1%</w:t>
            </w:r>
          </w:p>
        </w:tc>
      </w:tr>
      <w:tr w:rsidR="00374DC5" w:rsidRPr="004804AA" w14:paraId="16776B23" w14:textId="77777777" w:rsidTr="00292B55">
        <w:tc>
          <w:tcPr>
            <w:tcW w:w="6941" w:type="dxa"/>
          </w:tcPr>
          <w:p w14:paraId="383E26EF" w14:textId="77777777" w:rsidR="00374DC5" w:rsidRPr="004804AA"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Прогностичность положительного результата</w:t>
            </w:r>
          </w:p>
        </w:tc>
        <w:tc>
          <w:tcPr>
            <w:tcW w:w="2552" w:type="dxa"/>
          </w:tcPr>
          <w:p w14:paraId="436861A9"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92,5%</w:t>
            </w:r>
          </w:p>
        </w:tc>
      </w:tr>
      <w:tr w:rsidR="00374DC5" w:rsidRPr="004804AA" w14:paraId="1888F148" w14:textId="77777777" w:rsidTr="00292B55">
        <w:tc>
          <w:tcPr>
            <w:tcW w:w="6941" w:type="dxa"/>
          </w:tcPr>
          <w:p w14:paraId="7E55CFEA" w14:textId="77777777" w:rsidR="00374DC5" w:rsidRPr="004804AA"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Прогностичность отрицательного результата</w:t>
            </w:r>
          </w:p>
        </w:tc>
        <w:tc>
          <w:tcPr>
            <w:tcW w:w="2552" w:type="dxa"/>
          </w:tcPr>
          <w:p w14:paraId="3D1638AC"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98,4%</w:t>
            </w:r>
          </w:p>
        </w:tc>
      </w:tr>
      <w:tr w:rsidR="00374DC5" w:rsidRPr="004804AA" w14:paraId="2D3E7A2A" w14:textId="77777777" w:rsidTr="00292B55">
        <w:tc>
          <w:tcPr>
            <w:tcW w:w="6941" w:type="dxa"/>
          </w:tcPr>
          <w:p w14:paraId="589D25FB" w14:textId="77777777" w:rsidR="00374DC5" w:rsidRPr="004804AA" w:rsidRDefault="00374DC5" w:rsidP="004E6E5E">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Точность</w:t>
            </w:r>
          </w:p>
        </w:tc>
        <w:tc>
          <w:tcPr>
            <w:tcW w:w="2552" w:type="dxa"/>
          </w:tcPr>
          <w:p w14:paraId="1FC6EB52"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96,4%</w:t>
            </w:r>
          </w:p>
        </w:tc>
      </w:tr>
      <w:tr w:rsidR="00374DC5" w:rsidRPr="004804AA" w14:paraId="507729D5" w14:textId="77777777" w:rsidTr="00292B55">
        <w:tc>
          <w:tcPr>
            <w:tcW w:w="6941" w:type="dxa"/>
          </w:tcPr>
          <w:p w14:paraId="50E15AC6" w14:textId="586DEEAC" w:rsidR="00374DC5" w:rsidRPr="00683BC5" w:rsidRDefault="00374DC5" w:rsidP="004E6E5E">
            <w:pPr>
              <w:spacing w:after="0" w:line="240" w:lineRule="auto"/>
              <w:jc w:val="both"/>
              <w:rPr>
                <w:rFonts w:ascii="Times New Roman" w:hAnsi="Times New Roman" w:cs="Times New Roman"/>
                <w:sz w:val="28"/>
                <w:szCs w:val="28"/>
                <w:vertAlign w:val="superscript"/>
              </w:rPr>
            </w:pPr>
            <w:r w:rsidRPr="004804AA">
              <w:rPr>
                <w:rFonts w:ascii="Times New Roman" w:hAnsi="Times New Roman" w:cs="Times New Roman"/>
                <w:sz w:val="28"/>
                <w:szCs w:val="28"/>
              </w:rPr>
              <w:t>Отношение правдоподобия положительного результата</w:t>
            </w:r>
            <w:r w:rsidR="00683BC5">
              <w:rPr>
                <w:rFonts w:ascii="Times New Roman" w:hAnsi="Times New Roman" w:cs="Times New Roman"/>
                <w:sz w:val="28"/>
                <w:szCs w:val="28"/>
                <w:vertAlign w:val="superscript"/>
              </w:rPr>
              <w:t>1</w:t>
            </w:r>
          </w:p>
        </w:tc>
        <w:tc>
          <w:tcPr>
            <w:tcW w:w="2552" w:type="dxa"/>
          </w:tcPr>
          <w:p w14:paraId="70643CA3"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25,14</w:t>
            </w:r>
          </w:p>
        </w:tc>
      </w:tr>
      <w:tr w:rsidR="00374DC5" w:rsidRPr="004804AA" w14:paraId="24D33268" w14:textId="77777777" w:rsidTr="00292B55">
        <w:tc>
          <w:tcPr>
            <w:tcW w:w="6941" w:type="dxa"/>
          </w:tcPr>
          <w:p w14:paraId="068CAA85" w14:textId="0C6A32A6" w:rsidR="00374DC5" w:rsidRPr="00683BC5" w:rsidRDefault="00374DC5" w:rsidP="004E6E5E">
            <w:pPr>
              <w:spacing w:after="0" w:line="240" w:lineRule="auto"/>
              <w:jc w:val="both"/>
              <w:rPr>
                <w:rFonts w:ascii="Times New Roman" w:hAnsi="Times New Roman" w:cs="Times New Roman"/>
                <w:sz w:val="28"/>
                <w:szCs w:val="28"/>
                <w:vertAlign w:val="superscript"/>
              </w:rPr>
            </w:pPr>
            <w:r w:rsidRPr="004804AA">
              <w:rPr>
                <w:rFonts w:ascii="Times New Roman" w:hAnsi="Times New Roman" w:cs="Times New Roman"/>
                <w:sz w:val="28"/>
                <w:szCs w:val="28"/>
              </w:rPr>
              <w:t>Отношение правдоподобия отрицательного результата</w:t>
            </w:r>
            <w:r w:rsidR="00683BC5">
              <w:rPr>
                <w:rFonts w:ascii="Times New Roman" w:hAnsi="Times New Roman" w:cs="Times New Roman"/>
                <w:sz w:val="28"/>
                <w:szCs w:val="28"/>
                <w:vertAlign w:val="superscript"/>
              </w:rPr>
              <w:t>2</w:t>
            </w:r>
          </w:p>
        </w:tc>
        <w:tc>
          <w:tcPr>
            <w:tcW w:w="2552" w:type="dxa"/>
          </w:tcPr>
          <w:p w14:paraId="5D76777F" w14:textId="77777777" w:rsidR="00374DC5" w:rsidRPr="004804AA" w:rsidRDefault="00374DC5" w:rsidP="004E6E5E">
            <w:pPr>
              <w:spacing w:after="0" w:line="240" w:lineRule="auto"/>
              <w:jc w:val="center"/>
              <w:rPr>
                <w:rFonts w:ascii="Times New Roman" w:hAnsi="Times New Roman" w:cs="Times New Roman"/>
                <w:sz w:val="28"/>
                <w:szCs w:val="28"/>
              </w:rPr>
            </w:pPr>
            <w:r w:rsidRPr="004804AA">
              <w:rPr>
                <w:rFonts w:ascii="Times New Roman" w:hAnsi="Times New Roman" w:cs="Times New Roman"/>
                <w:sz w:val="28"/>
                <w:szCs w:val="28"/>
              </w:rPr>
              <w:t>0,03</w:t>
            </w:r>
          </w:p>
        </w:tc>
      </w:tr>
      <w:tr w:rsidR="001E2E74" w:rsidRPr="004804AA" w14:paraId="3BC1B9E3" w14:textId="77777777" w:rsidTr="00292B55">
        <w:tc>
          <w:tcPr>
            <w:tcW w:w="9493" w:type="dxa"/>
            <w:gridSpan w:val="2"/>
          </w:tcPr>
          <w:p w14:paraId="19CC5E91" w14:textId="77777777" w:rsidR="001E2E74" w:rsidRDefault="001E2E74" w:rsidP="001E2E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Примечание:</w:t>
            </w:r>
          </w:p>
          <w:p w14:paraId="5054AFE0" w14:textId="77777777" w:rsidR="001E2E74" w:rsidRDefault="001E2E74" w:rsidP="001E2E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vertAlign w:val="superscript"/>
              </w:rPr>
              <w:t>1</w:t>
            </w:r>
            <w:r w:rsidRPr="004804AA">
              <w:rPr>
                <w:rFonts w:ascii="Times New Roman" w:hAnsi="Times New Roman" w:cs="Times New Roman"/>
                <w:sz w:val="28"/>
                <w:szCs w:val="28"/>
              </w:rPr>
              <w:t xml:space="preserve">отношение правдоподобия </w:t>
            </w:r>
            <w:r>
              <w:rPr>
                <w:rFonts w:ascii="Times New Roman" w:hAnsi="Times New Roman" w:cs="Times New Roman"/>
                <w:sz w:val="28"/>
                <w:szCs w:val="28"/>
              </w:rPr>
              <w:t xml:space="preserve">положительного результата </w:t>
            </w:r>
            <w:r w:rsidRPr="004804AA">
              <w:rPr>
                <w:rFonts w:ascii="Times New Roman" w:hAnsi="Times New Roman" w:cs="Times New Roman"/>
                <w:sz w:val="28"/>
                <w:szCs w:val="28"/>
              </w:rPr>
              <w:t xml:space="preserve">выше 10 </w:t>
            </w:r>
          </w:p>
          <w:p w14:paraId="39D50230" w14:textId="561126B3" w:rsidR="001E2E74" w:rsidRPr="004804AA" w:rsidRDefault="001E2E74" w:rsidP="001E2E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vertAlign w:val="superscript"/>
              </w:rPr>
              <w:t>2</w:t>
            </w:r>
            <w:r w:rsidRPr="004804AA">
              <w:rPr>
                <w:rFonts w:ascii="Times New Roman" w:hAnsi="Times New Roman" w:cs="Times New Roman"/>
                <w:sz w:val="28"/>
                <w:szCs w:val="28"/>
              </w:rPr>
              <w:t>отношение правдоподобия отрицательн</w:t>
            </w:r>
            <w:r>
              <w:rPr>
                <w:rFonts w:ascii="Times New Roman" w:hAnsi="Times New Roman" w:cs="Times New Roman"/>
                <w:sz w:val="28"/>
                <w:szCs w:val="28"/>
              </w:rPr>
              <w:t xml:space="preserve">ого результата </w:t>
            </w:r>
            <w:r w:rsidRPr="004804AA">
              <w:rPr>
                <w:rFonts w:ascii="Times New Roman" w:hAnsi="Times New Roman" w:cs="Times New Roman"/>
                <w:sz w:val="28"/>
                <w:szCs w:val="28"/>
              </w:rPr>
              <w:t>мен</w:t>
            </w:r>
            <w:r>
              <w:rPr>
                <w:rFonts w:ascii="Times New Roman" w:hAnsi="Times New Roman" w:cs="Times New Roman"/>
                <w:sz w:val="28"/>
                <w:szCs w:val="28"/>
              </w:rPr>
              <w:t>ее</w:t>
            </w:r>
            <w:r w:rsidRPr="004804AA">
              <w:rPr>
                <w:rFonts w:ascii="Times New Roman" w:hAnsi="Times New Roman" w:cs="Times New Roman"/>
                <w:sz w:val="28"/>
                <w:szCs w:val="28"/>
              </w:rPr>
              <w:t xml:space="preserve"> 0,1 свидетельствует об убедительности диагностических данных</w:t>
            </w:r>
          </w:p>
        </w:tc>
      </w:tr>
    </w:tbl>
    <w:p w14:paraId="130CA8D6" w14:textId="13B33570" w:rsidR="00374DC5" w:rsidRPr="004804AA" w:rsidRDefault="00374DC5" w:rsidP="005C37DF">
      <w:pPr>
        <w:spacing w:after="0" w:line="240" w:lineRule="auto"/>
        <w:ind w:firstLine="709"/>
        <w:jc w:val="both"/>
        <w:rPr>
          <w:rFonts w:ascii="Times New Roman" w:hAnsi="Times New Roman" w:cs="Times New Roman"/>
          <w:sz w:val="28"/>
          <w:szCs w:val="28"/>
        </w:rPr>
      </w:pPr>
    </w:p>
    <w:p w14:paraId="6E3235AA" w14:textId="16AC4409" w:rsidR="009A1A3B"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ходе обследований нами были оценены временные затраты на проведение стандартного офтальмологического осмотра и скрининга методом компьютерного тестирования. Как </w:t>
      </w:r>
      <w:r w:rsidR="006E4DDE">
        <w:rPr>
          <w:rFonts w:ascii="Times New Roman" w:hAnsi="Times New Roman" w:cs="Times New Roman"/>
          <w:sz w:val="28"/>
          <w:szCs w:val="28"/>
        </w:rPr>
        <w:t>видно из таблицы 25,</w:t>
      </w:r>
      <w:r w:rsidRPr="004804AA">
        <w:rPr>
          <w:rFonts w:ascii="Times New Roman" w:hAnsi="Times New Roman" w:cs="Times New Roman"/>
          <w:sz w:val="28"/>
          <w:szCs w:val="28"/>
        </w:rPr>
        <w:t xml:space="preserve"> </w:t>
      </w:r>
      <w:r w:rsidR="000A498F">
        <w:rPr>
          <w:rFonts w:ascii="Times New Roman" w:hAnsi="Times New Roman" w:cs="Times New Roman"/>
          <w:sz w:val="28"/>
          <w:szCs w:val="28"/>
        </w:rPr>
        <w:t>м</w:t>
      </w:r>
      <w:r w:rsidR="006E4DDE">
        <w:rPr>
          <w:rFonts w:ascii="Times New Roman" w:hAnsi="Times New Roman" w:cs="Times New Roman"/>
          <w:sz w:val="28"/>
          <w:szCs w:val="28"/>
        </w:rPr>
        <w:t xml:space="preserve">аксимальное </w:t>
      </w:r>
      <w:r w:rsidRPr="004804AA">
        <w:rPr>
          <w:rFonts w:ascii="Times New Roman" w:hAnsi="Times New Roman" w:cs="Times New Roman"/>
          <w:sz w:val="28"/>
          <w:szCs w:val="28"/>
        </w:rPr>
        <w:t>время</w:t>
      </w:r>
      <w:r w:rsidR="000A498F">
        <w:rPr>
          <w:rFonts w:ascii="Times New Roman" w:hAnsi="Times New Roman" w:cs="Times New Roman"/>
          <w:sz w:val="28"/>
          <w:szCs w:val="28"/>
        </w:rPr>
        <w:t xml:space="preserve">, </w:t>
      </w:r>
      <w:r w:rsidR="000A498F">
        <w:rPr>
          <w:rFonts w:ascii="Times New Roman" w:hAnsi="Times New Roman" w:cs="Times New Roman"/>
          <w:sz w:val="28"/>
          <w:szCs w:val="28"/>
        </w:rPr>
        <w:lastRenderedPageBreak/>
        <w:t xml:space="preserve">необходимое для проведения компьютерного тестирования ученика </w:t>
      </w:r>
      <w:r w:rsidR="006E4DDE">
        <w:rPr>
          <w:rFonts w:ascii="Times New Roman" w:hAnsi="Times New Roman" w:cs="Times New Roman"/>
          <w:sz w:val="28"/>
          <w:szCs w:val="28"/>
        </w:rPr>
        <w:t xml:space="preserve">средней и старшей школы составило 8 минут, включая рассадку, инструктаж, заполнение паспортной части и непосредственного тестирования. Для учащихся </w:t>
      </w:r>
      <w:r w:rsidR="000A498F">
        <w:rPr>
          <w:rFonts w:ascii="Times New Roman" w:hAnsi="Times New Roman" w:cs="Times New Roman"/>
          <w:sz w:val="28"/>
          <w:szCs w:val="28"/>
        </w:rPr>
        <w:t>н</w:t>
      </w:r>
      <w:r w:rsidR="006E4DDE">
        <w:rPr>
          <w:rFonts w:ascii="Times New Roman" w:hAnsi="Times New Roman" w:cs="Times New Roman"/>
          <w:sz w:val="28"/>
          <w:szCs w:val="28"/>
        </w:rPr>
        <w:t>ачальных классов (первоклассников</w:t>
      </w:r>
      <w:r w:rsidR="000A498F">
        <w:rPr>
          <w:rFonts w:ascii="Times New Roman" w:hAnsi="Times New Roman" w:cs="Times New Roman"/>
          <w:sz w:val="28"/>
          <w:szCs w:val="28"/>
        </w:rPr>
        <w:t>)</w:t>
      </w:r>
      <w:r w:rsidRPr="004804AA">
        <w:rPr>
          <w:rFonts w:ascii="Times New Roman" w:hAnsi="Times New Roman" w:cs="Times New Roman"/>
          <w:sz w:val="28"/>
          <w:szCs w:val="28"/>
        </w:rPr>
        <w:t xml:space="preserve"> </w:t>
      </w:r>
      <w:r w:rsidR="006E4DDE">
        <w:rPr>
          <w:rFonts w:ascii="Times New Roman" w:hAnsi="Times New Roman" w:cs="Times New Roman"/>
          <w:sz w:val="28"/>
          <w:szCs w:val="28"/>
        </w:rPr>
        <w:t xml:space="preserve">этот параметр </w:t>
      </w:r>
      <w:r w:rsidRPr="004804AA">
        <w:rPr>
          <w:rFonts w:ascii="Times New Roman" w:hAnsi="Times New Roman" w:cs="Times New Roman"/>
          <w:sz w:val="28"/>
          <w:szCs w:val="28"/>
        </w:rPr>
        <w:t>состав</w:t>
      </w:r>
      <w:r w:rsidR="000A498F">
        <w:rPr>
          <w:rFonts w:ascii="Times New Roman" w:hAnsi="Times New Roman" w:cs="Times New Roman"/>
          <w:sz w:val="28"/>
          <w:szCs w:val="28"/>
        </w:rPr>
        <w:t>ил 1</w:t>
      </w:r>
      <w:r w:rsidR="006E4DDE">
        <w:rPr>
          <w:rFonts w:ascii="Times New Roman" w:hAnsi="Times New Roman" w:cs="Times New Roman"/>
          <w:sz w:val="28"/>
          <w:szCs w:val="28"/>
        </w:rPr>
        <w:t>5</w:t>
      </w:r>
      <w:r w:rsidR="000A498F">
        <w:rPr>
          <w:rFonts w:ascii="Times New Roman" w:hAnsi="Times New Roman" w:cs="Times New Roman"/>
          <w:sz w:val="28"/>
          <w:szCs w:val="28"/>
        </w:rPr>
        <w:t xml:space="preserve"> минут</w:t>
      </w:r>
      <w:r w:rsidR="006E4DDE">
        <w:rPr>
          <w:rFonts w:ascii="Times New Roman" w:hAnsi="Times New Roman" w:cs="Times New Roman"/>
          <w:sz w:val="28"/>
          <w:szCs w:val="28"/>
        </w:rPr>
        <w:t>.</w:t>
      </w:r>
      <w:r w:rsidR="009A1A3B">
        <w:rPr>
          <w:rFonts w:ascii="Times New Roman" w:hAnsi="Times New Roman" w:cs="Times New Roman"/>
          <w:sz w:val="28"/>
          <w:szCs w:val="28"/>
        </w:rPr>
        <w:t xml:space="preserve"> </w:t>
      </w:r>
      <w:r w:rsidRPr="004804AA">
        <w:rPr>
          <w:rFonts w:ascii="Times New Roman" w:hAnsi="Times New Roman" w:cs="Times New Roman"/>
          <w:sz w:val="28"/>
          <w:szCs w:val="28"/>
        </w:rPr>
        <w:t>Это объясняется тем, что ученикам 1-х классов требовалось больше времени для разъяснения сути исследования и помощь преподавателя п</w:t>
      </w:r>
      <w:r w:rsidR="006E4DDE">
        <w:rPr>
          <w:rFonts w:ascii="Times New Roman" w:hAnsi="Times New Roman" w:cs="Times New Roman"/>
          <w:sz w:val="28"/>
          <w:szCs w:val="28"/>
        </w:rPr>
        <w:t>ри заполнении паспортной части</w:t>
      </w:r>
      <w:r w:rsidRPr="004804AA">
        <w:rPr>
          <w:rFonts w:ascii="Times New Roman" w:hAnsi="Times New Roman" w:cs="Times New Roman"/>
          <w:sz w:val="28"/>
          <w:szCs w:val="28"/>
        </w:rPr>
        <w:t xml:space="preserve">. </w:t>
      </w:r>
    </w:p>
    <w:p w14:paraId="67B5E3EB" w14:textId="69BABD4C"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В целом дистантное скрининговое исследование зрения данной группы школьников заняло 27 часов. Выездной бригаде офтальмологов для медосмотра данной группы учащихся понадобилось около 107 часов, включая время на перемещение и развертывание диагностического кабинета, внесение паспортных данных и данных результатов обследования. При этом не учитывалось время на выгрузку, просмотр, анализ данных и выписывание направления на дополнительное офтальмологическое обследование.</w:t>
      </w:r>
      <w:r w:rsidR="00444869">
        <w:rPr>
          <w:rFonts w:ascii="Times New Roman" w:hAnsi="Times New Roman" w:cs="Times New Roman"/>
          <w:sz w:val="28"/>
          <w:szCs w:val="28"/>
        </w:rPr>
        <w:t xml:space="preserve"> </w:t>
      </w:r>
    </w:p>
    <w:p w14:paraId="47F5A7D4"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36345AB7" w14:textId="57F86248" w:rsidR="00374DC5" w:rsidRDefault="00374DC5" w:rsidP="00A94515">
      <w:pPr>
        <w:spacing w:after="0" w:line="240" w:lineRule="auto"/>
        <w:jc w:val="both"/>
        <w:rPr>
          <w:rFonts w:ascii="Times New Roman" w:hAnsi="Times New Roman" w:cs="Times New Roman"/>
          <w:sz w:val="28"/>
          <w:szCs w:val="28"/>
        </w:rPr>
      </w:pPr>
      <w:r w:rsidRPr="004804AA">
        <w:rPr>
          <w:rFonts w:ascii="Times New Roman" w:hAnsi="Times New Roman" w:cs="Times New Roman"/>
          <w:sz w:val="28"/>
          <w:szCs w:val="28"/>
        </w:rPr>
        <w:t>Таблица</w:t>
      </w:r>
      <w:r w:rsidR="00A94515">
        <w:rPr>
          <w:rFonts w:ascii="Times New Roman" w:hAnsi="Times New Roman" w:cs="Times New Roman"/>
          <w:sz w:val="28"/>
          <w:szCs w:val="28"/>
        </w:rPr>
        <w:t xml:space="preserve"> </w:t>
      </w:r>
      <w:r w:rsidR="003D6E86" w:rsidRPr="00D32F18">
        <w:rPr>
          <w:rFonts w:ascii="Times New Roman" w:hAnsi="Times New Roman" w:cs="Times New Roman"/>
          <w:sz w:val="28"/>
          <w:szCs w:val="28"/>
        </w:rPr>
        <w:t>25</w:t>
      </w:r>
      <w:r w:rsidR="00A94515">
        <w:rPr>
          <w:rFonts w:ascii="Times New Roman" w:hAnsi="Times New Roman" w:cs="Times New Roman"/>
          <w:sz w:val="28"/>
          <w:szCs w:val="28"/>
        </w:rPr>
        <w:t xml:space="preserve"> -</w:t>
      </w:r>
      <w:r w:rsidRPr="004804AA">
        <w:rPr>
          <w:rFonts w:ascii="Times New Roman" w:hAnsi="Times New Roman" w:cs="Times New Roman"/>
          <w:sz w:val="28"/>
          <w:szCs w:val="28"/>
        </w:rPr>
        <w:t xml:space="preserve"> Время, затраченное на обследование 1 ребенка и на 1 класс при стандартном медицинском осмотре и при дистантном скрининге</w:t>
      </w:r>
    </w:p>
    <w:p w14:paraId="0D695DD6" w14:textId="77777777" w:rsidR="00A94515" w:rsidRPr="004804AA" w:rsidRDefault="00A94515" w:rsidP="00A94515">
      <w:pPr>
        <w:spacing w:after="0" w:line="240" w:lineRule="auto"/>
        <w:jc w:val="both"/>
        <w:rPr>
          <w:rFonts w:ascii="Times New Roman" w:hAnsi="Times New Roman" w:cs="Times New Roman"/>
          <w:sz w:val="28"/>
          <w:szCs w:val="28"/>
        </w:rPr>
      </w:pPr>
    </w:p>
    <w:tbl>
      <w:tblPr>
        <w:tblStyle w:val="af0"/>
        <w:tblW w:w="9209" w:type="dxa"/>
        <w:tblLook w:val="04A0" w:firstRow="1" w:lastRow="0" w:firstColumn="1" w:lastColumn="0" w:noHBand="0" w:noVBand="1"/>
      </w:tblPr>
      <w:tblGrid>
        <w:gridCol w:w="1640"/>
        <w:gridCol w:w="3713"/>
        <w:gridCol w:w="3856"/>
      </w:tblGrid>
      <w:tr w:rsidR="00374DC5" w:rsidRPr="00B75177" w14:paraId="6EF90183" w14:textId="77777777" w:rsidTr="00831405">
        <w:trPr>
          <w:trHeight w:val="825"/>
        </w:trPr>
        <w:tc>
          <w:tcPr>
            <w:tcW w:w="1640" w:type="dxa"/>
            <w:hideMark/>
          </w:tcPr>
          <w:p w14:paraId="1188EB23"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 </w:t>
            </w:r>
          </w:p>
        </w:tc>
        <w:tc>
          <w:tcPr>
            <w:tcW w:w="3713" w:type="dxa"/>
            <w:hideMark/>
          </w:tcPr>
          <w:p w14:paraId="4CB14A39"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Обследование стандартным методом</w:t>
            </w:r>
          </w:p>
        </w:tc>
        <w:tc>
          <w:tcPr>
            <w:tcW w:w="3856" w:type="dxa"/>
            <w:hideMark/>
          </w:tcPr>
          <w:p w14:paraId="48794280"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Дистантный скрининг</w:t>
            </w:r>
          </w:p>
        </w:tc>
      </w:tr>
      <w:tr w:rsidR="00374DC5" w:rsidRPr="00B75177" w14:paraId="2D4D6190" w14:textId="77777777" w:rsidTr="00831405">
        <w:trPr>
          <w:trHeight w:val="654"/>
        </w:trPr>
        <w:tc>
          <w:tcPr>
            <w:tcW w:w="1640" w:type="dxa"/>
            <w:hideMark/>
          </w:tcPr>
          <w:p w14:paraId="61BBF6B3"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Ученик 1 класса*</w:t>
            </w:r>
          </w:p>
        </w:tc>
        <w:tc>
          <w:tcPr>
            <w:tcW w:w="3713" w:type="dxa"/>
            <w:hideMark/>
          </w:tcPr>
          <w:p w14:paraId="02F41177"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10 - 12 минут</w:t>
            </w:r>
          </w:p>
        </w:tc>
        <w:tc>
          <w:tcPr>
            <w:tcW w:w="3856" w:type="dxa"/>
            <w:hideMark/>
          </w:tcPr>
          <w:p w14:paraId="684EACF0"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12 – 15 минут</w:t>
            </w:r>
          </w:p>
        </w:tc>
      </w:tr>
      <w:tr w:rsidR="00374DC5" w:rsidRPr="00B75177" w14:paraId="0F78B3C5" w14:textId="77777777" w:rsidTr="00831405">
        <w:trPr>
          <w:trHeight w:val="654"/>
        </w:trPr>
        <w:tc>
          <w:tcPr>
            <w:tcW w:w="1640" w:type="dxa"/>
          </w:tcPr>
          <w:p w14:paraId="0CA48AC9"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 xml:space="preserve">1-й класс </w:t>
            </w:r>
          </w:p>
        </w:tc>
        <w:tc>
          <w:tcPr>
            <w:tcW w:w="3713" w:type="dxa"/>
          </w:tcPr>
          <w:p w14:paraId="1F6D00B6"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340 минут</w:t>
            </w:r>
          </w:p>
        </w:tc>
        <w:tc>
          <w:tcPr>
            <w:tcW w:w="3856" w:type="dxa"/>
          </w:tcPr>
          <w:p w14:paraId="33C108BB"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70 – 80 минут</w:t>
            </w:r>
          </w:p>
        </w:tc>
      </w:tr>
      <w:tr w:rsidR="00374DC5" w:rsidRPr="00B75177" w14:paraId="5C4F71D3" w14:textId="77777777" w:rsidTr="00831405">
        <w:trPr>
          <w:trHeight w:val="654"/>
        </w:trPr>
        <w:tc>
          <w:tcPr>
            <w:tcW w:w="1640" w:type="dxa"/>
            <w:hideMark/>
          </w:tcPr>
          <w:p w14:paraId="24954B22"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Ученик 5-9 класса*</w:t>
            </w:r>
          </w:p>
        </w:tc>
        <w:tc>
          <w:tcPr>
            <w:tcW w:w="3713" w:type="dxa"/>
            <w:hideMark/>
          </w:tcPr>
          <w:p w14:paraId="0E702488"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10 - 12 минут</w:t>
            </w:r>
          </w:p>
        </w:tc>
        <w:tc>
          <w:tcPr>
            <w:tcW w:w="3856" w:type="dxa"/>
            <w:hideMark/>
          </w:tcPr>
          <w:p w14:paraId="7F362C53"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5 - 8 минут</w:t>
            </w:r>
          </w:p>
        </w:tc>
      </w:tr>
      <w:tr w:rsidR="00374DC5" w:rsidRPr="00B75177" w14:paraId="16878BAC" w14:textId="77777777" w:rsidTr="00831405">
        <w:trPr>
          <w:trHeight w:val="654"/>
        </w:trPr>
        <w:tc>
          <w:tcPr>
            <w:tcW w:w="1640" w:type="dxa"/>
          </w:tcPr>
          <w:p w14:paraId="6ECE874A"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5 – 9-й класс</w:t>
            </w:r>
          </w:p>
        </w:tc>
        <w:tc>
          <w:tcPr>
            <w:tcW w:w="3713" w:type="dxa"/>
          </w:tcPr>
          <w:p w14:paraId="04290158"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300 минут</w:t>
            </w:r>
          </w:p>
        </w:tc>
        <w:tc>
          <w:tcPr>
            <w:tcW w:w="3856" w:type="dxa"/>
          </w:tcPr>
          <w:p w14:paraId="34255055" w14:textId="77777777" w:rsidR="00374DC5" w:rsidRPr="00B75177" w:rsidRDefault="00374DC5" w:rsidP="00A94515">
            <w:pPr>
              <w:spacing w:after="0" w:line="240" w:lineRule="auto"/>
              <w:jc w:val="center"/>
              <w:rPr>
                <w:rFonts w:ascii="Times New Roman" w:eastAsia="Times New Roman" w:hAnsi="Times New Roman" w:cs="Times New Roman"/>
                <w:sz w:val="28"/>
                <w:szCs w:val="28"/>
              </w:rPr>
            </w:pPr>
            <w:r w:rsidRPr="00B75177">
              <w:rPr>
                <w:rFonts w:ascii="Times New Roman" w:eastAsia="Times New Roman" w:hAnsi="Times New Roman" w:cs="Times New Roman"/>
                <w:sz w:val="28"/>
                <w:szCs w:val="28"/>
              </w:rPr>
              <w:t>45 – 50 минут</w:t>
            </w:r>
          </w:p>
        </w:tc>
      </w:tr>
      <w:tr w:rsidR="00B75177" w:rsidRPr="00B75177" w14:paraId="19C3C77B" w14:textId="77777777" w:rsidTr="00831405">
        <w:trPr>
          <w:trHeight w:val="654"/>
        </w:trPr>
        <w:tc>
          <w:tcPr>
            <w:tcW w:w="9209" w:type="dxa"/>
            <w:gridSpan w:val="3"/>
          </w:tcPr>
          <w:p w14:paraId="1C12D6B6" w14:textId="74644D92" w:rsidR="00B75177" w:rsidRPr="005B35E7" w:rsidRDefault="005B35E7" w:rsidP="009139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Примечание - *</w:t>
            </w:r>
            <w:r w:rsidR="00B75177" w:rsidRPr="004804AA">
              <w:rPr>
                <w:rFonts w:ascii="Times New Roman" w:hAnsi="Times New Roman" w:cs="Times New Roman"/>
                <w:sz w:val="28"/>
                <w:szCs w:val="28"/>
              </w:rPr>
              <w:t>при средней наполняемости класса - 30 человек</w:t>
            </w:r>
          </w:p>
        </w:tc>
      </w:tr>
    </w:tbl>
    <w:p w14:paraId="2668F8D1"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241E23FF" w14:textId="7CF02162"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Таким образом, проведенный сравнительный анализ не выявил существенных различий по способности выявлять нарушения рефракции между методом медосмотра и методом дистанционного скрининга и показал сопоставимые данные по количеству выявленной патологии. Скрининг имеет достаточно высокую дискриминационную способность: чувствительность дистантного компьютерного скрининга составила 96,9%, специфичность 96,1%. Принципиальное значение имеет значительная экономия времени при дистантном скрининге, что может дать дополнительный экономический эффект при проведении обследования больших группа школьников.</w:t>
      </w:r>
      <w:r w:rsidR="00444869">
        <w:rPr>
          <w:rFonts w:ascii="Times New Roman" w:hAnsi="Times New Roman" w:cs="Times New Roman"/>
          <w:sz w:val="28"/>
          <w:szCs w:val="28"/>
        </w:rPr>
        <w:t xml:space="preserve"> </w:t>
      </w:r>
    </w:p>
    <w:p w14:paraId="3357BEB6" w14:textId="446C885D" w:rsidR="000D147B" w:rsidRDefault="000D147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83C1420" w14:textId="5195944C" w:rsidR="00374DC5" w:rsidRPr="0073206A" w:rsidRDefault="00374DC5" w:rsidP="005C37DF">
      <w:pPr>
        <w:spacing w:after="0" w:line="240" w:lineRule="auto"/>
        <w:ind w:firstLine="709"/>
        <w:jc w:val="both"/>
        <w:rPr>
          <w:rFonts w:ascii="Times New Roman" w:hAnsi="Times New Roman" w:cs="Times New Roman"/>
          <w:b/>
          <w:bCs/>
          <w:sz w:val="28"/>
          <w:szCs w:val="28"/>
        </w:rPr>
      </w:pPr>
      <w:r w:rsidRPr="0073206A">
        <w:rPr>
          <w:rFonts w:ascii="Times New Roman" w:hAnsi="Times New Roman" w:cs="Times New Roman"/>
          <w:b/>
          <w:bCs/>
          <w:sz w:val="28"/>
          <w:szCs w:val="28"/>
        </w:rPr>
        <w:lastRenderedPageBreak/>
        <w:t xml:space="preserve">3.4 Программа </w:t>
      </w:r>
      <w:r w:rsidR="005504CF">
        <w:rPr>
          <w:rFonts w:ascii="Times New Roman" w:hAnsi="Times New Roman" w:cs="Times New Roman"/>
          <w:b/>
          <w:bCs/>
          <w:sz w:val="28"/>
          <w:szCs w:val="28"/>
        </w:rPr>
        <w:t xml:space="preserve">диагностики и </w:t>
      </w:r>
      <w:r w:rsidRPr="0073206A">
        <w:rPr>
          <w:rFonts w:ascii="Times New Roman" w:hAnsi="Times New Roman" w:cs="Times New Roman"/>
          <w:b/>
          <w:bCs/>
          <w:sz w:val="28"/>
          <w:szCs w:val="28"/>
        </w:rPr>
        <w:t>профилактики развития и прогрессирования аномалий рефракции у школьников</w:t>
      </w:r>
    </w:p>
    <w:p w14:paraId="43DCD875" w14:textId="6D01F58E" w:rsidR="00374DC5" w:rsidRPr="00A26B14"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Разработанная нами программа предусматривает проведение скрининга для выявления аномалий рефракции, медикаментозных и аппаратных методов профилактики, а также консервативных и хирургических методов лечения и состоит из 4 последовательных этапов (см. Приложение </w:t>
      </w:r>
      <w:r w:rsidR="00AD7F3E">
        <w:rPr>
          <w:rFonts w:ascii="Times New Roman" w:hAnsi="Times New Roman" w:cs="Times New Roman"/>
          <w:sz w:val="28"/>
          <w:szCs w:val="28"/>
        </w:rPr>
        <w:t>Г</w:t>
      </w:r>
      <w:r w:rsidRPr="00E81FA1">
        <w:rPr>
          <w:rFonts w:ascii="Times New Roman" w:hAnsi="Times New Roman" w:cs="Times New Roman"/>
          <w:sz w:val="28"/>
          <w:szCs w:val="28"/>
        </w:rPr>
        <w:t>)</w:t>
      </w:r>
      <w:r w:rsidR="00A26B14">
        <w:rPr>
          <w:rFonts w:ascii="Times New Roman" w:hAnsi="Times New Roman" w:cs="Times New Roman"/>
          <w:sz w:val="28"/>
          <w:szCs w:val="28"/>
        </w:rPr>
        <w:t>:</w:t>
      </w:r>
      <w:r w:rsidR="00314437" w:rsidRPr="00E81FA1">
        <w:rPr>
          <w:rFonts w:ascii="Times New Roman" w:hAnsi="Times New Roman" w:cs="Times New Roman"/>
          <w:sz w:val="28"/>
          <w:szCs w:val="28"/>
        </w:rPr>
        <w:t xml:space="preserve"> </w:t>
      </w:r>
      <w:r w:rsidR="00A26B14" w:rsidRPr="00A26B14">
        <w:rPr>
          <w:rFonts w:ascii="Times New Roman" w:hAnsi="Times New Roman" w:cs="Times New Roman"/>
          <w:sz w:val="28"/>
          <w:szCs w:val="28"/>
        </w:rPr>
        <w:t>[249, 251, 252]</w:t>
      </w:r>
    </w:p>
    <w:p w14:paraId="0A68C943" w14:textId="77777777" w:rsidR="00374DC5" w:rsidRPr="004804AA" w:rsidRDefault="00374DC5" w:rsidP="005C37DF">
      <w:pPr>
        <w:pStyle w:val="ab"/>
        <w:numPr>
          <w:ilvl w:val="0"/>
          <w:numId w:val="14"/>
        </w:numPr>
        <w:spacing w:after="0" w:line="240" w:lineRule="auto"/>
        <w:ind w:left="0" w:firstLine="709"/>
        <w:jc w:val="both"/>
        <w:rPr>
          <w:rFonts w:ascii="Times New Roman" w:hAnsi="Times New Roman" w:cs="Times New Roman"/>
          <w:sz w:val="28"/>
          <w:szCs w:val="28"/>
        </w:rPr>
      </w:pPr>
      <w:r w:rsidRPr="004804AA">
        <w:rPr>
          <w:rFonts w:ascii="Times New Roman" w:hAnsi="Times New Roman" w:cs="Times New Roman"/>
          <w:sz w:val="28"/>
          <w:szCs w:val="28"/>
        </w:rPr>
        <w:t>кабинет информатики в школе</w:t>
      </w:r>
    </w:p>
    <w:p w14:paraId="70FDD120" w14:textId="77777777" w:rsidR="00374DC5" w:rsidRPr="004804AA" w:rsidRDefault="00374DC5" w:rsidP="005C37DF">
      <w:pPr>
        <w:pStyle w:val="ab"/>
        <w:numPr>
          <w:ilvl w:val="0"/>
          <w:numId w:val="14"/>
        </w:numPr>
        <w:spacing w:after="0" w:line="240" w:lineRule="auto"/>
        <w:ind w:left="0" w:firstLine="709"/>
        <w:jc w:val="both"/>
        <w:rPr>
          <w:rFonts w:ascii="Times New Roman" w:hAnsi="Times New Roman" w:cs="Times New Roman"/>
          <w:sz w:val="28"/>
          <w:szCs w:val="28"/>
        </w:rPr>
      </w:pPr>
      <w:r w:rsidRPr="004804AA">
        <w:rPr>
          <w:rFonts w:ascii="Times New Roman" w:hAnsi="Times New Roman" w:cs="Times New Roman"/>
          <w:sz w:val="28"/>
          <w:szCs w:val="28"/>
        </w:rPr>
        <w:t>офтальмолог районной поликлиники</w:t>
      </w:r>
    </w:p>
    <w:p w14:paraId="544CA4E5" w14:textId="77777777" w:rsidR="00374DC5" w:rsidRPr="004804AA" w:rsidRDefault="00374DC5" w:rsidP="005C37DF">
      <w:pPr>
        <w:pStyle w:val="ab"/>
        <w:numPr>
          <w:ilvl w:val="0"/>
          <w:numId w:val="14"/>
        </w:numPr>
        <w:spacing w:after="0" w:line="240" w:lineRule="auto"/>
        <w:ind w:left="0" w:firstLine="709"/>
        <w:jc w:val="both"/>
        <w:rPr>
          <w:rFonts w:ascii="Times New Roman" w:hAnsi="Times New Roman" w:cs="Times New Roman"/>
          <w:sz w:val="28"/>
          <w:szCs w:val="28"/>
        </w:rPr>
      </w:pPr>
      <w:r w:rsidRPr="004804AA">
        <w:rPr>
          <w:rFonts w:ascii="Times New Roman" w:hAnsi="Times New Roman" w:cs="Times New Roman"/>
          <w:sz w:val="28"/>
          <w:szCs w:val="28"/>
        </w:rPr>
        <w:t>кабинет охраны зрения детей и подростков</w:t>
      </w:r>
    </w:p>
    <w:p w14:paraId="1B5ED12A" w14:textId="792F8541" w:rsidR="00374DC5" w:rsidRDefault="00374DC5" w:rsidP="005C37DF">
      <w:pPr>
        <w:pStyle w:val="ab"/>
        <w:numPr>
          <w:ilvl w:val="0"/>
          <w:numId w:val="14"/>
        </w:numPr>
        <w:spacing w:after="0" w:line="240" w:lineRule="auto"/>
        <w:ind w:left="0" w:firstLine="709"/>
        <w:jc w:val="both"/>
        <w:rPr>
          <w:rFonts w:ascii="Times New Roman" w:hAnsi="Times New Roman" w:cs="Times New Roman"/>
          <w:sz w:val="28"/>
          <w:szCs w:val="28"/>
        </w:rPr>
      </w:pPr>
      <w:r w:rsidRPr="004804AA">
        <w:rPr>
          <w:rFonts w:ascii="Times New Roman" w:hAnsi="Times New Roman" w:cs="Times New Roman"/>
          <w:sz w:val="28"/>
          <w:szCs w:val="28"/>
        </w:rPr>
        <w:t>офтальмологический стационар</w:t>
      </w:r>
    </w:p>
    <w:p w14:paraId="1F8B0849" w14:textId="77777777" w:rsidR="00374DC5" w:rsidRPr="004804AA" w:rsidRDefault="00374DC5" w:rsidP="00F252AE">
      <w:pPr>
        <w:spacing w:after="0" w:line="240" w:lineRule="auto"/>
        <w:jc w:val="both"/>
        <w:rPr>
          <w:rFonts w:ascii="Times New Roman" w:hAnsi="Times New Roman" w:cs="Times New Roman"/>
          <w:sz w:val="28"/>
          <w:szCs w:val="28"/>
        </w:rPr>
      </w:pPr>
      <w:r w:rsidRPr="004804AA">
        <w:rPr>
          <w:rFonts w:ascii="Times New Roman" w:hAnsi="Times New Roman" w:cs="Times New Roman"/>
          <w:noProof/>
          <w:sz w:val="28"/>
          <w:szCs w:val="28"/>
        </w:rPr>
        <w:drawing>
          <wp:inline distT="0" distB="0" distL="0" distR="0" wp14:anchorId="361C71C3" wp14:editId="7C450F6B">
            <wp:extent cx="5825490" cy="30022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7066" t="24402" r="14442" b="22007"/>
                    <a:stretch/>
                  </pic:blipFill>
                  <pic:spPr bwMode="auto">
                    <a:xfrm>
                      <a:off x="0" y="0"/>
                      <a:ext cx="5825490" cy="3002280"/>
                    </a:xfrm>
                    <a:prstGeom prst="rect">
                      <a:avLst/>
                    </a:prstGeom>
                    <a:ln>
                      <a:noFill/>
                    </a:ln>
                    <a:extLst>
                      <a:ext uri="{53640926-AAD7-44D8-BBD7-CCE9431645EC}">
                        <a14:shadowObscured xmlns:a14="http://schemas.microsoft.com/office/drawing/2010/main"/>
                      </a:ext>
                    </a:extLst>
                  </pic:spPr>
                </pic:pic>
              </a:graphicData>
            </a:graphic>
          </wp:inline>
        </w:drawing>
      </w:r>
    </w:p>
    <w:p w14:paraId="33C98BB2" w14:textId="0A2B2EF1" w:rsidR="00374DC5" w:rsidRPr="00A26B14" w:rsidRDefault="00374DC5" w:rsidP="005C37DF">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 xml:space="preserve">Рисунок </w:t>
      </w:r>
      <w:r w:rsidR="007263F7">
        <w:rPr>
          <w:rFonts w:ascii="Times New Roman" w:hAnsi="Times New Roman" w:cs="Times New Roman"/>
          <w:sz w:val="28"/>
          <w:szCs w:val="28"/>
        </w:rPr>
        <w:t>1</w:t>
      </w:r>
      <w:r w:rsidR="00DD1211">
        <w:rPr>
          <w:rFonts w:ascii="Times New Roman" w:hAnsi="Times New Roman" w:cs="Times New Roman"/>
          <w:sz w:val="28"/>
          <w:szCs w:val="28"/>
        </w:rPr>
        <w:t>2</w:t>
      </w:r>
      <w:r w:rsidR="007263F7">
        <w:rPr>
          <w:rFonts w:ascii="Times New Roman" w:hAnsi="Times New Roman" w:cs="Times New Roman"/>
          <w:sz w:val="28"/>
          <w:szCs w:val="28"/>
        </w:rPr>
        <w:t xml:space="preserve"> </w:t>
      </w:r>
      <w:r w:rsidR="00F252AE">
        <w:rPr>
          <w:rFonts w:ascii="Times New Roman" w:hAnsi="Times New Roman" w:cs="Times New Roman"/>
          <w:sz w:val="28"/>
          <w:szCs w:val="28"/>
        </w:rPr>
        <w:t>-</w:t>
      </w:r>
      <w:r w:rsidRPr="004804AA">
        <w:rPr>
          <w:rFonts w:ascii="Times New Roman" w:hAnsi="Times New Roman" w:cs="Times New Roman"/>
          <w:sz w:val="28"/>
          <w:szCs w:val="28"/>
        </w:rPr>
        <w:t xml:space="preserve"> Условная схема передачи данных в рамках программы профилактики развития и прогрессирования аномалий рефракции у школьников</w:t>
      </w:r>
      <w:r w:rsidR="00A26B14">
        <w:rPr>
          <w:rFonts w:ascii="Times New Roman" w:hAnsi="Times New Roman" w:cs="Times New Roman"/>
          <w:sz w:val="28"/>
          <w:szCs w:val="28"/>
        </w:rPr>
        <w:t xml:space="preserve"> </w:t>
      </w:r>
      <w:r w:rsidR="00A26B14" w:rsidRPr="00A26B14">
        <w:rPr>
          <w:rFonts w:ascii="Times New Roman" w:hAnsi="Times New Roman" w:cs="Times New Roman"/>
          <w:sz w:val="28"/>
          <w:szCs w:val="28"/>
        </w:rPr>
        <w:t>[252]</w:t>
      </w:r>
    </w:p>
    <w:p w14:paraId="5375191B" w14:textId="77777777" w:rsidR="00D941F8" w:rsidRPr="004804AA" w:rsidRDefault="00D941F8" w:rsidP="005C37DF">
      <w:pPr>
        <w:spacing w:after="0" w:line="240" w:lineRule="auto"/>
        <w:ind w:firstLine="709"/>
        <w:jc w:val="center"/>
        <w:rPr>
          <w:rFonts w:ascii="Times New Roman" w:hAnsi="Times New Roman" w:cs="Times New Roman"/>
          <w:sz w:val="28"/>
          <w:szCs w:val="28"/>
        </w:rPr>
      </w:pPr>
    </w:p>
    <w:p w14:paraId="560107D3" w14:textId="4D24F0BB" w:rsidR="00374DC5" w:rsidRPr="001D70F1"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b/>
          <w:bCs/>
          <w:sz w:val="28"/>
          <w:szCs w:val="28"/>
        </w:rPr>
        <w:t>Первый этап</w:t>
      </w:r>
      <w:r w:rsidRPr="004804AA">
        <w:rPr>
          <w:rFonts w:ascii="Times New Roman" w:hAnsi="Times New Roman" w:cs="Times New Roman"/>
          <w:sz w:val="28"/>
          <w:szCs w:val="28"/>
        </w:rPr>
        <w:t xml:space="preserve"> предусматривает выявление снижения зрения с помощью компьютерной программы дистантного скрининга, установленной на базе компьютерных классов школ и осуществляется обученными педагогами. Скрининг проводится среди учащихся 1, 5 и 9 классов. Обследование проводится в компьютерном классе обученным учителем информатики одномоментно в группе из 5 школьников. По завершению обследования результаты автоматически заносятся в базу данных кабинета охраны зрения, хранятся в ней персонализировано, по необходимости выгружаются и анализируются специалистами (рисунок</w:t>
      </w:r>
      <w:r w:rsidR="009822EC">
        <w:rPr>
          <w:rFonts w:ascii="Times New Roman" w:hAnsi="Times New Roman" w:cs="Times New Roman"/>
          <w:sz w:val="28"/>
          <w:szCs w:val="28"/>
        </w:rPr>
        <w:t xml:space="preserve"> </w:t>
      </w:r>
      <w:r w:rsidR="000D53E4">
        <w:rPr>
          <w:rFonts w:ascii="Times New Roman" w:hAnsi="Times New Roman" w:cs="Times New Roman"/>
          <w:sz w:val="28"/>
          <w:szCs w:val="28"/>
        </w:rPr>
        <w:t>1</w:t>
      </w:r>
      <w:r w:rsidR="00DD1211">
        <w:rPr>
          <w:rFonts w:ascii="Times New Roman" w:hAnsi="Times New Roman" w:cs="Times New Roman"/>
          <w:sz w:val="28"/>
          <w:szCs w:val="28"/>
        </w:rPr>
        <w:t>2</w:t>
      </w:r>
      <w:r w:rsidR="000D53E4">
        <w:rPr>
          <w:rFonts w:ascii="Times New Roman" w:hAnsi="Times New Roman" w:cs="Times New Roman"/>
          <w:sz w:val="28"/>
          <w:szCs w:val="28"/>
        </w:rPr>
        <w:t xml:space="preserve"> - </w:t>
      </w:r>
      <w:r w:rsidR="009822EC">
        <w:rPr>
          <w:rFonts w:ascii="Times New Roman" w:hAnsi="Times New Roman" w:cs="Times New Roman"/>
          <w:sz w:val="28"/>
          <w:szCs w:val="28"/>
        </w:rPr>
        <w:t>1</w:t>
      </w:r>
      <w:r w:rsidR="00DD1211">
        <w:rPr>
          <w:rFonts w:ascii="Times New Roman" w:hAnsi="Times New Roman" w:cs="Times New Roman"/>
          <w:sz w:val="28"/>
          <w:szCs w:val="28"/>
        </w:rPr>
        <w:t>3</w:t>
      </w:r>
      <w:r w:rsidRPr="004804AA">
        <w:rPr>
          <w:rFonts w:ascii="Times New Roman" w:hAnsi="Times New Roman" w:cs="Times New Roman"/>
          <w:sz w:val="28"/>
          <w:szCs w:val="28"/>
        </w:rPr>
        <w:t>). По результатам первого этапа педагогами составляется список «А» - список школьников с остротой зрения ниже 1,0, который передается районному офтальмологу. Родителям или законным представителям школьников из этой группы выдается направление к детскому офтальмологу в городскую или районную поликлинику для дообследования.</w:t>
      </w:r>
      <w:r w:rsidR="001D70F1" w:rsidRPr="001D70F1">
        <w:rPr>
          <w:rFonts w:ascii="Times New Roman" w:hAnsi="Times New Roman" w:cs="Times New Roman"/>
          <w:sz w:val="28"/>
          <w:szCs w:val="28"/>
        </w:rPr>
        <w:t xml:space="preserve"> [251]</w:t>
      </w:r>
    </w:p>
    <w:p w14:paraId="00961388" w14:textId="77777777" w:rsidR="00374DC5" w:rsidRPr="004804AA" w:rsidRDefault="00374DC5" w:rsidP="00A83197">
      <w:pPr>
        <w:spacing w:after="0" w:line="240" w:lineRule="auto"/>
        <w:jc w:val="both"/>
        <w:rPr>
          <w:rFonts w:ascii="Times New Roman" w:hAnsi="Times New Roman" w:cs="Times New Roman"/>
          <w:sz w:val="28"/>
          <w:szCs w:val="28"/>
        </w:rPr>
      </w:pPr>
      <w:r w:rsidRPr="004804AA">
        <w:rPr>
          <w:rFonts w:ascii="Times New Roman" w:hAnsi="Times New Roman" w:cs="Times New Roman"/>
          <w:noProof/>
          <w:sz w:val="28"/>
          <w:szCs w:val="28"/>
        </w:rPr>
        <w:lastRenderedPageBreak/>
        <w:drawing>
          <wp:inline distT="0" distB="0" distL="0" distR="0" wp14:anchorId="006D63F3" wp14:editId="7FA0204A">
            <wp:extent cx="6021429" cy="2270760"/>
            <wp:effectExtent l="0" t="0" r="0"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rotWithShape="1">
                    <a:blip r:embed="rId36"/>
                    <a:srcRect l="1413" t="24857" r="-181" b="9008"/>
                    <a:stretch/>
                  </pic:blipFill>
                  <pic:spPr bwMode="auto">
                    <a:xfrm>
                      <a:off x="0" y="0"/>
                      <a:ext cx="6025794" cy="2272406"/>
                    </a:xfrm>
                    <a:prstGeom prst="rect">
                      <a:avLst/>
                    </a:prstGeom>
                    <a:ln>
                      <a:noFill/>
                    </a:ln>
                    <a:extLst>
                      <a:ext uri="{53640926-AAD7-44D8-BBD7-CCE9431645EC}">
                        <a14:shadowObscured xmlns:a14="http://schemas.microsoft.com/office/drawing/2010/main"/>
                      </a:ext>
                    </a:extLst>
                  </pic:spPr>
                </pic:pic>
              </a:graphicData>
            </a:graphic>
          </wp:inline>
        </w:drawing>
      </w:r>
    </w:p>
    <w:p w14:paraId="1877EEC6" w14:textId="74AB5873" w:rsidR="00374DC5" w:rsidRDefault="00374DC5" w:rsidP="00AE084E">
      <w:pPr>
        <w:spacing w:after="0" w:line="240" w:lineRule="auto"/>
        <w:ind w:firstLine="709"/>
        <w:jc w:val="center"/>
        <w:rPr>
          <w:rFonts w:ascii="Times New Roman" w:hAnsi="Times New Roman" w:cs="Times New Roman"/>
          <w:sz w:val="28"/>
          <w:szCs w:val="28"/>
        </w:rPr>
      </w:pPr>
      <w:r w:rsidRPr="004804AA">
        <w:rPr>
          <w:rFonts w:ascii="Times New Roman" w:hAnsi="Times New Roman" w:cs="Times New Roman"/>
          <w:sz w:val="28"/>
          <w:szCs w:val="28"/>
        </w:rPr>
        <w:t>Рисунок</w:t>
      </w:r>
      <w:r w:rsidR="00F252AE">
        <w:rPr>
          <w:rFonts w:ascii="Times New Roman" w:hAnsi="Times New Roman" w:cs="Times New Roman"/>
          <w:sz w:val="28"/>
          <w:szCs w:val="28"/>
        </w:rPr>
        <w:t xml:space="preserve"> </w:t>
      </w:r>
      <w:r w:rsidR="000D53E4">
        <w:rPr>
          <w:rFonts w:ascii="Times New Roman" w:hAnsi="Times New Roman" w:cs="Times New Roman"/>
          <w:sz w:val="28"/>
          <w:szCs w:val="28"/>
        </w:rPr>
        <w:t>1</w:t>
      </w:r>
      <w:r w:rsidR="00DD1211">
        <w:rPr>
          <w:rFonts w:ascii="Times New Roman" w:hAnsi="Times New Roman" w:cs="Times New Roman"/>
          <w:sz w:val="28"/>
          <w:szCs w:val="28"/>
        </w:rPr>
        <w:t>3</w:t>
      </w:r>
      <w:r w:rsidR="00F252AE">
        <w:rPr>
          <w:rFonts w:ascii="Times New Roman" w:hAnsi="Times New Roman" w:cs="Times New Roman"/>
          <w:sz w:val="28"/>
          <w:szCs w:val="28"/>
        </w:rPr>
        <w:t xml:space="preserve"> - </w:t>
      </w:r>
      <w:r w:rsidRPr="004804AA">
        <w:rPr>
          <w:rFonts w:ascii="Times New Roman" w:hAnsi="Times New Roman" w:cs="Times New Roman"/>
          <w:sz w:val="28"/>
          <w:szCs w:val="28"/>
        </w:rPr>
        <w:t>Выгрузка данных скрининга (закрашенные области - персональные данные учащихся)</w:t>
      </w:r>
    </w:p>
    <w:p w14:paraId="04195202" w14:textId="77777777" w:rsidR="00AE084E" w:rsidRPr="004804AA" w:rsidRDefault="00AE084E" w:rsidP="005C37DF">
      <w:pPr>
        <w:spacing w:after="0" w:line="240" w:lineRule="auto"/>
        <w:ind w:firstLine="709"/>
        <w:jc w:val="both"/>
        <w:rPr>
          <w:rFonts w:ascii="Times New Roman" w:hAnsi="Times New Roman" w:cs="Times New Roman"/>
          <w:sz w:val="28"/>
          <w:szCs w:val="28"/>
        </w:rPr>
      </w:pPr>
    </w:p>
    <w:p w14:paraId="4C0FD568" w14:textId="6012EE55"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b/>
          <w:bCs/>
          <w:sz w:val="28"/>
          <w:szCs w:val="28"/>
        </w:rPr>
        <w:t>Второй этап</w:t>
      </w:r>
      <w:r w:rsidRPr="004804AA">
        <w:rPr>
          <w:rFonts w:ascii="Times New Roman" w:hAnsi="Times New Roman" w:cs="Times New Roman"/>
          <w:sz w:val="28"/>
          <w:szCs w:val="28"/>
        </w:rPr>
        <w:t xml:space="preserve"> проводится в районных или городских поликлиниках непосредственно </w:t>
      </w:r>
      <w:r w:rsidR="00A83197" w:rsidRPr="004804AA">
        <w:rPr>
          <w:rFonts w:ascii="Times New Roman" w:hAnsi="Times New Roman" w:cs="Times New Roman"/>
          <w:sz w:val="28"/>
          <w:szCs w:val="28"/>
        </w:rPr>
        <w:t>врачами-офтальмологами</w:t>
      </w:r>
      <w:r w:rsidRPr="004804AA">
        <w:rPr>
          <w:rFonts w:ascii="Times New Roman" w:hAnsi="Times New Roman" w:cs="Times New Roman"/>
          <w:sz w:val="28"/>
          <w:szCs w:val="28"/>
        </w:rPr>
        <w:t xml:space="preserve">. На данном этапе с учетом данных скрининг-тестирования проводится офтальмологическое обследование школьников из списка «А». Офтальмологическое обследование включает себя визометрию без коррекции и с коррекцией, определение рефракции в условиях циклоплегии, определение запаса относительной аккомодации, биомикроскопию и офтальмоскопию. На этом этапе выявляются учащиеся с ложноположительными результатами скрининга. На основании офтальмологического обследования из числа детей с подтвержденными нарушениями зрения формируются группы риска и списки «В» и «С». Список «В» включает в себя школьников с установленным диагнозом нарушения рефракции, взятых на диспансерный учет офтальмологами в районных и городских поликлиниках. Детям составляют индивидуальные рекомендации по профилактике прогрессирования и коррекции нарушений зрения в школе и дома, проводят просветительскую работу с родителями школьника. По необходимости ребенку подбирают очковую коррекцию, назначают консервативное (медикаментозное, </w:t>
      </w:r>
      <w:bookmarkStart w:id="51" w:name="_Hlk100574686"/>
      <w:r w:rsidRPr="004804AA">
        <w:rPr>
          <w:rFonts w:ascii="Times New Roman" w:hAnsi="Times New Roman" w:cs="Times New Roman"/>
          <w:sz w:val="28"/>
          <w:szCs w:val="28"/>
        </w:rPr>
        <w:t xml:space="preserve">плеопто-ортоптическое) лечение </w:t>
      </w:r>
      <w:bookmarkEnd w:id="51"/>
      <w:r w:rsidRPr="004804AA">
        <w:rPr>
          <w:rFonts w:ascii="Times New Roman" w:hAnsi="Times New Roman" w:cs="Times New Roman"/>
          <w:sz w:val="28"/>
          <w:szCs w:val="28"/>
        </w:rPr>
        <w:t>в детском отделении амбулаторно-поликлинического учреждения, а в случае необходимости ребёнок направляется на дополнительное обследование, консультацию узких специалистов (невропатолога, эндокринолога, ЛОР и др).</w:t>
      </w:r>
      <w:r w:rsidR="00A26B14" w:rsidRPr="00A26B14">
        <w:rPr>
          <w:rFonts w:ascii="Times New Roman" w:hAnsi="Times New Roman" w:cs="Times New Roman"/>
          <w:sz w:val="28"/>
          <w:szCs w:val="28"/>
        </w:rPr>
        <w:t xml:space="preserve"> </w:t>
      </w:r>
      <w:r w:rsidR="00A26B14">
        <w:rPr>
          <w:rFonts w:ascii="Times New Roman" w:hAnsi="Times New Roman" w:cs="Times New Roman"/>
          <w:sz w:val="28"/>
          <w:szCs w:val="28"/>
          <w:lang w:val="en-US"/>
        </w:rPr>
        <w:t>[252]</w:t>
      </w:r>
      <w:r w:rsidRPr="004804AA">
        <w:rPr>
          <w:rFonts w:ascii="Times New Roman" w:hAnsi="Times New Roman" w:cs="Times New Roman"/>
          <w:sz w:val="28"/>
          <w:szCs w:val="28"/>
        </w:rPr>
        <w:t xml:space="preserve"> </w:t>
      </w:r>
    </w:p>
    <w:p w14:paraId="167AD3F5" w14:textId="127BD5A7"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Школьников, которые нуждаются в регулярном наблюдении и лечении, включают в список «С» и направляют на лечение в кабинет охраны зрения детей. Школьники с нарушениями зрения любой степени подлежат диспансерному наблюдению. Сроки осмотра при диспансерном наблюдении определяются видом нарушения зрения и его степенью: от 1 до 4 раз в год. Главная задача диспансеризации и лечебных мероприятий – стабилизировать или замедлить прогрессирование болезни и предупредить развитие осложнений, а среди детей группы риска - предупредить развитие болезни.</w:t>
      </w:r>
    </w:p>
    <w:p w14:paraId="01221FA5" w14:textId="708A7965" w:rsidR="00374DC5" w:rsidRPr="00A26B14"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lastRenderedPageBreak/>
        <w:t xml:space="preserve">Принципиально важной является образовательная составляющая данного этапа. Для повышения уровня информированности учащихся средних и старших классов по вопросам профилактики и коррекции нарушений и заболеваний органа зрения предусмотрены уроки здоровья, которые проводят врачи в общеобразовательных учреждениях. Вместе с тем предусмотрено проведение санитарно-просветительной и профилактической работы с родителями школьников из групп риска возникновения аномалий рефракции. </w:t>
      </w:r>
      <w:r w:rsidR="001D70F1" w:rsidRPr="00A26B14">
        <w:rPr>
          <w:rFonts w:ascii="Times New Roman" w:hAnsi="Times New Roman" w:cs="Times New Roman"/>
          <w:sz w:val="28"/>
          <w:szCs w:val="28"/>
        </w:rPr>
        <w:t>[251]</w:t>
      </w:r>
    </w:p>
    <w:p w14:paraId="1524B4EA" w14:textId="77777777"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b/>
          <w:bCs/>
          <w:sz w:val="28"/>
          <w:szCs w:val="28"/>
        </w:rPr>
        <w:t>Третий этап программы</w:t>
      </w:r>
      <w:r w:rsidRPr="004804AA">
        <w:rPr>
          <w:rFonts w:ascii="Times New Roman" w:hAnsi="Times New Roman" w:cs="Times New Roman"/>
          <w:sz w:val="28"/>
          <w:szCs w:val="28"/>
        </w:rPr>
        <w:t xml:space="preserve"> профилактики развития и прогрессирования нарушений зрения проводится в кабинете охраны зрения детей, где осуществляется аппаратное лечение (плеопто-ортоптическое лечение, тренировки </w:t>
      </w:r>
      <w:bookmarkStart w:id="52" w:name="_Hlk100574749"/>
      <w:r w:rsidRPr="004804AA">
        <w:rPr>
          <w:rFonts w:ascii="Times New Roman" w:hAnsi="Times New Roman" w:cs="Times New Roman"/>
          <w:sz w:val="28"/>
          <w:szCs w:val="28"/>
        </w:rPr>
        <w:t>аккомодации</w:t>
      </w:r>
      <w:bookmarkEnd w:id="52"/>
      <w:r w:rsidRPr="004804AA">
        <w:rPr>
          <w:rFonts w:ascii="Times New Roman" w:hAnsi="Times New Roman" w:cs="Times New Roman"/>
          <w:sz w:val="28"/>
          <w:szCs w:val="28"/>
        </w:rPr>
        <w:t xml:space="preserve">) и курсовое медикаментозное лечение осложненной близорукости. По показаниям учащийся направляется на дополнительные методы обследования (УЗИ, циклоскопия, ЭФИ, ОСТ) и лечения </w:t>
      </w:r>
      <w:bookmarkStart w:id="53" w:name="_Hlk100574733"/>
      <w:r w:rsidRPr="004804AA">
        <w:rPr>
          <w:rFonts w:ascii="Times New Roman" w:hAnsi="Times New Roman" w:cs="Times New Roman"/>
          <w:sz w:val="28"/>
          <w:szCs w:val="28"/>
        </w:rPr>
        <w:t>(лазеркоагуляция сетчатки, хирургическое лечение</w:t>
      </w:r>
      <w:bookmarkEnd w:id="53"/>
      <w:r w:rsidRPr="004804AA">
        <w:rPr>
          <w:rFonts w:ascii="Times New Roman" w:hAnsi="Times New Roman" w:cs="Times New Roman"/>
          <w:sz w:val="28"/>
          <w:szCs w:val="28"/>
        </w:rPr>
        <w:t>).</w:t>
      </w:r>
    </w:p>
    <w:p w14:paraId="3C3D42C9" w14:textId="13378421" w:rsidR="00374DC5" w:rsidRPr="004804AA" w:rsidRDefault="00374DC5"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При наличии серьезных нарушений органа зрения на </w:t>
      </w:r>
      <w:r w:rsidRPr="004804AA">
        <w:rPr>
          <w:rFonts w:ascii="Times New Roman" w:hAnsi="Times New Roman" w:cs="Times New Roman"/>
          <w:b/>
          <w:bCs/>
          <w:sz w:val="28"/>
          <w:szCs w:val="28"/>
        </w:rPr>
        <w:t>четвертом этапе программы</w:t>
      </w:r>
      <w:r w:rsidRPr="004804AA">
        <w:rPr>
          <w:rFonts w:ascii="Times New Roman" w:hAnsi="Times New Roman" w:cs="Times New Roman"/>
          <w:sz w:val="28"/>
          <w:szCs w:val="28"/>
        </w:rPr>
        <w:t xml:space="preserve"> предусматривается стационарное лечение, которое включает хирургическое лечение при осложнениях близорукости, витреоретинальную хирургию, хирургию косоглазия и рефракционных нарушений.</w:t>
      </w:r>
      <w:r w:rsidR="001D70F1" w:rsidRPr="001D70F1">
        <w:rPr>
          <w:rFonts w:ascii="Times New Roman" w:hAnsi="Times New Roman" w:cs="Times New Roman"/>
          <w:sz w:val="28"/>
          <w:szCs w:val="28"/>
        </w:rPr>
        <w:t xml:space="preserve"> </w:t>
      </w:r>
      <w:r w:rsidR="001D70F1" w:rsidRPr="00A26B14">
        <w:rPr>
          <w:rFonts w:ascii="Times New Roman" w:hAnsi="Times New Roman" w:cs="Times New Roman"/>
          <w:sz w:val="28"/>
          <w:szCs w:val="28"/>
        </w:rPr>
        <w:t>[251]</w:t>
      </w:r>
      <w:r w:rsidRPr="004804AA">
        <w:rPr>
          <w:rFonts w:ascii="Times New Roman" w:hAnsi="Times New Roman" w:cs="Times New Roman"/>
          <w:sz w:val="28"/>
          <w:szCs w:val="28"/>
        </w:rPr>
        <w:t xml:space="preserve"> </w:t>
      </w:r>
    </w:p>
    <w:p w14:paraId="011E23BA" w14:textId="3D869B45"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Для оценки эффективности программы профилактики </w:t>
      </w:r>
      <w:r w:rsidRPr="00910389">
        <w:rPr>
          <w:rFonts w:ascii="Times New Roman" w:eastAsia="Times New Roman" w:hAnsi="Times New Roman" w:cs="Times New Roman"/>
          <w:sz w:val="28"/>
          <w:szCs w:val="28"/>
        </w:rPr>
        <w:t>развития и прогрессирования аномалий рефракции</w:t>
      </w:r>
      <w:r w:rsidRPr="00910389">
        <w:rPr>
          <w:rFonts w:ascii="Times New Roman" w:eastAsia="Calibri" w:hAnsi="Times New Roman" w:cs="Times New Roman"/>
          <w:sz w:val="28"/>
          <w:szCs w:val="28"/>
        </w:rPr>
        <w:t xml:space="preserve"> нами было обследовано в динамике 1302 учащихся из гимназических и общеобразовательных школ.</w:t>
      </w:r>
      <w:r w:rsidR="00A26B14" w:rsidRPr="00A26B14">
        <w:rPr>
          <w:rFonts w:ascii="Times New Roman" w:eastAsia="Calibri" w:hAnsi="Times New Roman" w:cs="Times New Roman"/>
          <w:sz w:val="28"/>
          <w:szCs w:val="28"/>
        </w:rPr>
        <w:t xml:space="preserve"> </w:t>
      </w:r>
      <w:r w:rsidR="00A26B14">
        <w:rPr>
          <w:rFonts w:ascii="Times New Roman" w:eastAsia="Calibri" w:hAnsi="Times New Roman" w:cs="Times New Roman"/>
          <w:sz w:val="28"/>
          <w:szCs w:val="28"/>
          <w:lang w:val="en-US"/>
        </w:rPr>
        <w:t>[252]</w:t>
      </w:r>
      <w:r w:rsidRPr="00910389">
        <w:rPr>
          <w:rFonts w:ascii="Times New Roman" w:eastAsia="Calibri" w:hAnsi="Times New Roman" w:cs="Times New Roman"/>
          <w:sz w:val="28"/>
          <w:szCs w:val="28"/>
        </w:rPr>
        <w:t xml:space="preserve"> </w:t>
      </w:r>
    </w:p>
    <w:p w14:paraId="7C4D544F"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Оценка проводилась по следующим критериям:</w:t>
      </w:r>
    </w:p>
    <w:p w14:paraId="3DA84E51"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общее число детей выявленными нарушениями рефракции через год;</w:t>
      </w:r>
    </w:p>
    <w:p w14:paraId="7CD142ED"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 средний </w:t>
      </w:r>
      <w:r w:rsidRPr="00910389">
        <w:rPr>
          <w:rFonts w:ascii="Times New Roman" w:eastAsia="Calibri" w:hAnsi="Times New Roman" w:cs="Times New Roman"/>
          <w:sz w:val="28"/>
          <w:szCs w:val="28"/>
          <w:lang w:val="en-US"/>
        </w:rPr>
        <w:t>SER</w:t>
      </w:r>
      <w:r w:rsidRPr="00910389">
        <w:rPr>
          <w:rFonts w:ascii="Times New Roman" w:eastAsia="Calibri" w:hAnsi="Times New Roman" w:cs="Times New Roman"/>
          <w:sz w:val="28"/>
          <w:szCs w:val="28"/>
        </w:rPr>
        <w:t xml:space="preserve"> детей </w:t>
      </w:r>
      <w:r>
        <w:rPr>
          <w:rFonts w:ascii="Times New Roman" w:eastAsia="Calibri" w:hAnsi="Times New Roman" w:cs="Times New Roman"/>
          <w:sz w:val="28"/>
          <w:szCs w:val="28"/>
        </w:rPr>
        <w:t>с</w:t>
      </w:r>
      <w:r w:rsidRPr="00910389">
        <w:rPr>
          <w:rFonts w:ascii="Times New Roman" w:eastAsia="Calibri" w:hAnsi="Times New Roman" w:cs="Times New Roman"/>
          <w:sz w:val="28"/>
          <w:szCs w:val="28"/>
        </w:rPr>
        <w:t xml:space="preserve"> выявленными нарушениями рефракции;</w:t>
      </w:r>
    </w:p>
    <w:p w14:paraId="03018592"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количество детей, обратившихся в кабинет охраны зрения детей;</w:t>
      </w:r>
    </w:p>
    <w:p w14:paraId="6C6DF519"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количество детей, направленных на консультацию и/или лечение к офтальмологу по месту жительства или в КазНИИ глазных болезней.</w:t>
      </w:r>
    </w:p>
    <w:p w14:paraId="1DFF74AC" w14:textId="77777777" w:rsidR="00F04806" w:rsidRDefault="007F3D2C" w:rsidP="00F04806">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681 ребенок составили группу контроля и был</w:t>
      </w:r>
      <w:r w:rsidR="00F04806">
        <w:rPr>
          <w:rFonts w:ascii="Times New Roman" w:eastAsia="Calibri" w:hAnsi="Times New Roman" w:cs="Times New Roman"/>
          <w:sz w:val="28"/>
          <w:szCs w:val="28"/>
        </w:rPr>
        <w:t>и</w:t>
      </w:r>
      <w:r w:rsidRPr="00910389">
        <w:rPr>
          <w:rFonts w:ascii="Times New Roman" w:eastAsia="Calibri" w:hAnsi="Times New Roman" w:cs="Times New Roman"/>
          <w:sz w:val="28"/>
          <w:szCs w:val="28"/>
        </w:rPr>
        <w:t xml:space="preserve"> осмотрены дважды, с разницей в один календарный год. </w:t>
      </w:r>
      <w:r w:rsidR="00F04806">
        <w:rPr>
          <w:rFonts w:ascii="Times New Roman" w:eastAsia="Calibri" w:hAnsi="Times New Roman" w:cs="Times New Roman"/>
          <w:sz w:val="28"/>
          <w:szCs w:val="28"/>
        </w:rPr>
        <w:t xml:space="preserve">Детям из контрольной группы </w:t>
      </w:r>
      <w:r w:rsidR="00F04806" w:rsidRPr="00F04806">
        <w:rPr>
          <w:rFonts w:ascii="Times New Roman" w:eastAsia="Calibri" w:hAnsi="Times New Roman" w:cs="Times New Roman"/>
          <w:sz w:val="28"/>
          <w:szCs w:val="28"/>
        </w:rPr>
        <w:t xml:space="preserve">было рекомендовано только соблюдение зрительного режима в период школьных каникул. </w:t>
      </w:r>
    </w:p>
    <w:p w14:paraId="1FB10DA9" w14:textId="38257597" w:rsidR="00F04806" w:rsidRPr="00A26B14" w:rsidRDefault="00F04806" w:rsidP="00F04806">
      <w:pPr>
        <w:pStyle w:val="a4"/>
        <w:ind w:firstLine="709"/>
        <w:jc w:val="both"/>
        <w:rPr>
          <w:rFonts w:ascii="Times New Roman" w:eastAsia="Calibri" w:hAnsi="Times New Roman" w:cs="Times New Roman"/>
          <w:sz w:val="28"/>
          <w:szCs w:val="28"/>
          <w:lang w:val="en-US"/>
        </w:rPr>
      </w:pPr>
      <w:r w:rsidRPr="00F04806">
        <w:rPr>
          <w:rFonts w:ascii="Times New Roman" w:eastAsia="Calibri" w:hAnsi="Times New Roman" w:cs="Times New Roman"/>
          <w:sz w:val="28"/>
          <w:szCs w:val="28"/>
        </w:rPr>
        <w:t>Остальным ученикам на первичном осмотре были выданы информационные листы с упражнениями по Аветисову — Мац в соответствии с рекомендациями 2</w:t>
      </w:r>
      <w:r>
        <w:rPr>
          <w:rFonts w:ascii="Times New Roman" w:eastAsia="Calibri" w:hAnsi="Times New Roman" w:cs="Times New Roman"/>
          <w:sz w:val="28"/>
          <w:szCs w:val="28"/>
        </w:rPr>
        <w:t>-го этапа «Программы профилакти</w:t>
      </w:r>
      <w:r w:rsidRPr="00F04806">
        <w:rPr>
          <w:rFonts w:ascii="Times New Roman" w:eastAsia="Calibri" w:hAnsi="Times New Roman" w:cs="Times New Roman"/>
          <w:sz w:val="28"/>
          <w:szCs w:val="28"/>
        </w:rPr>
        <w:t>ки развития и прогрессирования аномалий рефракции у школьников».</w:t>
      </w:r>
      <w:r>
        <w:rPr>
          <w:rFonts w:ascii="Times New Roman" w:eastAsia="Calibri" w:hAnsi="Times New Roman" w:cs="Times New Roman"/>
          <w:sz w:val="28"/>
          <w:szCs w:val="28"/>
        </w:rPr>
        <w:t xml:space="preserve"> </w:t>
      </w:r>
      <w:r w:rsidRPr="00910389">
        <w:rPr>
          <w:rFonts w:ascii="Times New Roman" w:eastAsia="Calibri" w:hAnsi="Times New Roman" w:cs="Times New Roman"/>
          <w:sz w:val="28"/>
          <w:szCs w:val="28"/>
        </w:rPr>
        <w:t xml:space="preserve">Группу наблюдения составил 621 школьник, который был включен в </w:t>
      </w:r>
      <w:r>
        <w:rPr>
          <w:rFonts w:ascii="Times New Roman" w:eastAsia="Calibri" w:hAnsi="Times New Roman" w:cs="Times New Roman"/>
          <w:sz w:val="28"/>
          <w:szCs w:val="28"/>
        </w:rPr>
        <w:t>поэтапную п</w:t>
      </w:r>
      <w:r w:rsidRPr="00910389">
        <w:rPr>
          <w:rFonts w:ascii="Times New Roman" w:eastAsia="Calibri" w:hAnsi="Times New Roman" w:cs="Times New Roman"/>
          <w:sz w:val="28"/>
          <w:szCs w:val="28"/>
        </w:rPr>
        <w:t xml:space="preserve">рограмму </w:t>
      </w:r>
      <w:r w:rsidRPr="00910389">
        <w:rPr>
          <w:rFonts w:ascii="Times New Roman" w:eastAsia="Times New Roman" w:hAnsi="Times New Roman" w:cs="Times New Roman"/>
          <w:sz w:val="28"/>
          <w:szCs w:val="28"/>
        </w:rPr>
        <w:t xml:space="preserve">профилактики развития и прогрессирования аномалий рефракции. </w:t>
      </w:r>
      <w:r w:rsidRPr="00910389">
        <w:rPr>
          <w:rFonts w:ascii="Times New Roman" w:eastAsia="Calibri" w:hAnsi="Times New Roman" w:cs="Times New Roman"/>
          <w:sz w:val="28"/>
          <w:szCs w:val="28"/>
        </w:rPr>
        <w:t xml:space="preserve">Учащиеся младшего, среднего и старшего звена были осмотрены в динамике 3 раза: в начале учебного года (сентябрь-октябрь), в середине года (февраль-март); в начале нового учебного года (сентябрь-октябрь). Период наблюдения составил 13 месяцев. </w:t>
      </w:r>
      <w:r w:rsidR="00A26B14">
        <w:rPr>
          <w:rFonts w:ascii="Times New Roman" w:eastAsia="Calibri" w:hAnsi="Times New Roman" w:cs="Times New Roman"/>
          <w:sz w:val="28"/>
          <w:szCs w:val="28"/>
          <w:lang w:val="en-US"/>
        </w:rPr>
        <w:t>[252]</w:t>
      </w:r>
    </w:p>
    <w:p w14:paraId="1C152190" w14:textId="0E04332D" w:rsidR="00F04806" w:rsidRPr="00F04806" w:rsidRDefault="007F3D2C" w:rsidP="00F04806">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В обоих группах дважды (в начале каждого учебного года) проводился традиционный офтальмологический осмотр. В группе наблюдения – в </w:t>
      </w:r>
      <w:r w:rsidRPr="00910389">
        <w:rPr>
          <w:rFonts w:ascii="Times New Roman" w:eastAsia="Calibri" w:hAnsi="Times New Roman" w:cs="Times New Roman"/>
          <w:sz w:val="28"/>
          <w:szCs w:val="28"/>
        </w:rPr>
        <w:lastRenderedPageBreak/>
        <w:t>середине года проводился осмотр и дистантный компьютерный скрининг с вн</w:t>
      </w:r>
      <w:r w:rsidR="009B7AEE">
        <w:rPr>
          <w:rFonts w:ascii="Times New Roman" w:eastAsia="Calibri" w:hAnsi="Times New Roman" w:cs="Times New Roman"/>
          <w:sz w:val="28"/>
          <w:szCs w:val="28"/>
        </w:rPr>
        <w:t xml:space="preserve">есением данных в разработанную карту офтальмологического обследования школьника. </w:t>
      </w:r>
    </w:p>
    <w:p w14:paraId="054255DB" w14:textId="0E1057F0" w:rsidR="007F3D2C" w:rsidRPr="00910389" w:rsidRDefault="007F3D2C" w:rsidP="00F04806">
      <w:pPr>
        <w:pStyle w:val="a4"/>
        <w:ind w:firstLine="709"/>
        <w:jc w:val="both"/>
        <w:rPr>
          <w:rFonts w:ascii="Times New Roman" w:eastAsia="Times New Roman" w:hAnsi="Times New Roman" w:cs="Times New Roman"/>
          <w:sz w:val="28"/>
          <w:szCs w:val="28"/>
        </w:rPr>
      </w:pPr>
      <w:r w:rsidRPr="00910389">
        <w:rPr>
          <w:rFonts w:ascii="Times New Roman" w:eastAsia="Times New Roman" w:hAnsi="Times New Roman" w:cs="Times New Roman"/>
          <w:sz w:val="28"/>
          <w:szCs w:val="28"/>
        </w:rPr>
        <w:t>По результатам скрининга 218 (35,1%) учащихся с остротой зрения ниже 1,0 были включены в список «А» и были направлены на офтальмологическое обследование для верификации нарушений рефракции. У 201 ребенка (92,2%) из списка «А» было подтверждено то или иное нарушение рефакции, все они были включены в список «В» - «подтвержденные нарушения рефракции». Из них у 187 детей выявлена миопия (93%), у 14 – гиперметропия (7%). Клинически значимый астигматизм выявлен у 21 ребенка (10,4%). Школьники взяты на диспансерный учет, была проведена просветительская беседа с родителями, даны рекомендации по образу жизни и соблюдению зрительного режима, по необходимости назначена очковая коррекция, ортокератологическое или плеопто-ортоптическое лечение</w:t>
      </w:r>
      <w:r w:rsidR="00F04806">
        <w:rPr>
          <w:rFonts w:ascii="Times New Roman" w:eastAsia="Times New Roman" w:hAnsi="Times New Roman" w:cs="Times New Roman"/>
          <w:sz w:val="28"/>
          <w:szCs w:val="28"/>
        </w:rPr>
        <w:t>,</w:t>
      </w:r>
      <w:r w:rsidR="00F04806" w:rsidRPr="00F04806">
        <w:t xml:space="preserve"> </w:t>
      </w:r>
      <w:r w:rsidR="00F04806" w:rsidRPr="00F04806">
        <w:rPr>
          <w:rFonts w:ascii="Times New Roman" w:eastAsia="Times New Roman" w:hAnsi="Times New Roman" w:cs="Times New Roman"/>
          <w:sz w:val="28"/>
          <w:szCs w:val="28"/>
        </w:rPr>
        <w:t>выданы информационные листы с упражнениями по Аветисову — Мац</w:t>
      </w:r>
      <w:r w:rsidRPr="00910389">
        <w:rPr>
          <w:rFonts w:ascii="Times New Roman" w:eastAsia="Times New Roman" w:hAnsi="Times New Roman" w:cs="Times New Roman"/>
          <w:sz w:val="28"/>
          <w:szCs w:val="28"/>
        </w:rPr>
        <w:t xml:space="preserve"> и т. д., </w:t>
      </w:r>
      <w:r w:rsidR="00F04806">
        <w:rPr>
          <w:rFonts w:ascii="Times New Roman" w:eastAsia="Times New Roman" w:hAnsi="Times New Roman" w:cs="Times New Roman"/>
          <w:sz w:val="28"/>
          <w:szCs w:val="28"/>
        </w:rPr>
        <w:t xml:space="preserve">а также </w:t>
      </w:r>
      <w:r w:rsidRPr="00910389">
        <w:rPr>
          <w:rFonts w:ascii="Times New Roman" w:eastAsia="Times New Roman" w:hAnsi="Times New Roman" w:cs="Times New Roman"/>
          <w:sz w:val="28"/>
          <w:szCs w:val="28"/>
        </w:rPr>
        <w:t>выдано направление к детскому офтальмологу в городскую или районную поликлинику для дообследования.</w:t>
      </w:r>
    </w:p>
    <w:p w14:paraId="5CE45985" w14:textId="44102067" w:rsidR="007F3D2C" w:rsidRPr="00A26B14" w:rsidRDefault="007F3D2C" w:rsidP="007F3D2C">
      <w:pPr>
        <w:pStyle w:val="a4"/>
        <w:ind w:firstLine="709"/>
        <w:jc w:val="both"/>
        <w:rPr>
          <w:rFonts w:ascii="Times New Roman" w:eastAsia="Times New Roman" w:hAnsi="Times New Roman" w:cs="Times New Roman"/>
          <w:sz w:val="28"/>
          <w:szCs w:val="28"/>
          <w:lang w:val="en-US"/>
        </w:rPr>
      </w:pPr>
      <w:r w:rsidRPr="00910389">
        <w:rPr>
          <w:rFonts w:ascii="Times New Roman" w:eastAsia="Times New Roman" w:hAnsi="Times New Roman" w:cs="Times New Roman"/>
          <w:sz w:val="28"/>
          <w:szCs w:val="28"/>
        </w:rPr>
        <w:t xml:space="preserve">При осмотре всем учащимся из списка «В» выданы информационные листы с в соответствии с рекомендациями 2 этапа Программы профилактики развития и прогрессирования аномалий рефракции у школьников (Приложение Е). </w:t>
      </w:r>
      <w:r w:rsidR="00A26B14">
        <w:rPr>
          <w:rFonts w:ascii="Times New Roman" w:eastAsia="Times New Roman" w:hAnsi="Times New Roman" w:cs="Times New Roman"/>
          <w:sz w:val="28"/>
          <w:szCs w:val="28"/>
          <w:lang w:val="en-US"/>
        </w:rPr>
        <w:t>[252]</w:t>
      </w:r>
    </w:p>
    <w:p w14:paraId="3F4B2E8A" w14:textId="77C5E87C" w:rsidR="007F3D2C" w:rsidRPr="00910389" w:rsidRDefault="007F3D2C" w:rsidP="007F3D2C">
      <w:pPr>
        <w:pStyle w:val="a4"/>
        <w:ind w:firstLine="709"/>
        <w:jc w:val="both"/>
        <w:rPr>
          <w:rFonts w:ascii="Times New Roman" w:eastAsia="Times New Roman" w:hAnsi="Times New Roman" w:cs="Times New Roman"/>
          <w:sz w:val="28"/>
          <w:szCs w:val="28"/>
        </w:rPr>
      </w:pPr>
      <w:r w:rsidRPr="00910389">
        <w:rPr>
          <w:rFonts w:ascii="Times New Roman" w:eastAsia="Times New Roman" w:hAnsi="Times New Roman" w:cs="Times New Roman"/>
          <w:sz w:val="28"/>
          <w:szCs w:val="28"/>
        </w:rPr>
        <w:t xml:space="preserve">В список «С» включено 56 школьников (9,0% из общего числа группы наблюдения), нуждающихся в расширенном офтальмологическом обследовании и лечении в детском отделении амбулаторно-поликлинического учреждения. Всем школьникам этой группы была проведена рефрактометрия, биометрия, циклоскопия. Как видно из таблицы </w:t>
      </w:r>
      <w:r w:rsidR="00CC495B">
        <w:rPr>
          <w:rFonts w:ascii="Times New Roman" w:eastAsia="Times New Roman" w:hAnsi="Times New Roman" w:cs="Times New Roman"/>
          <w:sz w:val="28"/>
          <w:szCs w:val="28"/>
        </w:rPr>
        <w:t>26</w:t>
      </w:r>
      <w:r w:rsidRPr="00910389">
        <w:rPr>
          <w:rFonts w:ascii="Times New Roman" w:eastAsia="Times New Roman" w:hAnsi="Times New Roman" w:cs="Times New Roman"/>
          <w:sz w:val="28"/>
          <w:szCs w:val="28"/>
        </w:rPr>
        <w:t xml:space="preserve">, из списка «С» 13 детей (23,2%) направлены на дополнительное обследование и консультацию узких специалистов (невропатолога, эндокринолога, ЛОР); 8 детям (14,3%) проведена лазерная коагуляция сетчатки на базе КазНИИ глазных болезней; 1 ребенок (1,8%) направлен на хирургическое лечение по поводу косоглазия. </w:t>
      </w:r>
    </w:p>
    <w:p w14:paraId="42453B33"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74FCEFE9" w14:textId="7D33503A" w:rsidR="007F3D2C" w:rsidRDefault="007F3D2C" w:rsidP="007F3D2C">
      <w:pPr>
        <w:pStyle w:val="a4"/>
        <w:jc w:val="both"/>
        <w:rPr>
          <w:rFonts w:ascii="Times New Roman" w:eastAsia="Times New Roman" w:hAnsi="Times New Roman" w:cs="Times New Roman"/>
          <w:sz w:val="28"/>
          <w:szCs w:val="28"/>
        </w:rPr>
      </w:pPr>
      <w:r w:rsidRPr="00910389">
        <w:rPr>
          <w:rFonts w:ascii="Times New Roman" w:eastAsia="Times New Roman" w:hAnsi="Times New Roman" w:cs="Times New Roman"/>
          <w:sz w:val="28"/>
          <w:szCs w:val="28"/>
        </w:rPr>
        <w:t xml:space="preserve">Таблица </w:t>
      </w:r>
      <w:r w:rsidR="00D32F18" w:rsidRPr="00D32F18">
        <w:rPr>
          <w:rFonts w:ascii="Times New Roman" w:eastAsia="Times New Roman" w:hAnsi="Times New Roman" w:cs="Times New Roman"/>
          <w:sz w:val="28"/>
          <w:szCs w:val="28"/>
        </w:rPr>
        <w:t>26</w:t>
      </w:r>
      <w:r w:rsidRPr="00910389">
        <w:rPr>
          <w:rFonts w:ascii="Times New Roman" w:eastAsia="Times New Roman" w:hAnsi="Times New Roman" w:cs="Times New Roman"/>
          <w:sz w:val="28"/>
          <w:szCs w:val="28"/>
        </w:rPr>
        <w:t xml:space="preserve"> – Распределение школьников с нарушениями рефракции в списки наблюдения</w:t>
      </w:r>
    </w:p>
    <w:p w14:paraId="1BBA52B4" w14:textId="77777777" w:rsidR="00A875CE" w:rsidRPr="00910389" w:rsidRDefault="00A875CE" w:rsidP="007F3D2C">
      <w:pPr>
        <w:pStyle w:val="a4"/>
        <w:jc w:val="both"/>
        <w:rPr>
          <w:rFonts w:ascii="Times New Roman" w:eastAsia="Times New Roman" w:hAnsi="Times New Roman" w:cs="Times New Roman"/>
          <w:sz w:val="28"/>
          <w:szCs w:val="28"/>
        </w:rPr>
      </w:pPr>
    </w:p>
    <w:tbl>
      <w:tblPr>
        <w:tblW w:w="8500" w:type="dxa"/>
        <w:jc w:val="center"/>
        <w:tblLayout w:type="fixed"/>
        <w:tblLook w:val="04A0" w:firstRow="1" w:lastRow="0" w:firstColumn="1" w:lastColumn="0" w:noHBand="0" w:noVBand="1"/>
      </w:tblPr>
      <w:tblGrid>
        <w:gridCol w:w="1980"/>
        <w:gridCol w:w="1630"/>
        <w:gridCol w:w="1630"/>
        <w:gridCol w:w="1630"/>
        <w:gridCol w:w="1630"/>
      </w:tblGrid>
      <w:tr w:rsidR="007F3D2C" w:rsidRPr="00A875CE" w14:paraId="1104E0A4" w14:textId="77777777" w:rsidTr="00A875C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CBC6D" w14:textId="77777777" w:rsidR="007F3D2C" w:rsidRPr="00A875CE" w:rsidRDefault="007F3D2C" w:rsidP="00292B55">
            <w:pPr>
              <w:spacing w:after="0" w:line="240" w:lineRule="auto"/>
              <w:jc w:val="both"/>
              <w:rPr>
                <w:rFonts w:ascii="Times New Roman" w:hAnsi="Times New Roman" w:cs="Times New Roman"/>
                <w:b/>
                <w:bCs/>
                <w:sz w:val="28"/>
                <w:szCs w:val="28"/>
              </w:rPr>
            </w:pP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561F7" w14:textId="77777777" w:rsidR="007F3D2C" w:rsidRPr="00A875CE" w:rsidRDefault="007F3D2C" w:rsidP="00A875CE">
            <w:pPr>
              <w:spacing w:after="0" w:line="240" w:lineRule="auto"/>
              <w:jc w:val="center"/>
              <w:rPr>
                <w:rFonts w:ascii="Times New Roman" w:eastAsia="Calibri" w:hAnsi="Times New Roman" w:cs="Times New Roman"/>
                <w:sz w:val="28"/>
                <w:szCs w:val="28"/>
                <w:lang w:eastAsia="en-US"/>
              </w:rPr>
            </w:pPr>
            <w:r w:rsidRPr="00A875CE">
              <w:rPr>
                <w:rFonts w:ascii="Times New Roman" w:eastAsia="Calibri" w:hAnsi="Times New Roman" w:cs="Times New Roman"/>
                <w:sz w:val="28"/>
                <w:szCs w:val="28"/>
                <w:lang w:eastAsia="en-US"/>
              </w:rPr>
              <w:t>Младшее звено</w:t>
            </w:r>
          </w:p>
          <w:p w14:paraId="352BF555" w14:textId="77777777" w:rsidR="007F3D2C" w:rsidRPr="00A875CE" w:rsidRDefault="007F3D2C" w:rsidP="00A875CE">
            <w:pPr>
              <w:spacing w:after="0" w:line="240" w:lineRule="auto"/>
              <w:jc w:val="center"/>
              <w:rPr>
                <w:rFonts w:ascii="Times New Roman" w:hAnsi="Times New Roman" w:cs="Times New Roman"/>
                <w:b/>
                <w:bCs/>
                <w:sz w:val="28"/>
                <w:szCs w:val="28"/>
              </w:rPr>
            </w:pPr>
            <w:r w:rsidRPr="00A875CE">
              <w:rPr>
                <w:rFonts w:ascii="Times New Roman" w:eastAsia="Calibri" w:hAnsi="Times New Roman" w:cs="Times New Roman"/>
                <w:sz w:val="28"/>
                <w:szCs w:val="28"/>
                <w:lang w:eastAsia="en-US"/>
              </w:rPr>
              <w:t>(</w:t>
            </w:r>
            <w:r w:rsidRPr="00A875CE">
              <w:rPr>
                <w:rFonts w:ascii="Times New Roman" w:eastAsia="Calibri" w:hAnsi="Times New Roman" w:cs="Times New Roman"/>
                <w:sz w:val="28"/>
                <w:szCs w:val="28"/>
                <w:lang w:val="en-US" w:eastAsia="en-US"/>
              </w:rPr>
              <w:t xml:space="preserve">n = </w:t>
            </w:r>
            <w:r w:rsidRPr="00A875CE">
              <w:rPr>
                <w:rFonts w:ascii="Times New Roman" w:eastAsia="Calibri" w:hAnsi="Times New Roman" w:cs="Times New Roman"/>
                <w:sz w:val="28"/>
                <w:szCs w:val="28"/>
                <w:lang w:eastAsia="en-US"/>
              </w:rPr>
              <w:t>2</w:t>
            </w:r>
            <w:r w:rsidRPr="00A875CE">
              <w:rPr>
                <w:rFonts w:ascii="Times New Roman" w:eastAsia="Calibri" w:hAnsi="Times New Roman" w:cs="Times New Roman"/>
                <w:sz w:val="28"/>
                <w:szCs w:val="28"/>
                <w:lang w:val="en-US" w:eastAsia="en-US"/>
              </w:rPr>
              <w:t>58</w:t>
            </w:r>
            <w:r w:rsidRPr="00A875CE">
              <w:rPr>
                <w:rFonts w:ascii="Times New Roman" w:eastAsia="Calibri" w:hAnsi="Times New Roman" w:cs="Times New Roman"/>
                <w:sz w:val="28"/>
                <w:szCs w:val="28"/>
                <w:lang w:eastAsia="en-US"/>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26F84FC" w14:textId="77777777" w:rsidR="007F3D2C" w:rsidRPr="00A875CE" w:rsidRDefault="007F3D2C" w:rsidP="00A875CE">
            <w:pPr>
              <w:spacing w:after="0" w:line="240" w:lineRule="auto"/>
              <w:jc w:val="center"/>
              <w:rPr>
                <w:rFonts w:ascii="Times New Roman" w:eastAsia="Calibri" w:hAnsi="Times New Roman" w:cs="Times New Roman"/>
                <w:sz w:val="28"/>
                <w:szCs w:val="28"/>
                <w:lang w:eastAsia="en-US"/>
              </w:rPr>
            </w:pPr>
            <w:r w:rsidRPr="00A875CE">
              <w:rPr>
                <w:rFonts w:ascii="Times New Roman" w:eastAsia="Calibri" w:hAnsi="Times New Roman" w:cs="Times New Roman"/>
                <w:sz w:val="28"/>
                <w:szCs w:val="28"/>
                <w:lang w:eastAsia="en-US"/>
              </w:rPr>
              <w:t>Среднее звено</w:t>
            </w:r>
          </w:p>
          <w:p w14:paraId="3B4DAE3C" w14:textId="77777777" w:rsidR="007F3D2C" w:rsidRPr="00A875CE" w:rsidRDefault="007F3D2C" w:rsidP="00A875CE">
            <w:pPr>
              <w:spacing w:after="0" w:line="240" w:lineRule="auto"/>
              <w:jc w:val="center"/>
              <w:rPr>
                <w:rFonts w:ascii="Times New Roman" w:hAnsi="Times New Roman" w:cs="Times New Roman"/>
                <w:b/>
                <w:bCs/>
                <w:sz w:val="28"/>
                <w:szCs w:val="28"/>
              </w:rPr>
            </w:pPr>
            <w:r w:rsidRPr="00A875CE">
              <w:rPr>
                <w:rFonts w:ascii="Times New Roman" w:eastAsia="Calibri" w:hAnsi="Times New Roman" w:cs="Times New Roman"/>
                <w:sz w:val="28"/>
                <w:szCs w:val="28"/>
                <w:lang w:eastAsia="en-US"/>
              </w:rPr>
              <w:t>(</w:t>
            </w:r>
            <w:r w:rsidRPr="00A875CE">
              <w:rPr>
                <w:rFonts w:ascii="Times New Roman" w:eastAsia="Calibri" w:hAnsi="Times New Roman" w:cs="Times New Roman"/>
                <w:sz w:val="28"/>
                <w:szCs w:val="28"/>
                <w:lang w:val="en-US" w:eastAsia="en-US"/>
              </w:rPr>
              <w:t>n = 196</w:t>
            </w:r>
            <w:r w:rsidRPr="00A875CE">
              <w:rPr>
                <w:rFonts w:ascii="Times New Roman" w:eastAsia="Calibri" w:hAnsi="Times New Roman" w:cs="Times New Roman"/>
                <w:sz w:val="28"/>
                <w:szCs w:val="28"/>
                <w:lang w:eastAsia="en-US"/>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E2202D9" w14:textId="77777777" w:rsidR="007F3D2C" w:rsidRPr="00A875CE" w:rsidRDefault="007F3D2C" w:rsidP="00A875CE">
            <w:pPr>
              <w:spacing w:after="0" w:line="240" w:lineRule="auto"/>
              <w:jc w:val="center"/>
              <w:rPr>
                <w:rFonts w:ascii="Times New Roman" w:eastAsia="Calibri" w:hAnsi="Times New Roman" w:cs="Times New Roman"/>
                <w:sz w:val="28"/>
                <w:szCs w:val="28"/>
                <w:lang w:eastAsia="en-US"/>
              </w:rPr>
            </w:pPr>
            <w:r w:rsidRPr="00A875CE">
              <w:rPr>
                <w:rFonts w:ascii="Times New Roman" w:eastAsia="Calibri" w:hAnsi="Times New Roman" w:cs="Times New Roman"/>
                <w:sz w:val="28"/>
                <w:szCs w:val="28"/>
                <w:lang w:eastAsia="en-US"/>
              </w:rPr>
              <w:t>Старшее звено</w:t>
            </w:r>
          </w:p>
          <w:p w14:paraId="69D40A82" w14:textId="77777777" w:rsidR="007F3D2C" w:rsidRPr="00A875CE" w:rsidRDefault="007F3D2C" w:rsidP="00A875CE">
            <w:pPr>
              <w:spacing w:after="0" w:line="240" w:lineRule="auto"/>
              <w:jc w:val="center"/>
              <w:rPr>
                <w:rFonts w:ascii="Times New Roman" w:hAnsi="Times New Roman" w:cs="Times New Roman"/>
                <w:b/>
                <w:bCs/>
                <w:sz w:val="28"/>
                <w:szCs w:val="28"/>
                <w:vertAlign w:val="superscript"/>
              </w:rPr>
            </w:pPr>
            <w:r w:rsidRPr="00A875CE">
              <w:rPr>
                <w:rFonts w:ascii="Times New Roman" w:eastAsia="Calibri" w:hAnsi="Times New Roman" w:cs="Times New Roman"/>
                <w:sz w:val="28"/>
                <w:szCs w:val="28"/>
                <w:lang w:val="en-US" w:eastAsia="en-US"/>
              </w:rPr>
              <w:t>(n=167)</w:t>
            </w:r>
          </w:p>
        </w:tc>
        <w:tc>
          <w:tcPr>
            <w:tcW w:w="1630" w:type="dxa"/>
            <w:tcBorders>
              <w:top w:val="single" w:sz="4" w:space="0" w:color="auto"/>
              <w:left w:val="single" w:sz="4" w:space="0" w:color="auto"/>
              <w:bottom w:val="single" w:sz="4" w:space="0" w:color="auto"/>
              <w:right w:val="single" w:sz="4" w:space="0" w:color="auto"/>
            </w:tcBorders>
            <w:vAlign w:val="center"/>
          </w:tcPr>
          <w:p w14:paraId="06A4089A"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Всего</w:t>
            </w:r>
          </w:p>
          <w:p w14:paraId="5DEABA95" w14:textId="77777777" w:rsidR="007F3D2C" w:rsidRPr="00A875CE" w:rsidRDefault="007F3D2C" w:rsidP="00A875CE">
            <w:pPr>
              <w:spacing w:after="0" w:line="240" w:lineRule="auto"/>
              <w:jc w:val="center"/>
              <w:rPr>
                <w:rFonts w:ascii="Times New Roman" w:hAnsi="Times New Roman" w:cs="Times New Roman"/>
                <w:b/>
                <w:bCs/>
                <w:sz w:val="28"/>
                <w:szCs w:val="28"/>
              </w:rPr>
            </w:pPr>
            <w:r w:rsidRPr="00A875CE">
              <w:rPr>
                <w:rFonts w:ascii="Times New Roman" w:eastAsia="Calibri" w:hAnsi="Times New Roman" w:cs="Times New Roman"/>
                <w:sz w:val="28"/>
                <w:szCs w:val="28"/>
                <w:lang w:val="en-US" w:eastAsia="en-US"/>
              </w:rPr>
              <w:t>(n=621)</w:t>
            </w:r>
          </w:p>
        </w:tc>
      </w:tr>
      <w:tr w:rsidR="007F3D2C" w:rsidRPr="00A875CE" w14:paraId="6AE38750" w14:textId="77777777" w:rsidTr="00A875CE">
        <w:trPr>
          <w:trHeight w:val="576"/>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32AA662" w14:textId="77777777" w:rsidR="007F3D2C" w:rsidRPr="00A875CE" w:rsidRDefault="007F3D2C" w:rsidP="00292B55">
            <w:pPr>
              <w:spacing w:after="0" w:line="240" w:lineRule="auto"/>
              <w:jc w:val="both"/>
              <w:rPr>
                <w:rFonts w:ascii="Times New Roman" w:hAnsi="Times New Roman" w:cs="Times New Roman"/>
                <w:bCs/>
                <w:sz w:val="28"/>
                <w:szCs w:val="28"/>
              </w:rPr>
            </w:pPr>
            <w:r w:rsidRPr="00A875CE">
              <w:rPr>
                <w:rFonts w:ascii="Times New Roman" w:hAnsi="Times New Roman" w:cs="Times New Roman"/>
                <w:bCs/>
                <w:sz w:val="28"/>
                <w:szCs w:val="28"/>
              </w:rPr>
              <w:t>Спиок «А»</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DB6ED" w14:textId="77777777" w:rsidR="007F3D2C" w:rsidRPr="00A875CE" w:rsidRDefault="007F3D2C" w:rsidP="00A875CE">
            <w:pPr>
              <w:spacing w:after="0" w:line="240" w:lineRule="auto"/>
              <w:jc w:val="center"/>
              <w:rPr>
                <w:rFonts w:ascii="Times New Roman" w:hAnsi="Times New Roman" w:cs="Times New Roman"/>
                <w:sz w:val="28"/>
                <w:szCs w:val="28"/>
                <w:lang w:val="en-US"/>
              </w:rPr>
            </w:pPr>
            <w:r w:rsidRPr="00A875CE">
              <w:rPr>
                <w:rFonts w:ascii="Times New Roman" w:hAnsi="Times New Roman" w:cs="Times New Roman"/>
                <w:sz w:val="28"/>
                <w:szCs w:val="28"/>
              </w:rPr>
              <w:t>65 (25,2%)</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F53DA"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72 (36,7%)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B40D"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81 (48,5%)</w:t>
            </w:r>
          </w:p>
        </w:tc>
        <w:tc>
          <w:tcPr>
            <w:tcW w:w="1630" w:type="dxa"/>
            <w:tcBorders>
              <w:top w:val="single" w:sz="4" w:space="0" w:color="auto"/>
              <w:left w:val="single" w:sz="4" w:space="0" w:color="auto"/>
              <w:bottom w:val="single" w:sz="4" w:space="0" w:color="auto"/>
              <w:right w:val="single" w:sz="4" w:space="0" w:color="auto"/>
            </w:tcBorders>
            <w:vAlign w:val="center"/>
          </w:tcPr>
          <w:p w14:paraId="5FE8391A"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218 (35,1%)</w:t>
            </w:r>
          </w:p>
        </w:tc>
      </w:tr>
      <w:tr w:rsidR="007F3D2C" w:rsidRPr="00A875CE" w14:paraId="1F085A9C" w14:textId="77777777" w:rsidTr="00A875CE">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5CB0558" w14:textId="77777777" w:rsidR="007F3D2C" w:rsidRPr="00A875CE" w:rsidRDefault="007F3D2C" w:rsidP="00292B55">
            <w:pPr>
              <w:spacing w:after="0" w:line="240" w:lineRule="auto"/>
              <w:jc w:val="both"/>
              <w:rPr>
                <w:rFonts w:ascii="Times New Roman" w:hAnsi="Times New Roman" w:cs="Times New Roman"/>
                <w:bCs/>
                <w:sz w:val="28"/>
                <w:szCs w:val="28"/>
              </w:rPr>
            </w:pPr>
            <w:r w:rsidRPr="00A875CE">
              <w:rPr>
                <w:rFonts w:ascii="Times New Roman" w:hAnsi="Times New Roman" w:cs="Times New Roman"/>
                <w:bCs/>
                <w:sz w:val="28"/>
                <w:szCs w:val="28"/>
              </w:rPr>
              <w:t>Список «В»</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898CF6B"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55 (21,3%)</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A1C88"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68 (34,7%)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54D06"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78 (46,7%)</w:t>
            </w:r>
          </w:p>
        </w:tc>
        <w:tc>
          <w:tcPr>
            <w:tcW w:w="1630" w:type="dxa"/>
            <w:tcBorders>
              <w:top w:val="single" w:sz="4" w:space="0" w:color="auto"/>
              <w:left w:val="single" w:sz="4" w:space="0" w:color="auto"/>
              <w:bottom w:val="single" w:sz="4" w:space="0" w:color="auto"/>
              <w:right w:val="single" w:sz="4" w:space="0" w:color="auto"/>
            </w:tcBorders>
            <w:vAlign w:val="center"/>
          </w:tcPr>
          <w:p w14:paraId="43689AD3"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201 (32,4%)</w:t>
            </w:r>
          </w:p>
        </w:tc>
      </w:tr>
      <w:tr w:rsidR="007F3D2C" w:rsidRPr="00A875CE" w14:paraId="1D90AA7E" w14:textId="77777777" w:rsidTr="00A875CE">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E88DC54" w14:textId="77777777" w:rsidR="007F3D2C" w:rsidRPr="00A875CE" w:rsidRDefault="007F3D2C" w:rsidP="00292B55">
            <w:pPr>
              <w:spacing w:after="0" w:line="240" w:lineRule="auto"/>
              <w:jc w:val="both"/>
              <w:rPr>
                <w:rFonts w:ascii="Times New Roman" w:hAnsi="Times New Roman" w:cs="Times New Roman"/>
                <w:bCs/>
                <w:sz w:val="28"/>
                <w:szCs w:val="28"/>
                <w:lang w:val="en-US"/>
              </w:rPr>
            </w:pPr>
            <w:r w:rsidRPr="00A875CE">
              <w:rPr>
                <w:rFonts w:ascii="Times New Roman" w:hAnsi="Times New Roman" w:cs="Times New Roman"/>
                <w:bCs/>
                <w:sz w:val="28"/>
                <w:szCs w:val="28"/>
              </w:rPr>
              <w:t xml:space="preserve">Список «С»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3794B33"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10 (3,9%)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69E58"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18 (9,2%)</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5865D"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28 (16,8%)</w:t>
            </w:r>
          </w:p>
        </w:tc>
        <w:tc>
          <w:tcPr>
            <w:tcW w:w="1630" w:type="dxa"/>
            <w:tcBorders>
              <w:top w:val="single" w:sz="4" w:space="0" w:color="auto"/>
              <w:left w:val="single" w:sz="4" w:space="0" w:color="auto"/>
              <w:bottom w:val="single" w:sz="4" w:space="0" w:color="auto"/>
              <w:right w:val="single" w:sz="4" w:space="0" w:color="auto"/>
            </w:tcBorders>
            <w:vAlign w:val="center"/>
          </w:tcPr>
          <w:p w14:paraId="277062F2"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56 (9%)</w:t>
            </w:r>
          </w:p>
        </w:tc>
      </w:tr>
      <w:tr w:rsidR="007F3D2C" w:rsidRPr="00A875CE" w14:paraId="4E2DEEC1" w14:textId="77777777" w:rsidTr="00A875CE">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1E96FAD" w14:textId="77777777" w:rsidR="007F3D2C" w:rsidRPr="00A875CE" w:rsidRDefault="007F3D2C" w:rsidP="00292B55">
            <w:pPr>
              <w:spacing w:after="0" w:line="240" w:lineRule="auto"/>
              <w:jc w:val="both"/>
              <w:rPr>
                <w:rFonts w:ascii="Times New Roman" w:hAnsi="Times New Roman" w:cs="Times New Roman"/>
                <w:bCs/>
                <w:sz w:val="28"/>
                <w:szCs w:val="28"/>
                <w:lang w:val="en-US"/>
              </w:rPr>
            </w:pPr>
            <w:r w:rsidRPr="00A875CE">
              <w:rPr>
                <w:rFonts w:ascii="Times New Roman" w:hAnsi="Times New Roman" w:cs="Times New Roman"/>
                <w:bCs/>
                <w:sz w:val="28"/>
                <w:szCs w:val="28"/>
              </w:rPr>
              <w:t>Направления к специалистам</w:t>
            </w:r>
            <w:r w:rsidRPr="00A875CE">
              <w:rPr>
                <w:rFonts w:ascii="Times New Roman" w:hAnsi="Times New Roman" w:cs="Times New Roman"/>
                <w:bCs/>
                <w:sz w:val="28"/>
                <w:szCs w:val="28"/>
                <w:lang w:val="en-US"/>
              </w:rPr>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36E19C4" w14:textId="77777777" w:rsidR="007F3D2C" w:rsidRPr="00A875CE" w:rsidRDefault="007F3D2C" w:rsidP="00A875CE">
            <w:pPr>
              <w:spacing w:after="0" w:line="240" w:lineRule="auto"/>
              <w:jc w:val="center"/>
              <w:rPr>
                <w:rFonts w:ascii="Times New Roman" w:hAnsi="Times New Roman" w:cs="Times New Roman"/>
                <w:sz w:val="28"/>
                <w:szCs w:val="28"/>
                <w:vertAlign w:val="superscript"/>
              </w:rPr>
            </w:pPr>
            <w:r w:rsidRPr="00A875CE">
              <w:rPr>
                <w:rFonts w:ascii="Times New Roman" w:hAnsi="Times New Roman" w:cs="Times New Roman"/>
                <w:sz w:val="28"/>
                <w:szCs w:val="28"/>
              </w:rPr>
              <w:t>5 (1,9%)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F267B"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6 (3,1%)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411F3"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3 (1,8%)</w:t>
            </w:r>
          </w:p>
        </w:tc>
        <w:tc>
          <w:tcPr>
            <w:tcW w:w="1630" w:type="dxa"/>
            <w:tcBorders>
              <w:top w:val="single" w:sz="4" w:space="0" w:color="auto"/>
              <w:left w:val="single" w:sz="4" w:space="0" w:color="auto"/>
              <w:bottom w:val="single" w:sz="4" w:space="0" w:color="auto"/>
              <w:right w:val="single" w:sz="4" w:space="0" w:color="auto"/>
            </w:tcBorders>
            <w:vAlign w:val="center"/>
          </w:tcPr>
          <w:p w14:paraId="5AC18C3D" w14:textId="77777777" w:rsidR="007F3D2C" w:rsidRPr="00A875CE" w:rsidRDefault="007F3D2C" w:rsidP="00A875CE">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13 (2,1%)</w:t>
            </w:r>
          </w:p>
        </w:tc>
      </w:tr>
    </w:tbl>
    <w:p w14:paraId="6CC8AAE8" w14:textId="77777777" w:rsidR="00B5571E" w:rsidRDefault="00B5571E"/>
    <w:p w14:paraId="69516F41" w14:textId="2DE7070E" w:rsidR="00B5571E" w:rsidRDefault="00B5571E" w:rsidP="00B5571E">
      <w:pPr>
        <w:jc w:val="right"/>
      </w:pPr>
      <w:r w:rsidRPr="008F508D">
        <w:rPr>
          <w:rFonts w:ascii="Times New Roman" w:hAnsi="Times New Roman" w:cs="Times New Roman"/>
          <w:sz w:val="28"/>
          <w:szCs w:val="24"/>
        </w:rPr>
        <w:lastRenderedPageBreak/>
        <w:t>Продолжение таблицы</w:t>
      </w:r>
      <w:r>
        <w:rPr>
          <w:rFonts w:ascii="Times New Roman" w:hAnsi="Times New Roman" w:cs="Times New Roman"/>
          <w:sz w:val="28"/>
          <w:szCs w:val="24"/>
        </w:rPr>
        <w:t xml:space="preserve"> 26</w:t>
      </w:r>
    </w:p>
    <w:tbl>
      <w:tblPr>
        <w:tblW w:w="8500" w:type="dxa"/>
        <w:jc w:val="center"/>
        <w:tblLayout w:type="fixed"/>
        <w:tblLook w:val="04A0" w:firstRow="1" w:lastRow="0" w:firstColumn="1" w:lastColumn="0" w:noHBand="0" w:noVBand="1"/>
      </w:tblPr>
      <w:tblGrid>
        <w:gridCol w:w="1980"/>
        <w:gridCol w:w="1630"/>
        <w:gridCol w:w="1630"/>
        <w:gridCol w:w="1630"/>
        <w:gridCol w:w="1630"/>
      </w:tblGrid>
      <w:tr w:rsidR="00A26B14" w:rsidRPr="00A875CE" w14:paraId="6FB3E230" w14:textId="77777777" w:rsidTr="00A875CE">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522BD4E" w14:textId="3A03256C" w:rsidR="00A26B14" w:rsidRPr="00A875CE" w:rsidRDefault="00A26B14" w:rsidP="00A26B14">
            <w:pPr>
              <w:spacing w:after="0" w:line="240" w:lineRule="auto"/>
              <w:jc w:val="both"/>
              <w:rPr>
                <w:rFonts w:ascii="Times New Roman" w:hAnsi="Times New Roman" w:cs="Times New Roman"/>
                <w:bCs/>
                <w:sz w:val="28"/>
                <w:szCs w:val="28"/>
              </w:rPr>
            </w:pPr>
            <w:r w:rsidRPr="00A875CE">
              <w:rPr>
                <w:rFonts w:ascii="Times New Roman" w:hAnsi="Times New Roman" w:cs="Times New Roman"/>
                <w:bCs/>
                <w:sz w:val="28"/>
                <w:szCs w:val="28"/>
              </w:rPr>
              <w:t>Коагуляция сетчатки</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0C50C24" w14:textId="25BF85B0"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0 (0%)</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7A66" w14:textId="3F78888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2 (1%)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7732C" w14:textId="0E1A89D9"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5 (3%)</w:t>
            </w:r>
          </w:p>
        </w:tc>
        <w:tc>
          <w:tcPr>
            <w:tcW w:w="1630" w:type="dxa"/>
            <w:tcBorders>
              <w:top w:val="single" w:sz="4" w:space="0" w:color="auto"/>
              <w:left w:val="single" w:sz="4" w:space="0" w:color="auto"/>
              <w:bottom w:val="single" w:sz="4" w:space="0" w:color="auto"/>
              <w:right w:val="single" w:sz="4" w:space="0" w:color="auto"/>
            </w:tcBorders>
            <w:vAlign w:val="center"/>
          </w:tcPr>
          <w:p w14:paraId="1DCA29D7" w14:textId="2B27056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8 (1,3%)</w:t>
            </w:r>
          </w:p>
        </w:tc>
      </w:tr>
      <w:tr w:rsidR="00A26B14" w:rsidRPr="00A875CE" w14:paraId="455C0F14" w14:textId="77777777" w:rsidTr="00A875CE">
        <w:trPr>
          <w:trHeight w:val="2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1EF2B42" w14:textId="77777777" w:rsidR="00A26B14" w:rsidRPr="00A875CE" w:rsidRDefault="00A26B14" w:rsidP="00A26B14">
            <w:pPr>
              <w:spacing w:after="0" w:line="240" w:lineRule="auto"/>
              <w:jc w:val="both"/>
              <w:rPr>
                <w:rFonts w:ascii="Times New Roman" w:hAnsi="Times New Roman" w:cs="Times New Roman"/>
                <w:bCs/>
                <w:sz w:val="28"/>
                <w:szCs w:val="28"/>
                <w:lang w:val="en-US"/>
              </w:rPr>
            </w:pPr>
            <w:r w:rsidRPr="00A875CE">
              <w:rPr>
                <w:rFonts w:ascii="Times New Roman" w:hAnsi="Times New Roman" w:cs="Times New Roman"/>
                <w:bCs/>
                <w:sz w:val="28"/>
                <w:szCs w:val="28"/>
              </w:rPr>
              <w:t>Хирургическое лечение</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F5B443D" w14:textId="7777777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0 (0%)</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5BA05" w14:textId="7777777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1 (0,5%)</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E0DFC" w14:textId="7777777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0 (0%)</w:t>
            </w:r>
          </w:p>
        </w:tc>
        <w:tc>
          <w:tcPr>
            <w:tcW w:w="1630" w:type="dxa"/>
            <w:tcBorders>
              <w:top w:val="single" w:sz="4" w:space="0" w:color="auto"/>
              <w:left w:val="single" w:sz="4" w:space="0" w:color="auto"/>
              <w:bottom w:val="single" w:sz="4" w:space="0" w:color="auto"/>
              <w:right w:val="single" w:sz="4" w:space="0" w:color="auto"/>
            </w:tcBorders>
            <w:vAlign w:val="center"/>
          </w:tcPr>
          <w:p w14:paraId="75FB50EA" w14:textId="77777777" w:rsidR="00A26B14" w:rsidRPr="00A875CE" w:rsidRDefault="00A26B14" w:rsidP="00A26B14">
            <w:pPr>
              <w:spacing w:after="0" w:line="240" w:lineRule="auto"/>
              <w:jc w:val="center"/>
              <w:rPr>
                <w:rFonts w:ascii="Times New Roman" w:hAnsi="Times New Roman" w:cs="Times New Roman"/>
                <w:sz w:val="28"/>
                <w:szCs w:val="28"/>
              </w:rPr>
            </w:pPr>
            <w:r w:rsidRPr="00A875CE">
              <w:rPr>
                <w:rFonts w:ascii="Times New Roman" w:hAnsi="Times New Roman" w:cs="Times New Roman"/>
                <w:sz w:val="28"/>
                <w:szCs w:val="28"/>
              </w:rPr>
              <w:t>1 (0,2%)</w:t>
            </w:r>
          </w:p>
        </w:tc>
      </w:tr>
    </w:tbl>
    <w:p w14:paraId="77BB45A8"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666C449A" w14:textId="03A7B5FC" w:rsidR="007F3D2C" w:rsidRPr="00910389" w:rsidRDefault="007F3D2C" w:rsidP="007F3D2C">
      <w:pPr>
        <w:pStyle w:val="a4"/>
        <w:ind w:firstLine="709"/>
        <w:jc w:val="both"/>
        <w:rPr>
          <w:rFonts w:ascii="Times New Roman" w:eastAsia="Times New Roman" w:hAnsi="Times New Roman" w:cs="Times New Roman"/>
          <w:sz w:val="28"/>
          <w:szCs w:val="28"/>
        </w:rPr>
      </w:pPr>
      <w:r w:rsidRPr="00910389">
        <w:rPr>
          <w:rFonts w:ascii="Times New Roman" w:eastAsia="Times New Roman" w:hAnsi="Times New Roman" w:cs="Times New Roman"/>
          <w:sz w:val="28"/>
          <w:szCs w:val="28"/>
        </w:rPr>
        <w:t xml:space="preserve">Как видно из таблицы </w:t>
      </w:r>
      <w:r w:rsidR="00D32F18" w:rsidRPr="00027EBD">
        <w:rPr>
          <w:rFonts w:ascii="Times New Roman" w:eastAsia="Times New Roman" w:hAnsi="Times New Roman" w:cs="Times New Roman"/>
          <w:sz w:val="28"/>
          <w:szCs w:val="28"/>
        </w:rPr>
        <w:t>2</w:t>
      </w:r>
      <w:r w:rsidR="00027EBD" w:rsidRPr="00027EBD">
        <w:rPr>
          <w:rFonts w:ascii="Times New Roman" w:eastAsia="Times New Roman" w:hAnsi="Times New Roman" w:cs="Times New Roman"/>
          <w:sz w:val="28"/>
          <w:szCs w:val="28"/>
        </w:rPr>
        <w:t>7</w:t>
      </w:r>
      <w:r w:rsidRPr="00910389">
        <w:rPr>
          <w:rFonts w:ascii="Times New Roman" w:eastAsia="Times New Roman" w:hAnsi="Times New Roman" w:cs="Times New Roman"/>
          <w:sz w:val="28"/>
          <w:szCs w:val="28"/>
        </w:rPr>
        <w:t xml:space="preserve">, несмотря на проведение дистантного скрининга и включения детей в программу профилактики развития и прогрессирования аномалий рефракции, за 13 месяцев в группе наблюдения во всех возрастных группах отмечается смещение </w:t>
      </w:r>
      <w:r w:rsidRPr="00910389">
        <w:rPr>
          <w:rFonts w:ascii="Times New Roman" w:eastAsia="Times New Roman" w:hAnsi="Times New Roman" w:cs="Times New Roman"/>
          <w:sz w:val="28"/>
          <w:szCs w:val="28"/>
          <w:lang w:val="en-US"/>
        </w:rPr>
        <w:t>SER</w:t>
      </w:r>
      <w:r w:rsidRPr="00910389">
        <w:rPr>
          <w:rFonts w:ascii="Times New Roman" w:eastAsia="Times New Roman" w:hAnsi="Times New Roman" w:cs="Times New Roman"/>
          <w:sz w:val="28"/>
          <w:szCs w:val="28"/>
        </w:rPr>
        <w:t xml:space="preserve"> в сторону миопии, в среднем на - 0,063±0,05</w:t>
      </w:r>
      <w:r w:rsidRPr="00910389">
        <w:rPr>
          <w:rFonts w:ascii="Times New Roman" w:eastAsia="Times New Roman" w:hAnsi="Times New Roman" w:cs="Times New Roman"/>
          <w:sz w:val="28"/>
          <w:szCs w:val="28"/>
          <w:lang w:val="en-US"/>
        </w:rPr>
        <w:t>D</w:t>
      </w:r>
      <w:r w:rsidRPr="00910389">
        <w:rPr>
          <w:rFonts w:ascii="Times New Roman" w:eastAsia="Times New Roman" w:hAnsi="Times New Roman" w:cs="Times New Roman"/>
          <w:sz w:val="28"/>
          <w:szCs w:val="28"/>
        </w:rPr>
        <w:t>.</w:t>
      </w:r>
    </w:p>
    <w:p w14:paraId="1AB3F402"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04A4C40D"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4001D999" w14:textId="77777777" w:rsidR="007F3D2C" w:rsidRPr="00910389" w:rsidRDefault="007F3D2C" w:rsidP="007F3D2C">
      <w:pPr>
        <w:pStyle w:val="a4"/>
        <w:ind w:firstLine="709"/>
        <w:jc w:val="both"/>
        <w:rPr>
          <w:rFonts w:ascii="Times New Roman" w:eastAsia="Times New Roman" w:hAnsi="Times New Roman" w:cs="Times New Roman"/>
          <w:sz w:val="28"/>
          <w:szCs w:val="28"/>
        </w:rPr>
      </w:pPr>
      <w:r w:rsidRPr="00910389">
        <w:rPr>
          <w:rFonts w:ascii="Times New Roman" w:eastAsia="Times New Roman" w:hAnsi="Times New Roman" w:cs="Times New Roman"/>
          <w:sz w:val="28"/>
          <w:szCs w:val="28"/>
        </w:rPr>
        <w:br w:type="page"/>
      </w:r>
    </w:p>
    <w:p w14:paraId="2205A93C" w14:textId="77777777" w:rsidR="007F3D2C" w:rsidRPr="00910389" w:rsidRDefault="007F3D2C" w:rsidP="007F3D2C">
      <w:pPr>
        <w:pStyle w:val="a4"/>
        <w:ind w:firstLine="709"/>
        <w:jc w:val="both"/>
        <w:rPr>
          <w:rFonts w:ascii="Times New Roman" w:eastAsia="Times New Roman" w:hAnsi="Times New Roman" w:cs="Times New Roman"/>
          <w:sz w:val="28"/>
          <w:szCs w:val="28"/>
        </w:rPr>
        <w:sectPr w:rsidR="007F3D2C" w:rsidRPr="00910389" w:rsidSect="00DE6F47">
          <w:pgSz w:w="11906" w:h="16838"/>
          <w:pgMar w:top="1134" w:right="850" w:bottom="1134" w:left="1701" w:header="708" w:footer="708" w:gutter="0"/>
          <w:cols w:space="708"/>
          <w:titlePg/>
          <w:docGrid w:linePitch="360"/>
        </w:sectPr>
      </w:pPr>
    </w:p>
    <w:p w14:paraId="4E3A36CA" w14:textId="14C951B3" w:rsidR="007F3D2C" w:rsidRDefault="007F3D2C" w:rsidP="007F3D2C">
      <w:pPr>
        <w:pStyle w:val="a4"/>
        <w:jc w:val="both"/>
        <w:rPr>
          <w:rFonts w:ascii="Times New Roman" w:eastAsia="Calibri" w:hAnsi="Times New Roman" w:cs="Times New Roman"/>
          <w:sz w:val="28"/>
          <w:szCs w:val="28"/>
        </w:rPr>
      </w:pPr>
      <w:r w:rsidRPr="00910389">
        <w:rPr>
          <w:rFonts w:ascii="Times New Roman" w:eastAsia="Times New Roman" w:hAnsi="Times New Roman" w:cs="Times New Roman"/>
          <w:sz w:val="28"/>
          <w:szCs w:val="28"/>
        </w:rPr>
        <w:lastRenderedPageBreak/>
        <w:t xml:space="preserve">Таблица </w:t>
      </w:r>
      <w:r w:rsidR="00027EBD" w:rsidRPr="00155ACA">
        <w:rPr>
          <w:rFonts w:ascii="Times New Roman" w:eastAsia="Times New Roman" w:hAnsi="Times New Roman" w:cs="Times New Roman"/>
          <w:sz w:val="28"/>
          <w:szCs w:val="28"/>
        </w:rPr>
        <w:t>27</w:t>
      </w:r>
      <w:r w:rsidRPr="00910389">
        <w:rPr>
          <w:rFonts w:ascii="Times New Roman" w:eastAsia="Times New Roman" w:hAnsi="Times New Roman" w:cs="Times New Roman"/>
          <w:sz w:val="28"/>
          <w:szCs w:val="28"/>
        </w:rPr>
        <w:t xml:space="preserve"> – </w:t>
      </w:r>
      <w:r w:rsidRPr="00910389">
        <w:rPr>
          <w:rFonts w:ascii="Times New Roman" w:eastAsia="Calibri" w:hAnsi="Times New Roman" w:cs="Times New Roman"/>
          <w:sz w:val="28"/>
          <w:szCs w:val="28"/>
        </w:rPr>
        <w:t>Динамика показателей рефракции учащихся разных классов группы наблюдения (</w:t>
      </w:r>
      <w:r w:rsidRPr="00910389">
        <w:rPr>
          <w:rFonts w:ascii="Times New Roman" w:eastAsia="Calibri" w:hAnsi="Times New Roman" w:cs="Times New Roman"/>
          <w:sz w:val="28"/>
          <w:szCs w:val="28"/>
          <w:lang w:val="en-US"/>
        </w:rPr>
        <w:t>N</w:t>
      </w:r>
      <w:r w:rsidRPr="00910389">
        <w:rPr>
          <w:rFonts w:ascii="Times New Roman" w:eastAsia="Calibri" w:hAnsi="Times New Roman" w:cs="Times New Roman"/>
          <w:sz w:val="28"/>
          <w:szCs w:val="28"/>
        </w:rPr>
        <w:t xml:space="preserve"> = 621)</w:t>
      </w:r>
    </w:p>
    <w:p w14:paraId="7503B38A" w14:textId="77777777" w:rsidR="00A875CE" w:rsidRPr="00910389" w:rsidRDefault="00A875CE" w:rsidP="007F3D2C">
      <w:pPr>
        <w:pStyle w:val="a4"/>
        <w:jc w:val="both"/>
        <w:rPr>
          <w:rFonts w:ascii="Times New Roman" w:eastAsia="Calibri" w:hAnsi="Times New Roman" w:cs="Times New Roman"/>
          <w:sz w:val="28"/>
          <w:szCs w:val="28"/>
        </w:rPr>
      </w:pPr>
    </w:p>
    <w:tbl>
      <w:tblPr>
        <w:tblW w:w="14393" w:type="dxa"/>
        <w:tblInd w:w="-5" w:type="dxa"/>
        <w:tblLayout w:type="fixed"/>
        <w:tblLook w:val="04A0" w:firstRow="1" w:lastRow="0" w:firstColumn="1" w:lastColumn="0" w:noHBand="0" w:noVBand="1"/>
      </w:tblPr>
      <w:tblGrid>
        <w:gridCol w:w="1848"/>
        <w:gridCol w:w="1391"/>
        <w:gridCol w:w="1391"/>
        <w:gridCol w:w="1397"/>
        <w:gridCol w:w="1393"/>
        <w:gridCol w:w="1393"/>
        <w:gridCol w:w="1397"/>
        <w:gridCol w:w="1393"/>
        <w:gridCol w:w="1393"/>
        <w:gridCol w:w="1397"/>
      </w:tblGrid>
      <w:tr w:rsidR="007F3D2C" w:rsidRPr="00910389" w14:paraId="2C7DBAE9" w14:textId="77777777" w:rsidTr="00292B55">
        <w:trPr>
          <w:trHeight w:val="312"/>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4D4FA" w14:textId="77777777" w:rsidR="007F3D2C" w:rsidRPr="00910389" w:rsidRDefault="007F3D2C" w:rsidP="00292B55">
            <w:pPr>
              <w:spacing w:after="0" w:line="240" w:lineRule="auto"/>
              <w:jc w:val="both"/>
              <w:rPr>
                <w:rFonts w:ascii="Times New Roman" w:hAnsi="Times New Roman" w:cs="Times New Roman"/>
                <w:b/>
                <w:bCs/>
                <w:sz w:val="24"/>
                <w:szCs w:val="24"/>
              </w:rPr>
            </w:pPr>
          </w:p>
        </w:tc>
        <w:tc>
          <w:tcPr>
            <w:tcW w:w="4179" w:type="dxa"/>
            <w:gridSpan w:val="3"/>
            <w:tcBorders>
              <w:top w:val="single" w:sz="4" w:space="0" w:color="auto"/>
              <w:left w:val="single" w:sz="4" w:space="0" w:color="auto"/>
              <w:bottom w:val="single" w:sz="4" w:space="0" w:color="auto"/>
              <w:right w:val="single" w:sz="4" w:space="0" w:color="auto"/>
            </w:tcBorders>
            <w:shd w:val="clear" w:color="auto" w:fill="auto"/>
            <w:noWrap/>
          </w:tcPr>
          <w:p w14:paraId="137B3C63" w14:textId="77777777" w:rsidR="007F3D2C" w:rsidRPr="00910389" w:rsidRDefault="007F3D2C" w:rsidP="00380D77">
            <w:pPr>
              <w:spacing w:after="0" w:line="240" w:lineRule="auto"/>
              <w:jc w:val="center"/>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Младшее звено</w:t>
            </w:r>
          </w:p>
          <w:p w14:paraId="79C852F7" w14:textId="77777777" w:rsidR="007F3D2C" w:rsidRPr="00910389" w:rsidRDefault="007F3D2C" w:rsidP="00380D77">
            <w:pPr>
              <w:spacing w:after="0" w:line="240" w:lineRule="auto"/>
              <w:jc w:val="center"/>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w:t>
            </w:r>
            <w:r w:rsidRPr="00910389">
              <w:rPr>
                <w:rFonts w:ascii="Times New Roman" w:eastAsia="Calibri" w:hAnsi="Times New Roman" w:cs="Times New Roman"/>
                <w:sz w:val="24"/>
                <w:szCs w:val="24"/>
                <w:lang w:val="en-US" w:eastAsia="en-US"/>
              </w:rPr>
              <w:t>n</w:t>
            </w:r>
            <w:r w:rsidRPr="00910389">
              <w:rPr>
                <w:rFonts w:ascii="Times New Roman" w:eastAsia="Calibri" w:hAnsi="Times New Roman" w:cs="Times New Roman"/>
                <w:sz w:val="24"/>
                <w:szCs w:val="24"/>
                <w:vertAlign w:val="superscript"/>
                <w:lang w:eastAsia="en-US"/>
              </w:rPr>
              <w:t>1</w:t>
            </w:r>
            <w:r w:rsidRPr="00910389">
              <w:rPr>
                <w:rFonts w:ascii="Times New Roman" w:eastAsia="Calibri" w:hAnsi="Times New Roman" w:cs="Times New Roman"/>
                <w:sz w:val="24"/>
                <w:szCs w:val="24"/>
                <w:lang w:val="en-US" w:eastAsia="en-US"/>
              </w:rPr>
              <w:t xml:space="preserve"> = </w:t>
            </w:r>
            <w:r w:rsidRPr="00910389">
              <w:rPr>
                <w:rFonts w:ascii="Times New Roman" w:eastAsia="Calibri" w:hAnsi="Times New Roman" w:cs="Times New Roman"/>
                <w:sz w:val="24"/>
                <w:szCs w:val="24"/>
                <w:lang w:eastAsia="en-US"/>
              </w:rPr>
              <w:t>258)</w:t>
            </w:r>
          </w:p>
        </w:tc>
        <w:tc>
          <w:tcPr>
            <w:tcW w:w="4183" w:type="dxa"/>
            <w:gridSpan w:val="3"/>
            <w:tcBorders>
              <w:top w:val="single" w:sz="4" w:space="0" w:color="auto"/>
              <w:left w:val="single" w:sz="4" w:space="0" w:color="auto"/>
              <w:bottom w:val="single" w:sz="4" w:space="0" w:color="auto"/>
              <w:right w:val="single" w:sz="4" w:space="0" w:color="auto"/>
            </w:tcBorders>
          </w:tcPr>
          <w:p w14:paraId="1523C5FE" w14:textId="77777777" w:rsidR="007F3D2C" w:rsidRPr="00910389" w:rsidRDefault="007F3D2C" w:rsidP="00380D77">
            <w:pPr>
              <w:spacing w:after="0" w:line="240" w:lineRule="auto"/>
              <w:jc w:val="center"/>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Среднее звено</w:t>
            </w:r>
          </w:p>
          <w:p w14:paraId="186F6948" w14:textId="77777777" w:rsidR="007F3D2C" w:rsidRPr="00910389" w:rsidRDefault="007F3D2C" w:rsidP="00380D77">
            <w:pPr>
              <w:spacing w:after="0" w:line="240" w:lineRule="auto"/>
              <w:jc w:val="center"/>
              <w:rPr>
                <w:rFonts w:ascii="Times New Roman" w:eastAsia="Times New Roman" w:hAnsi="Times New Roman" w:cs="Times New Roman"/>
                <w:sz w:val="24"/>
                <w:szCs w:val="24"/>
              </w:rPr>
            </w:pPr>
            <w:r w:rsidRPr="00910389">
              <w:rPr>
                <w:rFonts w:ascii="Times New Roman" w:eastAsia="Calibri" w:hAnsi="Times New Roman" w:cs="Times New Roman"/>
                <w:sz w:val="24"/>
                <w:szCs w:val="24"/>
                <w:lang w:eastAsia="en-US"/>
              </w:rPr>
              <w:t>(</w:t>
            </w:r>
            <w:r w:rsidRPr="00910389">
              <w:rPr>
                <w:rFonts w:ascii="Times New Roman" w:eastAsia="Calibri" w:hAnsi="Times New Roman" w:cs="Times New Roman"/>
                <w:sz w:val="24"/>
                <w:szCs w:val="24"/>
                <w:lang w:val="en-US" w:eastAsia="en-US"/>
              </w:rPr>
              <w:t xml:space="preserve">n = </w:t>
            </w:r>
            <w:r w:rsidRPr="00910389">
              <w:rPr>
                <w:rFonts w:ascii="Times New Roman" w:eastAsia="Calibri" w:hAnsi="Times New Roman" w:cs="Times New Roman"/>
                <w:sz w:val="24"/>
                <w:szCs w:val="24"/>
                <w:lang w:eastAsia="en-US"/>
              </w:rPr>
              <w:t>196)</w:t>
            </w:r>
          </w:p>
        </w:tc>
        <w:tc>
          <w:tcPr>
            <w:tcW w:w="4183" w:type="dxa"/>
            <w:gridSpan w:val="3"/>
            <w:tcBorders>
              <w:top w:val="single" w:sz="4" w:space="0" w:color="auto"/>
              <w:left w:val="single" w:sz="4" w:space="0" w:color="auto"/>
              <w:bottom w:val="single" w:sz="4" w:space="0" w:color="auto"/>
              <w:right w:val="single" w:sz="4" w:space="0" w:color="auto"/>
            </w:tcBorders>
          </w:tcPr>
          <w:p w14:paraId="0526B7FE" w14:textId="77777777" w:rsidR="007F3D2C" w:rsidRPr="00910389" w:rsidRDefault="007F3D2C" w:rsidP="00380D77">
            <w:pPr>
              <w:spacing w:after="0" w:line="240" w:lineRule="auto"/>
              <w:jc w:val="center"/>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Старшее звено</w:t>
            </w:r>
          </w:p>
          <w:p w14:paraId="396D2DAB" w14:textId="77777777" w:rsidR="007F3D2C" w:rsidRPr="00910389" w:rsidRDefault="007F3D2C" w:rsidP="00380D77">
            <w:pPr>
              <w:spacing w:after="0" w:line="240" w:lineRule="auto"/>
              <w:jc w:val="center"/>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val="en-US" w:eastAsia="en-US"/>
              </w:rPr>
              <w:t>(n=16</w:t>
            </w:r>
            <w:r w:rsidRPr="00910389">
              <w:rPr>
                <w:rFonts w:ascii="Times New Roman" w:eastAsia="Calibri" w:hAnsi="Times New Roman" w:cs="Times New Roman"/>
                <w:sz w:val="24"/>
                <w:szCs w:val="24"/>
                <w:lang w:eastAsia="en-US"/>
              </w:rPr>
              <w:t>7</w:t>
            </w:r>
            <w:r w:rsidRPr="00910389">
              <w:rPr>
                <w:rFonts w:ascii="Times New Roman" w:eastAsia="Calibri" w:hAnsi="Times New Roman" w:cs="Times New Roman"/>
                <w:sz w:val="24"/>
                <w:szCs w:val="24"/>
                <w:lang w:val="en-US" w:eastAsia="en-US"/>
              </w:rPr>
              <w:t>)</w:t>
            </w:r>
          </w:p>
        </w:tc>
      </w:tr>
      <w:tr w:rsidR="007F3D2C" w:rsidRPr="00910389" w14:paraId="669C4E1F" w14:textId="77777777" w:rsidTr="00292B55">
        <w:trPr>
          <w:trHeight w:val="312"/>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8428D" w14:textId="77777777" w:rsidR="007F3D2C" w:rsidRPr="00910389" w:rsidRDefault="007F3D2C" w:rsidP="00292B55">
            <w:pPr>
              <w:spacing w:after="0" w:line="240" w:lineRule="auto"/>
              <w:jc w:val="both"/>
              <w:rPr>
                <w:rFonts w:ascii="Times New Roman" w:hAnsi="Times New Roman" w:cs="Times New Roman"/>
                <w:b/>
                <w:bCs/>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E071F"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Первый</w:t>
            </w:r>
          </w:p>
          <w:p w14:paraId="4783F951"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14:paraId="2D007616"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Второй осмотр</w:t>
            </w:r>
          </w:p>
        </w:tc>
        <w:tc>
          <w:tcPr>
            <w:tcW w:w="1397" w:type="dxa"/>
            <w:tcBorders>
              <w:top w:val="single" w:sz="4" w:space="0" w:color="auto"/>
              <w:left w:val="single" w:sz="4" w:space="0" w:color="auto"/>
              <w:bottom w:val="single" w:sz="4" w:space="0" w:color="auto"/>
              <w:right w:val="single" w:sz="4" w:space="0" w:color="auto"/>
            </w:tcBorders>
            <w:vAlign w:val="center"/>
          </w:tcPr>
          <w:p w14:paraId="05BF05C9"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Третий</w:t>
            </w:r>
          </w:p>
          <w:p w14:paraId="0C4D90B1"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осмотр</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6B49146"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Первый</w:t>
            </w:r>
          </w:p>
          <w:p w14:paraId="2835DC09" w14:textId="77777777" w:rsidR="007F3D2C" w:rsidRPr="00910389" w:rsidRDefault="007F3D2C" w:rsidP="00292B55">
            <w:pPr>
              <w:spacing w:after="0" w:line="240" w:lineRule="auto"/>
              <w:jc w:val="both"/>
              <w:rPr>
                <w:rFonts w:ascii="Times New Roman" w:hAnsi="Times New Roman" w:cs="Times New Roman"/>
                <w:b/>
                <w:bCs/>
                <w:sz w:val="24"/>
                <w:szCs w:val="24"/>
                <w:vertAlign w:val="superscript"/>
              </w:rPr>
            </w:pPr>
            <w:r w:rsidRPr="00910389">
              <w:rPr>
                <w:rFonts w:ascii="Times New Roman" w:eastAsia="Times New Roman" w:hAnsi="Times New Roman" w:cs="Times New Roman"/>
                <w:sz w:val="24"/>
                <w:szCs w:val="24"/>
              </w:rPr>
              <w:t>осмотр</w:t>
            </w:r>
          </w:p>
        </w:tc>
        <w:tc>
          <w:tcPr>
            <w:tcW w:w="1393" w:type="dxa"/>
            <w:tcBorders>
              <w:top w:val="single" w:sz="4" w:space="0" w:color="auto"/>
              <w:left w:val="single" w:sz="4" w:space="0" w:color="auto"/>
              <w:bottom w:val="single" w:sz="4" w:space="0" w:color="auto"/>
              <w:right w:val="single" w:sz="4" w:space="0" w:color="auto"/>
            </w:tcBorders>
            <w:vAlign w:val="center"/>
          </w:tcPr>
          <w:p w14:paraId="35470230"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Второй осмотр</w:t>
            </w:r>
          </w:p>
        </w:tc>
        <w:tc>
          <w:tcPr>
            <w:tcW w:w="1397" w:type="dxa"/>
            <w:tcBorders>
              <w:top w:val="single" w:sz="4" w:space="0" w:color="auto"/>
              <w:left w:val="single" w:sz="4" w:space="0" w:color="auto"/>
              <w:bottom w:val="single" w:sz="4" w:space="0" w:color="auto"/>
              <w:right w:val="single" w:sz="4" w:space="0" w:color="auto"/>
            </w:tcBorders>
            <w:vAlign w:val="center"/>
          </w:tcPr>
          <w:p w14:paraId="002BB8C5"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Третий</w:t>
            </w:r>
          </w:p>
          <w:p w14:paraId="285BFC10"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393" w:type="dxa"/>
            <w:tcBorders>
              <w:top w:val="single" w:sz="4" w:space="0" w:color="auto"/>
              <w:left w:val="single" w:sz="4" w:space="0" w:color="auto"/>
              <w:bottom w:val="single" w:sz="4" w:space="0" w:color="auto"/>
              <w:right w:val="single" w:sz="4" w:space="0" w:color="auto"/>
            </w:tcBorders>
            <w:vAlign w:val="center"/>
          </w:tcPr>
          <w:p w14:paraId="6BE1C8E1"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Первый</w:t>
            </w:r>
          </w:p>
          <w:p w14:paraId="4FE44A83"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осмотр</w:t>
            </w:r>
          </w:p>
        </w:tc>
        <w:tc>
          <w:tcPr>
            <w:tcW w:w="1393" w:type="dxa"/>
            <w:tcBorders>
              <w:top w:val="single" w:sz="4" w:space="0" w:color="auto"/>
              <w:left w:val="single" w:sz="4" w:space="0" w:color="auto"/>
              <w:bottom w:val="single" w:sz="4" w:space="0" w:color="auto"/>
              <w:right w:val="single" w:sz="4" w:space="0" w:color="auto"/>
            </w:tcBorders>
            <w:vAlign w:val="center"/>
          </w:tcPr>
          <w:p w14:paraId="040B574A"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Второй осмотр</w:t>
            </w:r>
          </w:p>
        </w:tc>
        <w:tc>
          <w:tcPr>
            <w:tcW w:w="1397" w:type="dxa"/>
            <w:tcBorders>
              <w:top w:val="single" w:sz="4" w:space="0" w:color="auto"/>
              <w:left w:val="single" w:sz="4" w:space="0" w:color="auto"/>
              <w:bottom w:val="single" w:sz="4" w:space="0" w:color="auto"/>
              <w:right w:val="single" w:sz="4" w:space="0" w:color="auto"/>
            </w:tcBorders>
            <w:vAlign w:val="center"/>
          </w:tcPr>
          <w:p w14:paraId="4220613D"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Третий</w:t>
            </w:r>
          </w:p>
          <w:p w14:paraId="6F3F3334"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осмотр</w:t>
            </w:r>
          </w:p>
        </w:tc>
      </w:tr>
      <w:tr w:rsidR="007F3D2C" w:rsidRPr="00910389" w14:paraId="248E834A"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noWrap/>
            <w:hideMark/>
          </w:tcPr>
          <w:p w14:paraId="156DDB66"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Эмметропия</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2868D41" w14:textId="77777777" w:rsidR="007F3D2C" w:rsidRPr="00910389" w:rsidRDefault="007F3D2C" w:rsidP="00292B55">
            <w:pPr>
              <w:spacing w:after="0" w:line="240" w:lineRule="auto"/>
              <w:jc w:val="center"/>
              <w:rPr>
                <w:rFonts w:ascii="Times New Roman" w:hAnsi="Times New Roman" w:cs="Times New Roman"/>
                <w:sz w:val="24"/>
                <w:szCs w:val="24"/>
                <w:lang w:val="en-US"/>
              </w:rPr>
            </w:pPr>
            <w:r w:rsidRPr="00910389">
              <w:rPr>
                <w:rFonts w:ascii="Times New Roman" w:hAnsi="Times New Roman" w:cs="Times New Roman"/>
                <w:sz w:val="24"/>
                <w:szCs w:val="24"/>
              </w:rPr>
              <w:t>211 (81,8%)</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EE5CF1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203 (78,7%)</w:t>
            </w:r>
          </w:p>
        </w:tc>
        <w:tc>
          <w:tcPr>
            <w:tcW w:w="1397" w:type="dxa"/>
            <w:tcBorders>
              <w:top w:val="single" w:sz="4" w:space="0" w:color="auto"/>
              <w:left w:val="single" w:sz="4" w:space="0" w:color="auto"/>
              <w:bottom w:val="single" w:sz="4" w:space="0" w:color="auto"/>
              <w:right w:val="single" w:sz="4" w:space="0" w:color="auto"/>
            </w:tcBorders>
          </w:tcPr>
          <w:p w14:paraId="0147062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207 (80,2%)</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1CC369E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135 (68,9%)</w:t>
            </w:r>
          </w:p>
        </w:tc>
        <w:tc>
          <w:tcPr>
            <w:tcW w:w="1393" w:type="dxa"/>
            <w:tcBorders>
              <w:top w:val="single" w:sz="4" w:space="0" w:color="auto"/>
              <w:left w:val="single" w:sz="4" w:space="0" w:color="auto"/>
              <w:bottom w:val="single" w:sz="4" w:space="0" w:color="auto"/>
              <w:right w:val="single" w:sz="4" w:space="0" w:color="auto"/>
            </w:tcBorders>
          </w:tcPr>
          <w:p w14:paraId="0FC34A38"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128 (65,3%)</w:t>
            </w:r>
          </w:p>
        </w:tc>
        <w:tc>
          <w:tcPr>
            <w:tcW w:w="1397" w:type="dxa"/>
            <w:tcBorders>
              <w:top w:val="single" w:sz="4" w:space="0" w:color="auto"/>
              <w:left w:val="single" w:sz="4" w:space="0" w:color="auto"/>
              <w:bottom w:val="single" w:sz="4" w:space="0" w:color="auto"/>
              <w:right w:val="single" w:sz="4" w:space="0" w:color="auto"/>
            </w:tcBorders>
          </w:tcPr>
          <w:p w14:paraId="5203104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133 (67,9%)</w:t>
            </w:r>
          </w:p>
        </w:tc>
        <w:tc>
          <w:tcPr>
            <w:tcW w:w="1393" w:type="dxa"/>
            <w:tcBorders>
              <w:top w:val="single" w:sz="4" w:space="0" w:color="auto"/>
              <w:left w:val="single" w:sz="4" w:space="0" w:color="auto"/>
              <w:bottom w:val="single" w:sz="4" w:space="0" w:color="auto"/>
              <w:right w:val="single" w:sz="4" w:space="0" w:color="auto"/>
            </w:tcBorders>
          </w:tcPr>
          <w:p w14:paraId="5A93A83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102 (61,1%)</w:t>
            </w:r>
          </w:p>
        </w:tc>
        <w:tc>
          <w:tcPr>
            <w:tcW w:w="1393" w:type="dxa"/>
            <w:tcBorders>
              <w:top w:val="single" w:sz="4" w:space="0" w:color="auto"/>
              <w:left w:val="single" w:sz="4" w:space="0" w:color="auto"/>
              <w:bottom w:val="single" w:sz="4" w:space="0" w:color="auto"/>
              <w:right w:val="single" w:sz="4" w:space="0" w:color="auto"/>
            </w:tcBorders>
          </w:tcPr>
          <w:p w14:paraId="6DA99EF8"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89 (53,3%)</w:t>
            </w:r>
          </w:p>
        </w:tc>
        <w:tc>
          <w:tcPr>
            <w:tcW w:w="1397" w:type="dxa"/>
            <w:tcBorders>
              <w:top w:val="single" w:sz="4" w:space="0" w:color="auto"/>
              <w:left w:val="single" w:sz="4" w:space="0" w:color="auto"/>
              <w:bottom w:val="single" w:sz="4" w:space="0" w:color="auto"/>
              <w:right w:val="single" w:sz="4" w:space="0" w:color="auto"/>
            </w:tcBorders>
          </w:tcPr>
          <w:p w14:paraId="1F44917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96 (57,5%)</w:t>
            </w:r>
          </w:p>
        </w:tc>
      </w:tr>
      <w:tr w:rsidR="007F3D2C" w:rsidRPr="00910389" w14:paraId="6AE84CE1" w14:textId="77777777" w:rsidTr="00292B55">
        <w:trPr>
          <w:trHeight w:val="600"/>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0A4F72AC"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Нарушения рефракции</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4EEDA39" w14:textId="77777777" w:rsidR="007F3D2C" w:rsidRPr="00910389" w:rsidRDefault="007F3D2C" w:rsidP="00292B55">
            <w:pPr>
              <w:spacing w:after="0" w:line="240" w:lineRule="auto"/>
              <w:jc w:val="center"/>
              <w:rPr>
                <w:rFonts w:ascii="Times New Roman" w:hAnsi="Times New Roman" w:cs="Times New Roman"/>
                <w:sz w:val="24"/>
                <w:szCs w:val="24"/>
                <w:lang w:val="en-US"/>
              </w:rPr>
            </w:pPr>
            <w:r w:rsidRPr="00910389">
              <w:rPr>
                <w:rFonts w:ascii="Times New Roman" w:hAnsi="Times New Roman" w:cs="Times New Roman"/>
                <w:sz w:val="24"/>
                <w:szCs w:val="24"/>
              </w:rPr>
              <w:t>47 (18,2%)</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A3676D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55 (21,3%)</w:t>
            </w:r>
          </w:p>
        </w:tc>
        <w:tc>
          <w:tcPr>
            <w:tcW w:w="1397" w:type="dxa"/>
            <w:tcBorders>
              <w:top w:val="single" w:sz="4" w:space="0" w:color="auto"/>
              <w:left w:val="single" w:sz="4" w:space="0" w:color="auto"/>
              <w:bottom w:val="single" w:sz="4" w:space="0" w:color="auto"/>
              <w:right w:val="single" w:sz="4" w:space="0" w:color="auto"/>
            </w:tcBorders>
          </w:tcPr>
          <w:p w14:paraId="167A613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51 (19,8%)</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6FF1251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61 (31,1%)</w:t>
            </w:r>
          </w:p>
        </w:tc>
        <w:tc>
          <w:tcPr>
            <w:tcW w:w="1393" w:type="dxa"/>
            <w:tcBorders>
              <w:top w:val="single" w:sz="4" w:space="0" w:color="auto"/>
              <w:left w:val="single" w:sz="4" w:space="0" w:color="auto"/>
              <w:bottom w:val="single" w:sz="4" w:space="0" w:color="auto"/>
              <w:right w:val="single" w:sz="4" w:space="0" w:color="auto"/>
            </w:tcBorders>
          </w:tcPr>
          <w:p w14:paraId="1129E670"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68 (34,7%)</w:t>
            </w:r>
          </w:p>
        </w:tc>
        <w:tc>
          <w:tcPr>
            <w:tcW w:w="1397" w:type="dxa"/>
            <w:tcBorders>
              <w:top w:val="single" w:sz="4" w:space="0" w:color="auto"/>
              <w:left w:val="single" w:sz="4" w:space="0" w:color="auto"/>
              <w:bottom w:val="single" w:sz="4" w:space="0" w:color="auto"/>
              <w:right w:val="single" w:sz="4" w:space="0" w:color="auto"/>
            </w:tcBorders>
          </w:tcPr>
          <w:p w14:paraId="0F7A17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63 (32,1%)</w:t>
            </w:r>
          </w:p>
        </w:tc>
        <w:tc>
          <w:tcPr>
            <w:tcW w:w="1393" w:type="dxa"/>
            <w:tcBorders>
              <w:top w:val="single" w:sz="4" w:space="0" w:color="auto"/>
              <w:left w:val="single" w:sz="4" w:space="0" w:color="auto"/>
              <w:bottom w:val="single" w:sz="4" w:space="0" w:color="auto"/>
              <w:right w:val="single" w:sz="4" w:space="0" w:color="auto"/>
            </w:tcBorders>
          </w:tcPr>
          <w:p w14:paraId="59F5A72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65 (38,9%)</w:t>
            </w:r>
          </w:p>
        </w:tc>
        <w:tc>
          <w:tcPr>
            <w:tcW w:w="1393" w:type="dxa"/>
            <w:tcBorders>
              <w:top w:val="single" w:sz="4" w:space="0" w:color="auto"/>
              <w:left w:val="single" w:sz="4" w:space="0" w:color="auto"/>
              <w:bottom w:val="single" w:sz="4" w:space="0" w:color="auto"/>
              <w:right w:val="single" w:sz="4" w:space="0" w:color="auto"/>
            </w:tcBorders>
          </w:tcPr>
          <w:p w14:paraId="4019A5B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78 (46,7%)</w:t>
            </w:r>
          </w:p>
        </w:tc>
        <w:tc>
          <w:tcPr>
            <w:tcW w:w="1397" w:type="dxa"/>
            <w:tcBorders>
              <w:top w:val="single" w:sz="4" w:space="0" w:color="auto"/>
              <w:left w:val="single" w:sz="4" w:space="0" w:color="auto"/>
              <w:bottom w:val="single" w:sz="4" w:space="0" w:color="auto"/>
              <w:right w:val="single" w:sz="4" w:space="0" w:color="auto"/>
            </w:tcBorders>
          </w:tcPr>
          <w:p w14:paraId="32F7E3B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71 (42,5%)</w:t>
            </w:r>
          </w:p>
        </w:tc>
      </w:tr>
      <w:tr w:rsidR="007F3D2C" w:rsidRPr="00910389" w14:paraId="639540D6"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6CDA4CAC"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 xml:space="preserve">  миопия</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0DBC42E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38 (14,7%)</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A60028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51 (19,8%)</w:t>
            </w:r>
          </w:p>
        </w:tc>
        <w:tc>
          <w:tcPr>
            <w:tcW w:w="1397" w:type="dxa"/>
            <w:tcBorders>
              <w:top w:val="single" w:sz="4" w:space="0" w:color="auto"/>
              <w:left w:val="single" w:sz="4" w:space="0" w:color="auto"/>
              <w:bottom w:val="single" w:sz="4" w:space="0" w:color="auto"/>
              <w:right w:val="single" w:sz="4" w:space="0" w:color="auto"/>
            </w:tcBorders>
          </w:tcPr>
          <w:p w14:paraId="204D774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45 (17,4%)</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56E63C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52 (26,5%)</w:t>
            </w:r>
          </w:p>
        </w:tc>
        <w:tc>
          <w:tcPr>
            <w:tcW w:w="1393" w:type="dxa"/>
            <w:tcBorders>
              <w:top w:val="single" w:sz="4" w:space="0" w:color="auto"/>
              <w:left w:val="single" w:sz="4" w:space="0" w:color="auto"/>
              <w:bottom w:val="single" w:sz="4" w:space="0" w:color="auto"/>
              <w:right w:val="single" w:sz="4" w:space="0" w:color="auto"/>
            </w:tcBorders>
          </w:tcPr>
          <w:p w14:paraId="59BD4C2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62 (31,6%)</w:t>
            </w:r>
          </w:p>
        </w:tc>
        <w:tc>
          <w:tcPr>
            <w:tcW w:w="1397" w:type="dxa"/>
            <w:tcBorders>
              <w:top w:val="single" w:sz="4" w:space="0" w:color="auto"/>
              <w:left w:val="single" w:sz="4" w:space="0" w:color="auto"/>
              <w:bottom w:val="single" w:sz="4" w:space="0" w:color="auto"/>
              <w:right w:val="single" w:sz="4" w:space="0" w:color="auto"/>
            </w:tcBorders>
          </w:tcPr>
          <w:p w14:paraId="4E1E98F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56 (28,6%)</w:t>
            </w:r>
          </w:p>
        </w:tc>
        <w:tc>
          <w:tcPr>
            <w:tcW w:w="1393" w:type="dxa"/>
            <w:tcBorders>
              <w:top w:val="single" w:sz="4" w:space="0" w:color="auto"/>
              <w:left w:val="single" w:sz="4" w:space="0" w:color="auto"/>
              <w:bottom w:val="single" w:sz="4" w:space="0" w:color="auto"/>
              <w:right w:val="single" w:sz="4" w:space="0" w:color="auto"/>
            </w:tcBorders>
          </w:tcPr>
          <w:p w14:paraId="06DFACD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61 (36,5%)</w:t>
            </w:r>
          </w:p>
        </w:tc>
        <w:tc>
          <w:tcPr>
            <w:tcW w:w="1393" w:type="dxa"/>
            <w:tcBorders>
              <w:top w:val="single" w:sz="4" w:space="0" w:color="auto"/>
              <w:left w:val="single" w:sz="4" w:space="0" w:color="auto"/>
              <w:bottom w:val="single" w:sz="4" w:space="0" w:color="auto"/>
              <w:right w:val="single" w:sz="4" w:space="0" w:color="auto"/>
            </w:tcBorders>
          </w:tcPr>
          <w:p w14:paraId="4DF6EE9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74 (44,3%)</w:t>
            </w:r>
          </w:p>
        </w:tc>
        <w:tc>
          <w:tcPr>
            <w:tcW w:w="1397" w:type="dxa"/>
            <w:tcBorders>
              <w:top w:val="single" w:sz="4" w:space="0" w:color="auto"/>
              <w:left w:val="single" w:sz="4" w:space="0" w:color="auto"/>
              <w:bottom w:val="single" w:sz="4" w:space="0" w:color="auto"/>
              <w:right w:val="single" w:sz="4" w:space="0" w:color="auto"/>
            </w:tcBorders>
          </w:tcPr>
          <w:p w14:paraId="152C67C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67 (40,1%)</w:t>
            </w:r>
          </w:p>
        </w:tc>
      </w:tr>
      <w:tr w:rsidR="007F3D2C" w:rsidRPr="00910389" w14:paraId="686B4FE0"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tcPr>
          <w:p w14:paraId="6FE536E5"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слабая</w:t>
            </w:r>
            <w:r w:rsidRPr="00910389">
              <w:rPr>
                <w:rFonts w:ascii="Times New Roman" w:hAnsi="Times New Roman" w:cs="Times New Roman"/>
                <w:bCs/>
                <w:sz w:val="24"/>
                <w:szCs w:val="24"/>
                <w:vertAlign w:val="superscript"/>
              </w:rPr>
              <w:t>2</w:t>
            </w:r>
            <w:r w:rsidRPr="00910389">
              <w:rPr>
                <w:rFonts w:ascii="Times New Roman" w:hAnsi="Times New Roman" w:cs="Times New Roman"/>
                <w:bCs/>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4777D14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39 (90,7%)</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AA43B6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47 (92,2%)</w:t>
            </w:r>
          </w:p>
        </w:tc>
        <w:tc>
          <w:tcPr>
            <w:tcW w:w="1397" w:type="dxa"/>
            <w:tcBorders>
              <w:top w:val="single" w:sz="4" w:space="0" w:color="auto"/>
              <w:left w:val="single" w:sz="4" w:space="0" w:color="auto"/>
              <w:bottom w:val="single" w:sz="4" w:space="0" w:color="auto"/>
              <w:right w:val="single" w:sz="4" w:space="0" w:color="auto"/>
            </w:tcBorders>
          </w:tcPr>
          <w:p w14:paraId="6988ABF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41 (91,1%)</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3B3B48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39 (75%)</w:t>
            </w:r>
          </w:p>
        </w:tc>
        <w:tc>
          <w:tcPr>
            <w:tcW w:w="1393" w:type="dxa"/>
            <w:tcBorders>
              <w:top w:val="single" w:sz="4" w:space="0" w:color="auto"/>
              <w:left w:val="single" w:sz="4" w:space="0" w:color="auto"/>
              <w:bottom w:val="single" w:sz="4" w:space="0" w:color="auto"/>
              <w:right w:val="single" w:sz="4" w:space="0" w:color="auto"/>
            </w:tcBorders>
          </w:tcPr>
          <w:p w14:paraId="6C6A810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48 (77,4%)</w:t>
            </w:r>
          </w:p>
        </w:tc>
        <w:tc>
          <w:tcPr>
            <w:tcW w:w="1397" w:type="dxa"/>
            <w:tcBorders>
              <w:top w:val="single" w:sz="4" w:space="0" w:color="auto"/>
              <w:left w:val="single" w:sz="4" w:space="0" w:color="auto"/>
              <w:bottom w:val="single" w:sz="4" w:space="0" w:color="auto"/>
              <w:right w:val="single" w:sz="4" w:space="0" w:color="auto"/>
            </w:tcBorders>
          </w:tcPr>
          <w:p w14:paraId="4CE4887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43 (76,8%)</w:t>
            </w:r>
          </w:p>
        </w:tc>
        <w:tc>
          <w:tcPr>
            <w:tcW w:w="1393" w:type="dxa"/>
            <w:tcBorders>
              <w:top w:val="single" w:sz="4" w:space="0" w:color="auto"/>
              <w:left w:val="single" w:sz="4" w:space="0" w:color="auto"/>
              <w:bottom w:val="single" w:sz="4" w:space="0" w:color="auto"/>
              <w:right w:val="single" w:sz="4" w:space="0" w:color="auto"/>
            </w:tcBorders>
          </w:tcPr>
          <w:p w14:paraId="7654FDF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36 (59%)</w:t>
            </w:r>
          </w:p>
        </w:tc>
        <w:tc>
          <w:tcPr>
            <w:tcW w:w="1393" w:type="dxa"/>
            <w:tcBorders>
              <w:top w:val="single" w:sz="4" w:space="0" w:color="auto"/>
              <w:left w:val="single" w:sz="4" w:space="0" w:color="auto"/>
              <w:bottom w:val="single" w:sz="4" w:space="0" w:color="auto"/>
              <w:right w:val="single" w:sz="4" w:space="0" w:color="auto"/>
            </w:tcBorders>
          </w:tcPr>
          <w:p w14:paraId="35A110A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49 (66,2%)</w:t>
            </w:r>
          </w:p>
        </w:tc>
        <w:tc>
          <w:tcPr>
            <w:tcW w:w="1397" w:type="dxa"/>
            <w:tcBorders>
              <w:top w:val="single" w:sz="4" w:space="0" w:color="auto"/>
              <w:left w:val="single" w:sz="4" w:space="0" w:color="auto"/>
              <w:bottom w:val="single" w:sz="4" w:space="0" w:color="auto"/>
              <w:right w:val="single" w:sz="4" w:space="0" w:color="auto"/>
            </w:tcBorders>
          </w:tcPr>
          <w:p w14:paraId="7F07C707"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42 (62,7%)</w:t>
            </w:r>
          </w:p>
        </w:tc>
      </w:tr>
      <w:tr w:rsidR="007F3D2C" w:rsidRPr="00910389" w14:paraId="6165B245"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tcPr>
          <w:p w14:paraId="77E439C9"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средняя</w:t>
            </w:r>
            <w:r w:rsidRPr="00910389">
              <w:rPr>
                <w:rFonts w:ascii="Times New Roman" w:hAnsi="Times New Roman" w:cs="Times New Roman"/>
                <w:bCs/>
                <w:sz w:val="24"/>
                <w:szCs w:val="24"/>
                <w:lang w:val="en-US"/>
              </w:rPr>
              <w:t xml:space="preserve">  </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0989C610" w14:textId="77777777" w:rsidR="007F3D2C" w:rsidRPr="00910389" w:rsidRDefault="007F3D2C" w:rsidP="00292B55">
            <w:pPr>
              <w:spacing w:after="0" w:line="240" w:lineRule="auto"/>
              <w:jc w:val="center"/>
              <w:rPr>
                <w:rFonts w:ascii="Times New Roman" w:hAnsi="Times New Roman" w:cs="Times New Roman"/>
                <w:sz w:val="24"/>
                <w:szCs w:val="24"/>
                <w:vertAlign w:val="superscript"/>
              </w:rPr>
            </w:pPr>
            <w:r w:rsidRPr="00910389">
              <w:rPr>
                <w:rFonts w:ascii="Times New Roman" w:hAnsi="Times New Roman" w:cs="Times New Roman"/>
                <w:sz w:val="24"/>
                <w:szCs w:val="24"/>
              </w:rPr>
              <w:t>4 (9,3%)</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58018F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(7,8%)</w:t>
            </w:r>
          </w:p>
        </w:tc>
        <w:tc>
          <w:tcPr>
            <w:tcW w:w="1397" w:type="dxa"/>
            <w:tcBorders>
              <w:top w:val="single" w:sz="4" w:space="0" w:color="auto"/>
              <w:left w:val="single" w:sz="4" w:space="0" w:color="auto"/>
              <w:bottom w:val="single" w:sz="4" w:space="0" w:color="auto"/>
              <w:right w:val="single" w:sz="4" w:space="0" w:color="auto"/>
            </w:tcBorders>
          </w:tcPr>
          <w:p w14:paraId="1E4AD50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(8,9%)</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37DB862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(19,2%)</w:t>
            </w:r>
          </w:p>
        </w:tc>
        <w:tc>
          <w:tcPr>
            <w:tcW w:w="1393" w:type="dxa"/>
            <w:tcBorders>
              <w:top w:val="single" w:sz="4" w:space="0" w:color="auto"/>
              <w:left w:val="single" w:sz="4" w:space="0" w:color="auto"/>
              <w:bottom w:val="single" w:sz="4" w:space="0" w:color="auto"/>
              <w:right w:val="single" w:sz="4" w:space="0" w:color="auto"/>
            </w:tcBorders>
          </w:tcPr>
          <w:p w14:paraId="7BB71FE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11 (17,7%)</w:t>
            </w:r>
          </w:p>
        </w:tc>
        <w:tc>
          <w:tcPr>
            <w:tcW w:w="1397" w:type="dxa"/>
            <w:tcBorders>
              <w:top w:val="single" w:sz="4" w:space="0" w:color="auto"/>
              <w:left w:val="single" w:sz="4" w:space="0" w:color="auto"/>
              <w:bottom w:val="single" w:sz="4" w:space="0" w:color="auto"/>
              <w:right w:val="single" w:sz="4" w:space="0" w:color="auto"/>
            </w:tcBorders>
          </w:tcPr>
          <w:p w14:paraId="3B4F933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(17,9%)</w:t>
            </w:r>
          </w:p>
        </w:tc>
        <w:tc>
          <w:tcPr>
            <w:tcW w:w="1393" w:type="dxa"/>
            <w:tcBorders>
              <w:top w:val="single" w:sz="4" w:space="0" w:color="auto"/>
              <w:left w:val="single" w:sz="4" w:space="0" w:color="auto"/>
              <w:bottom w:val="single" w:sz="4" w:space="0" w:color="auto"/>
              <w:right w:val="single" w:sz="4" w:space="0" w:color="auto"/>
            </w:tcBorders>
          </w:tcPr>
          <w:p w14:paraId="76CEBA8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18 (29,5%)</w:t>
            </w:r>
          </w:p>
        </w:tc>
        <w:tc>
          <w:tcPr>
            <w:tcW w:w="1393" w:type="dxa"/>
            <w:tcBorders>
              <w:top w:val="single" w:sz="4" w:space="0" w:color="auto"/>
              <w:left w:val="single" w:sz="4" w:space="0" w:color="auto"/>
              <w:bottom w:val="single" w:sz="4" w:space="0" w:color="auto"/>
              <w:right w:val="single" w:sz="4" w:space="0" w:color="auto"/>
            </w:tcBorders>
          </w:tcPr>
          <w:p w14:paraId="73D5E2C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18 (24,3%)</w:t>
            </w:r>
          </w:p>
        </w:tc>
        <w:tc>
          <w:tcPr>
            <w:tcW w:w="1397" w:type="dxa"/>
            <w:tcBorders>
              <w:top w:val="single" w:sz="4" w:space="0" w:color="auto"/>
              <w:left w:val="single" w:sz="4" w:space="0" w:color="auto"/>
              <w:bottom w:val="single" w:sz="4" w:space="0" w:color="auto"/>
              <w:right w:val="single" w:sz="4" w:space="0" w:color="auto"/>
            </w:tcBorders>
          </w:tcPr>
          <w:p w14:paraId="6F6A705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20 (29,9%)</w:t>
            </w:r>
          </w:p>
        </w:tc>
      </w:tr>
      <w:tr w:rsidR="007F3D2C" w:rsidRPr="00910389" w14:paraId="7A56C455"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tcPr>
          <w:p w14:paraId="1574DF1B"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высокая</w:t>
            </w:r>
            <w:r w:rsidRPr="00910389">
              <w:rPr>
                <w:rFonts w:ascii="Times New Roman" w:hAnsi="Times New Roman" w:cs="Times New Roman"/>
                <w:bCs/>
                <w:sz w:val="24"/>
                <w:szCs w:val="24"/>
                <w:lang w:val="en-US"/>
              </w:rPr>
              <w:t xml:space="preserve"> </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3F9FC0B6" w14:textId="77777777" w:rsidR="007F3D2C" w:rsidRPr="00910389" w:rsidRDefault="007F3D2C" w:rsidP="00292B55">
            <w:pPr>
              <w:spacing w:after="0" w:line="240" w:lineRule="auto"/>
              <w:jc w:val="center"/>
              <w:rPr>
                <w:rFonts w:ascii="Times New Roman" w:hAnsi="Times New Roman" w:cs="Times New Roman"/>
                <w:sz w:val="24"/>
                <w:szCs w:val="24"/>
                <w:vertAlign w:val="superscript"/>
              </w:rPr>
            </w:pPr>
            <w:r w:rsidRPr="00910389">
              <w:rPr>
                <w:rFonts w:ascii="Times New Roman" w:hAnsi="Times New Roman" w:cs="Times New Roman"/>
                <w:sz w:val="24"/>
                <w:szCs w:val="24"/>
              </w:rPr>
              <w:t>0 (0%)</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EB0DEE8"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 (0%)</w:t>
            </w:r>
          </w:p>
        </w:tc>
        <w:tc>
          <w:tcPr>
            <w:tcW w:w="1397" w:type="dxa"/>
            <w:tcBorders>
              <w:top w:val="single" w:sz="4" w:space="0" w:color="auto"/>
              <w:left w:val="single" w:sz="4" w:space="0" w:color="auto"/>
              <w:bottom w:val="single" w:sz="4" w:space="0" w:color="auto"/>
              <w:right w:val="single" w:sz="4" w:space="0" w:color="auto"/>
            </w:tcBorders>
          </w:tcPr>
          <w:p w14:paraId="12644D7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 (0%)</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2CFD7AC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 (5,8%)</w:t>
            </w:r>
          </w:p>
        </w:tc>
        <w:tc>
          <w:tcPr>
            <w:tcW w:w="1393" w:type="dxa"/>
            <w:tcBorders>
              <w:top w:val="single" w:sz="4" w:space="0" w:color="auto"/>
              <w:left w:val="single" w:sz="4" w:space="0" w:color="auto"/>
              <w:bottom w:val="single" w:sz="4" w:space="0" w:color="auto"/>
              <w:right w:val="single" w:sz="4" w:space="0" w:color="auto"/>
            </w:tcBorders>
          </w:tcPr>
          <w:p w14:paraId="135BA08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 (4,8%)</w:t>
            </w:r>
          </w:p>
        </w:tc>
        <w:tc>
          <w:tcPr>
            <w:tcW w:w="1397" w:type="dxa"/>
            <w:tcBorders>
              <w:top w:val="single" w:sz="4" w:space="0" w:color="auto"/>
              <w:left w:val="single" w:sz="4" w:space="0" w:color="auto"/>
              <w:bottom w:val="single" w:sz="4" w:space="0" w:color="auto"/>
              <w:right w:val="single" w:sz="4" w:space="0" w:color="auto"/>
            </w:tcBorders>
          </w:tcPr>
          <w:p w14:paraId="3D2AF18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 (5,4%)</w:t>
            </w:r>
          </w:p>
        </w:tc>
        <w:tc>
          <w:tcPr>
            <w:tcW w:w="1393" w:type="dxa"/>
            <w:tcBorders>
              <w:top w:val="single" w:sz="4" w:space="0" w:color="auto"/>
              <w:left w:val="single" w:sz="4" w:space="0" w:color="auto"/>
              <w:bottom w:val="single" w:sz="4" w:space="0" w:color="auto"/>
              <w:right w:val="single" w:sz="4" w:space="0" w:color="auto"/>
            </w:tcBorders>
          </w:tcPr>
          <w:p w14:paraId="33818E2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(11,5%)</w:t>
            </w:r>
          </w:p>
        </w:tc>
        <w:tc>
          <w:tcPr>
            <w:tcW w:w="1393" w:type="dxa"/>
            <w:tcBorders>
              <w:top w:val="single" w:sz="4" w:space="0" w:color="auto"/>
              <w:left w:val="single" w:sz="4" w:space="0" w:color="auto"/>
              <w:bottom w:val="single" w:sz="4" w:space="0" w:color="auto"/>
              <w:right w:val="single" w:sz="4" w:space="0" w:color="auto"/>
            </w:tcBorders>
          </w:tcPr>
          <w:p w14:paraId="0C367503"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(9,5%)</w:t>
            </w:r>
          </w:p>
        </w:tc>
        <w:tc>
          <w:tcPr>
            <w:tcW w:w="1397" w:type="dxa"/>
            <w:tcBorders>
              <w:top w:val="single" w:sz="4" w:space="0" w:color="auto"/>
              <w:left w:val="single" w:sz="4" w:space="0" w:color="auto"/>
              <w:bottom w:val="single" w:sz="4" w:space="0" w:color="auto"/>
              <w:right w:val="single" w:sz="4" w:space="0" w:color="auto"/>
            </w:tcBorders>
          </w:tcPr>
          <w:p w14:paraId="2033B29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 (7,5%)</w:t>
            </w:r>
          </w:p>
        </w:tc>
      </w:tr>
      <w:tr w:rsidR="007F3D2C" w:rsidRPr="00910389" w14:paraId="3A9A1EDE"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6DB6F8A6"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 xml:space="preserve">  гиперметр.</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1F6DD73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9 (3,5%)</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3E71E6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(1,6%)</w:t>
            </w:r>
          </w:p>
        </w:tc>
        <w:tc>
          <w:tcPr>
            <w:tcW w:w="1397" w:type="dxa"/>
            <w:tcBorders>
              <w:top w:val="single" w:sz="4" w:space="0" w:color="auto"/>
              <w:left w:val="single" w:sz="4" w:space="0" w:color="auto"/>
              <w:bottom w:val="single" w:sz="4" w:space="0" w:color="auto"/>
              <w:right w:val="single" w:sz="4" w:space="0" w:color="auto"/>
            </w:tcBorders>
          </w:tcPr>
          <w:p w14:paraId="6485DD5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 (2,3%)</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7E89F600"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9 (4,6%)</w:t>
            </w:r>
          </w:p>
        </w:tc>
        <w:tc>
          <w:tcPr>
            <w:tcW w:w="1393" w:type="dxa"/>
            <w:tcBorders>
              <w:top w:val="single" w:sz="4" w:space="0" w:color="auto"/>
              <w:left w:val="single" w:sz="4" w:space="0" w:color="auto"/>
              <w:bottom w:val="single" w:sz="4" w:space="0" w:color="auto"/>
              <w:right w:val="single" w:sz="4" w:space="0" w:color="auto"/>
            </w:tcBorders>
          </w:tcPr>
          <w:p w14:paraId="0DAF473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 (3,1%)</w:t>
            </w:r>
          </w:p>
        </w:tc>
        <w:tc>
          <w:tcPr>
            <w:tcW w:w="1397" w:type="dxa"/>
            <w:tcBorders>
              <w:top w:val="single" w:sz="4" w:space="0" w:color="auto"/>
              <w:left w:val="single" w:sz="4" w:space="0" w:color="auto"/>
              <w:bottom w:val="single" w:sz="4" w:space="0" w:color="auto"/>
              <w:right w:val="single" w:sz="4" w:space="0" w:color="auto"/>
            </w:tcBorders>
          </w:tcPr>
          <w:p w14:paraId="184B4A4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(3,6%)</w:t>
            </w:r>
          </w:p>
        </w:tc>
        <w:tc>
          <w:tcPr>
            <w:tcW w:w="1393" w:type="dxa"/>
            <w:tcBorders>
              <w:top w:val="single" w:sz="4" w:space="0" w:color="auto"/>
              <w:left w:val="single" w:sz="4" w:space="0" w:color="auto"/>
              <w:bottom w:val="single" w:sz="4" w:space="0" w:color="auto"/>
              <w:right w:val="single" w:sz="4" w:space="0" w:color="auto"/>
            </w:tcBorders>
          </w:tcPr>
          <w:p w14:paraId="1B6CEB4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(2,4%)</w:t>
            </w:r>
          </w:p>
        </w:tc>
        <w:tc>
          <w:tcPr>
            <w:tcW w:w="1393" w:type="dxa"/>
            <w:tcBorders>
              <w:top w:val="single" w:sz="4" w:space="0" w:color="auto"/>
              <w:left w:val="single" w:sz="4" w:space="0" w:color="auto"/>
              <w:bottom w:val="single" w:sz="4" w:space="0" w:color="auto"/>
              <w:right w:val="single" w:sz="4" w:space="0" w:color="auto"/>
            </w:tcBorders>
          </w:tcPr>
          <w:p w14:paraId="3C8A845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(2,4%)</w:t>
            </w:r>
          </w:p>
        </w:tc>
        <w:tc>
          <w:tcPr>
            <w:tcW w:w="1397" w:type="dxa"/>
            <w:tcBorders>
              <w:top w:val="single" w:sz="4" w:space="0" w:color="auto"/>
              <w:left w:val="single" w:sz="4" w:space="0" w:color="auto"/>
              <w:bottom w:val="single" w:sz="4" w:space="0" w:color="auto"/>
              <w:right w:val="single" w:sz="4" w:space="0" w:color="auto"/>
            </w:tcBorders>
          </w:tcPr>
          <w:p w14:paraId="2904DCD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(2,4%)</w:t>
            </w:r>
          </w:p>
        </w:tc>
      </w:tr>
      <w:tr w:rsidR="007F3D2C" w:rsidRPr="00910389" w14:paraId="19990C80"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hideMark/>
          </w:tcPr>
          <w:p w14:paraId="459F0BE8"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 xml:space="preserve">    астигматизм</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01989448"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(1,6%)</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57D4F3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(1,6%)</w:t>
            </w:r>
          </w:p>
        </w:tc>
        <w:tc>
          <w:tcPr>
            <w:tcW w:w="1397" w:type="dxa"/>
            <w:tcBorders>
              <w:top w:val="single" w:sz="4" w:space="0" w:color="auto"/>
              <w:left w:val="single" w:sz="4" w:space="0" w:color="auto"/>
              <w:bottom w:val="single" w:sz="4" w:space="0" w:color="auto"/>
              <w:right w:val="single" w:sz="4" w:space="0" w:color="auto"/>
            </w:tcBorders>
          </w:tcPr>
          <w:p w14:paraId="4353FE1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(1,6%)</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084898B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(5,1%)</w:t>
            </w:r>
          </w:p>
        </w:tc>
        <w:tc>
          <w:tcPr>
            <w:tcW w:w="1393" w:type="dxa"/>
            <w:tcBorders>
              <w:top w:val="single" w:sz="4" w:space="0" w:color="auto"/>
              <w:left w:val="single" w:sz="4" w:space="0" w:color="auto"/>
              <w:bottom w:val="single" w:sz="4" w:space="0" w:color="auto"/>
              <w:right w:val="single" w:sz="4" w:space="0" w:color="auto"/>
            </w:tcBorders>
          </w:tcPr>
          <w:p w14:paraId="641894A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(5,1%)</w:t>
            </w:r>
          </w:p>
        </w:tc>
        <w:tc>
          <w:tcPr>
            <w:tcW w:w="1397" w:type="dxa"/>
            <w:tcBorders>
              <w:top w:val="single" w:sz="4" w:space="0" w:color="auto"/>
              <w:left w:val="single" w:sz="4" w:space="0" w:color="auto"/>
              <w:bottom w:val="single" w:sz="4" w:space="0" w:color="auto"/>
              <w:right w:val="single" w:sz="4" w:space="0" w:color="auto"/>
            </w:tcBorders>
          </w:tcPr>
          <w:p w14:paraId="1E0CA10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(5,1%)</w:t>
            </w:r>
          </w:p>
        </w:tc>
        <w:tc>
          <w:tcPr>
            <w:tcW w:w="1393" w:type="dxa"/>
            <w:tcBorders>
              <w:top w:val="single" w:sz="4" w:space="0" w:color="auto"/>
              <w:left w:val="single" w:sz="4" w:space="0" w:color="auto"/>
              <w:bottom w:val="single" w:sz="4" w:space="0" w:color="auto"/>
              <w:right w:val="single" w:sz="4" w:space="0" w:color="auto"/>
            </w:tcBorders>
          </w:tcPr>
          <w:p w14:paraId="6589ED1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 (1,8%)</w:t>
            </w:r>
          </w:p>
        </w:tc>
        <w:tc>
          <w:tcPr>
            <w:tcW w:w="1393" w:type="dxa"/>
            <w:tcBorders>
              <w:top w:val="single" w:sz="4" w:space="0" w:color="auto"/>
              <w:left w:val="single" w:sz="4" w:space="0" w:color="auto"/>
              <w:bottom w:val="single" w:sz="4" w:space="0" w:color="auto"/>
              <w:right w:val="single" w:sz="4" w:space="0" w:color="auto"/>
            </w:tcBorders>
          </w:tcPr>
          <w:p w14:paraId="7758A47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(4,2%)</w:t>
            </w:r>
          </w:p>
        </w:tc>
        <w:tc>
          <w:tcPr>
            <w:tcW w:w="1397" w:type="dxa"/>
            <w:tcBorders>
              <w:top w:val="single" w:sz="4" w:space="0" w:color="auto"/>
              <w:left w:val="single" w:sz="4" w:space="0" w:color="auto"/>
              <w:bottom w:val="single" w:sz="4" w:space="0" w:color="auto"/>
              <w:right w:val="single" w:sz="4" w:space="0" w:color="auto"/>
            </w:tcBorders>
          </w:tcPr>
          <w:p w14:paraId="1EAACD77"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(4,2%)</w:t>
            </w:r>
          </w:p>
        </w:tc>
      </w:tr>
      <w:tr w:rsidR="007F3D2C" w:rsidRPr="00910389" w14:paraId="0818EF34" w14:textId="77777777" w:rsidTr="00292B55">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auto"/>
          </w:tcPr>
          <w:p w14:paraId="1F813BCE" w14:textId="77777777" w:rsidR="007F3D2C" w:rsidRPr="00910389" w:rsidRDefault="007F3D2C" w:rsidP="00292B55">
            <w:pPr>
              <w:spacing w:after="0" w:line="240" w:lineRule="auto"/>
              <w:jc w:val="both"/>
              <w:rPr>
                <w:rFonts w:ascii="Times New Roman" w:hAnsi="Times New Roman" w:cs="Times New Roman"/>
                <w:bCs/>
                <w:sz w:val="24"/>
                <w:szCs w:val="24"/>
                <w:vertAlign w:val="superscript"/>
              </w:rPr>
            </w:pPr>
            <w:r w:rsidRPr="00910389">
              <w:rPr>
                <w:rFonts w:ascii="Times New Roman" w:hAnsi="Times New Roman" w:cs="Times New Roman"/>
                <w:bCs/>
                <w:sz w:val="24"/>
                <w:szCs w:val="24"/>
                <w:lang w:val="en-US"/>
              </w:rPr>
              <w:t>SER</w:t>
            </w:r>
            <w:r w:rsidRPr="00910389">
              <w:rPr>
                <w:rFonts w:ascii="Times New Roman" w:hAnsi="Times New Roman" w:cs="Times New Roman"/>
                <w:bCs/>
                <w:sz w:val="24"/>
                <w:szCs w:val="24"/>
                <w:vertAlign w:val="superscript"/>
              </w:rPr>
              <w:t>3</w:t>
            </w:r>
            <w:r w:rsidRPr="00910389">
              <w:rPr>
                <w:rFonts w:ascii="Times New Roman" w:hAnsi="Times New Roman" w:cs="Times New Roman"/>
                <w:bCs/>
                <w:sz w:val="24"/>
                <w:szCs w:val="24"/>
              </w:rPr>
              <w:t xml:space="preserve">, </w:t>
            </w:r>
            <w:r w:rsidRPr="00910389">
              <w:rPr>
                <w:rFonts w:ascii="Times New Roman" w:hAnsi="Times New Roman" w:cs="Times New Roman"/>
                <w:bCs/>
                <w:sz w:val="24"/>
                <w:szCs w:val="24"/>
                <w:lang w:val="en-US"/>
              </w:rPr>
              <w:t>D</w:t>
            </w:r>
            <w:r w:rsidRPr="00910389">
              <w:rPr>
                <w:rFonts w:ascii="Times New Roman" w:hAnsi="Times New Roman" w:cs="Times New Roman"/>
                <w:bCs/>
                <w:sz w:val="24"/>
                <w:szCs w:val="24"/>
                <w:vertAlign w:val="superscript"/>
              </w:rPr>
              <w:t>4</w:t>
            </w:r>
          </w:p>
        </w:tc>
        <w:tc>
          <w:tcPr>
            <w:tcW w:w="1391" w:type="dxa"/>
            <w:tcBorders>
              <w:top w:val="single" w:sz="4" w:space="0" w:color="auto"/>
              <w:left w:val="single" w:sz="4" w:space="0" w:color="auto"/>
              <w:bottom w:val="single" w:sz="4" w:space="0" w:color="auto"/>
              <w:right w:val="single" w:sz="4" w:space="0" w:color="auto"/>
            </w:tcBorders>
            <w:shd w:val="clear" w:color="auto" w:fill="auto"/>
          </w:tcPr>
          <w:p w14:paraId="3BE0153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-0,08</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E9BC95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-0,113</w:t>
            </w:r>
          </w:p>
        </w:tc>
        <w:tc>
          <w:tcPr>
            <w:tcW w:w="1397" w:type="dxa"/>
            <w:tcBorders>
              <w:top w:val="single" w:sz="4" w:space="0" w:color="auto"/>
              <w:left w:val="single" w:sz="4" w:space="0" w:color="auto"/>
              <w:bottom w:val="single" w:sz="4" w:space="0" w:color="auto"/>
              <w:right w:val="single" w:sz="4" w:space="0" w:color="auto"/>
            </w:tcBorders>
          </w:tcPr>
          <w:p w14:paraId="5987AB9A"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-0,098</w:t>
            </w:r>
          </w:p>
        </w:tc>
        <w:tc>
          <w:tcPr>
            <w:tcW w:w="1393" w:type="dxa"/>
            <w:tcBorders>
              <w:top w:val="single" w:sz="4" w:space="0" w:color="auto"/>
              <w:left w:val="single" w:sz="4" w:space="0" w:color="auto"/>
              <w:bottom w:val="single" w:sz="4" w:space="0" w:color="auto"/>
              <w:right w:val="single" w:sz="4" w:space="0" w:color="auto"/>
            </w:tcBorders>
            <w:shd w:val="clear" w:color="auto" w:fill="auto"/>
            <w:noWrap/>
          </w:tcPr>
          <w:p w14:paraId="44CF181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-0,510</w:t>
            </w:r>
          </w:p>
        </w:tc>
        <w:tc>
          <w:tcPr>
            <w:tcW w:w="1393" w:type="dxa"/>
            <w:tcBorders>
              <w:top w:val="single" w:sz="4" w:space="0" w:color="auto"/>
              <w:left w:val="single" w:sz="4" w:space="0" w:color="auto"/>
              <w:bottom w:val="single" w:sz="4" w:space="0" w:color="auto"/>
              <w:right w:val="single" w:sz="4" w:space="0" w:color="auto"/>
            </w:tcBorders>
          </w:tcPr>
          <w:p w14:paraId="57DC592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-0,628</w:t>
            </w:r>
          </w:p>
        </w:tc>
        <w:tc>
          <w:tcPr>
            <w:tcW w:w="1397" w:type="dxa"/>
            <w:tcBorders>
              <w:top w:val="single" w:sz="4" w:space="0" w:color="auto"/>
              <w:left w:val="single" w:sz="4" w:space="0" w:color="auto"/>
              <w:bottom w:val="single" w:sz="4" w:space="0" w:color="auto"/>
              <w:right w:val="single" w:sz="4" w:space="0" w:color="auto"/>
            </w:tcBorders>
          </w:tcPr>
          <w:p w14:paraId="3B55712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-0,594</w:t>
            </w:r>
          </w:p>
        </w:tc>
        <w:tc>
          <w:tcPr>
            <w:tcW w:w="1393" w:type="dxa"/>
            <w:tcBorders>
              <w:top w:val="single" w:sz="4" w:space="0" w:color="auto"/>
              <w:left w:val="single" w:sz="4" w:space="0" w:color="auto"/>
              <w:bottom w:val="single" w:sz="4" w:space="0" w:color="auto"/>
              <w:right w:val="single" w:sz="4" w:space="0" w:color="auto"/>
            </w:tcBorders>
          </w:tcPr>
          <w:p w14:paraId="57E3D22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-1,000</w:t>
            </w:r>
          </w:p>
        </w:tc>
        <w:tc>
          <w:tcPr>
            <w:tcW w:w="1393" w:type="dxa"/>
            <w:tcBorders>
              <w:top w:val="single" w:sz="4" w:space="0" w:color="auto"/>
              <w:left w:val="single" w:sz="4" w:space="0" w:color="auto"/>
              <w:bottom w:val="single" w:sz="4" w:space="0" w:color="auto"/>
              <w:right w:val="single" w:sz="4" w:space="0" w:color="auto"/>
            </w:tcBorders>
          </w:tcPr>
          <w:p w14:paraId="5A01A683"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-1,15</w:t>
            </w:r>
          </w:p>
        </w:tc>
        <w:tc>
          <w:tcPr>
            <w:tcW w:w="1397" w:type="dxa"/>
            <w:tcBorders>
              <w:top w:val="single" w:sz="4" w:space="0" w:color="auto"/>
              <w:left w:val="single" w:sz="4" w:space="0" w:color="auto"/>
              <w:bottom w:val="single" w:sz="4" w:space="0" w:color="auto"/>
              <w:right w:val="single" w:sz="4" w:space="0" w:color="auto"/>
            </w:tcBorders>
          </w:tcPr>
          <w:p w14:paraId="0C5DDDF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-1,106</w:t>
            </w:r>
          </w:p>
        </w:tc>
      </w:tr>
      <w:tr w:rsidR="007F3D2C" w:rsidRPr="00910389" w14:paraId="7A91BA5B" w14:textId="77777777" w:rsidTr="00292B55">
        <w:trPr>
          <w:trHeight w:val="298"/>
        </w:trPr>
        <w:tc>
          <w:tcPr>
            <w:tcW w:w="14393" w:type="dxa"/>
            <w:gridSpan w:val="10"/>
            <w:tcBorders>
              <w:top w:val="single" w:sz="4" w:space="0" w:color="auto"/>
              <w:left w:val="single" w:sz="4" w:space="0" w:color="auto"/>
              <w:bottom w:val="single" w:sz="4" w:space="0" w:color="auto"/>
              <w:right w:val="single" w:sz="4" w:space="0" w:color="auto"/>
            </w:tcBorders>
            <w:shd w:val="clear" w:color="auto" w:fill="auto"/>
          </w:tcPr>
          <w:p w14:paraId="3F9D4048"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rPr>
              <w:t>Примечание:</w:t>
            </w:r>
          </w:p>
          <w:p w14:paraId="0EB7F24F"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1</w:t>
            </w:r>
            <w:r w:rsidRPr="00910389">
              <w:rPr>
                <w:rFonts w:ascii="Times New Roman" w:hAnsi="Times New Roman" w:cs="Times New Roman"/>
                <w:sz w:val="28"/>
                <w:szCs w:val="28"/>
              </w:rPr>
              <w:t>n – количество детей в подгруппе;</w:t>
            </w:r>
          </w:p>
          <w:p w14:paraId="41D7869C"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2</w:t>
            </w:r>
            <w:r w:rsidRPr="00910389">
              <w:rPr>
                <w:rFonts w:ascii="Times New Roman" w:hAnsi="Times New Roman" w:cs="Times New Roman"/>
                <w:sz w:val="28"/>
                <w:szCs w:val="28"/>
              </w:rPr>
              <w:t>% - доля в структуре миопии (% от всей миопии в группе);</w:t>
            </w:r>
          </w:p>
          <w:p w14:paraId="0453D436"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3</w:t>
            </w:r>
            <w:r w:rsidRPr="00910389">
              <w:rPr>
                <w:rFonts w:ascii="Times New Roman" w:hAnsi="Times New Roman" w:cs="Times New Roman"/>
                <w:sz w:val="28"/>
                <w:szCs w:val="28"/>
              </w:rPr>
              <w:t>SER – сферический эквивалент рефракции;</w:t>
            </w:r>
          </w:p>
          <w:p w14:paraId="1F00BE50" w14:textId="77777777" w:rsidR="007F3D2C" w:rsidRPr="00910389" w:rsidRDefault="007F3D2C" w:rsidP="00292B55">
            <w:pPr>
              <w:spacing w:after="0" w:line="240" w:lineRule="auto"/>
              <w:jc w:val="both"/>
              <w:rPr>
                <w:rFonts w:ascii="Times New Roman" w:hAnsi="Times New Roman" w:cs="Times New Roman"/>
                <w:sz w:val="24"/>
                <w:szCs w:val="24"/>
              </w:rPr>
            </w:pPr>
            <w:r w:rsidRPr="00910389">
              <w:rPr>
                <w:rFonts w:ascii="Times New Roman" w:hAnsi="Times New Roman" w:cs="Times New Roman"/>
                <w:sz w:val="28"/>
                <w:szCs w:val="28"/>
                <w:vertAlign w:val="superscript"/>
              </w:rPr>
              <w:t>4</w:t>
            </w:r>
            <w:r w:rsidRPr="00910389">
              <w:rPr>
                <w:rFonts w:ascii="Times New Roman" w:hAnsi="Times New Roman" w:cs="Times New Roman"/>
                <w:sz w:val="28"/>
                <w:szCs w:val="28"/>
              </w:rPr>
              <w:t>D - диоптрии</w:t>
            </w:r>
          </w:p>
        </w:tc>
      </w:tr>
    </w:tbl>
    <w:p w14:paraId="43A73736"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00FDD9BA"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25967682"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184D2D13"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63C6FAB1" w14:textId="77777777" w:rsidR="007F3D2C" w:rsidRPr="00910389" w:rsidRDefault="007F3D2C" w:rsidP="007F3D2C">
      <w:pPr>
        <w:pStyle w:val="a4"/>
        <w:ind w:firstLine="709"/>
        <w:jc w:val="both"/>
        <w:rPr>
          <w:rFonts w:ascii="Times New Roman" w:eastAsia="Times New Roman" w:hAnsi="Times New Roman" w:cs="Times New Roman"/>
          <w:sz w:val="28"/>
          <w:szCs w:val="28"/>
        </w:rPr>
      </w:pPr>
    </w:p>
    <w:p w14:paraId="638C571D" w14:textId="77777777" w:rsidR="007F3D2C" w:rsidRPr="00910389" w:rsidRDefault="007F3D2C" w:rsidP="007F3D2C">
      <w:pPr>
        <w:pStyle w:val="a4"/>
        <w:ind w:firstLine="709"/>
        <w:jc w:val="both"/>
        <w:rPr>
          <w:rFonts w:ascii="Times New Roman" w:eastAsia="Calibri" w:hAnsi="Times New Roman" w:cs="Times New Roman"/>
          <w:sz w:val="28"/>
          <w:szCs w:val="28"/>
        </w:rPr>
        <w:sectPr w:rsidR="007F3D2C" w:rsidRPr="00910389" w:rsidSect="00292B55">
          <w:pgSz w:w="16838" w:h="11906" w:orient="landscape"/>
          <w:pgMar w:top="1701" w:right="1134" w:bottom="850" w:left="1134" w:header="708" w:footer="708" w:gutter="0"/>
          <w:cols w:space="708"/>
          <w:docGrid w:linePitch="360"/>
        </w:sectPr>
      </w:pPr>
      <w:r w:rsidRPr="00910389">
        <w:rPr>
          <w:rFonts w:ascii="Times New Roman" w:eastAsia="Calibri" w:hAnsi="Times New Roman" w:cs="Times New Roman"/>
          <w:sz w:val="28"/>
          <w:szCs w:val="28"/>
        </w:rPr>
        <w:br w:type="page"/>
      </w:r>
    </w:p>
    <w:p w14:paraId="19F6F0F8" w14:textId="774CD709"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lastRenderedPageBreak/>
        <w:t xml:space="preserve">Как следует из представленных в таблице </w:t>
      </w:r>
      <w:r w:rsidR="00155ACA" w:rsidRPr="00155ACA">
        <w:rPr>
          <w:rFonts w:ascii="Times New Roman" w:eastAsia="Calibri" w:hAnsi="Times New Roman" w:cs="Times New Roman"/>
          <w:sz w:val="28"/>
          <w:szCs w:val="28"/>
        </w:rPr>
        <w:t>27</w:t>
      </w:r>
      <w:r w:rsidRPr="00910389">
        <w:rPr>
          <w:rFonts w:ascii="Times New Roman" w:eastAsia="Calibri" w:hAnsi="Times New Roman" w:cs="Times New Roman"/>
          <w:sz w:val="28"/>
          <w:szCs w:val="28"/>
        </w:rPr>
        <w:t xml:space="preserve"> данных во всех возрастных группах имеет место сдвиг рефракции в положительную сторону в период между вторым и третьим осмотром, что связано как с проводимым лечением школьников из групп риска, так и, вероятно, каникулярным периодом, предшествовавшем последнему контрольному осмотру. </w:t>
      </w:r>
    </w:p>
    <w:p w14:paraId="3187101E" w14:textId="57063046"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Контрольная группа была осмотрена дважды – сентябре-октябре, в начале учебного года и через год. Результаты обследования учащихся контрольной группы представлены в таблице </w:t>
      </w:r>
      <w:r w:rsidR="00155ACA" w:rsidRPr="00672E3D">
        <w:rPr>
          <w:rFonts w:ascii="Times New Roman" w:eastAsia="Calibri" w:hAnsi="Times New Roman" w:cs="Times New Roman"/>
          <w:sz w:val="28"/>
          <w:szCs w:val="28"/>
        </w:rPr>
        <w:t>28</w:t>
      </w:r>
      <w:r w:rsidRPr="00910389">
        <w:rPr>
          <w:rFonts w:ascii="Times New Roman" w:eastAsia="Calibri" w:hAnsi="Times New Roman" w:cs="Times New Roman"/>
          <w:sz w:val="28"/>
          <w:szCs w:val="28"/>
        </w:rPr>
        <w:t>.</w:t>
      </w:r>
    </w:p>
    <w:p w14:paraId="25822751" w14:textId="77777777" w:rsidR="007F3D2C" w:rsidRDefault="007F3D2C" w:rsidP="007F3D2C">
      <w:pPr>
        <w:pStyle w:val="a4"/>
        <w:jc w:val="both"/>
        <w:rPr>
          <w:rFonts w:ascii="Times New Roman" w:eastAsia="Calibri" w:hAnsi="Times New Roman" w:cs="Times New Roman"/>
          <w:sz w:val="28"/>
          <w:szCs w:val="28"/>
        </w:rPr>
      </w:pPr>
    </w:p>
    <w:p w14:paraId="0D2B0ECB" w14:textId="5B802374" w:rsidR="007F3D2C" w:rsidRDefault="007F3D2C" w:rsidP="007F3D2C">
      <w:pPr>
        <w:pStyle w:val="a4"/>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Таблица </w:t>
      </w:r>
      <w:r w:rsidR="00155ACA" w:rsidRPr="00155ACA">
        <w:rPr>
          <w:rFonts w:ascii="Times New Roman" w:eastAsia="Calibri" w:hAnsi="Times New Roman" w:cs="Times New Roman"/>
          <w:sz w:val="28"/>
          <w:szCs w:val="28"/>
        </w:rPr>
        <w:t>28</w:t>
      </w:r>
      <w:r w:rsidRPr="00910389">
        <w:rPr>
          <w:rFonts w:ascii="Times New Roman" w:eastAsia="Calibri" w:hAnsi="Times New Roman" w:cs="Times New Roman"/>
          <w:sz w:val="28"/>
          <w:szCs w:val="28"/>
        </w:rPr>
        <w:t xml:space="preserve"> – Динамика показателей рефракции контрольной группы учащихся разных классов (</w:t>
      </w:r>
      <w:r w:rsidRPr="00910389">
        <w:rPr>
          <w:rFonts w:ascii="Times New Roman" w:eastAsia="Calibri" w:hAnsi="Times New Roman" w:cs="Times New Roman"/>
          <w:sz w:val="28"/>
          <w:szCs w:val="28"/>
          <w:lang w:val="en-US"/>
        </w:rPr>
        <w:t>N</w:t>
      </w:r>
      <w:r w:rsidRPr="00910389">
        <w:rPr>
          <w:rFonts w:ascii="Times New Roman" w:eastAsia="Calibri" w:hAnsi="Times New Roman" w:cs="Times New Roman"/>
          <w:sz w:val="28"/>
          <w:szCs w:val="28"/>
        </w:rPr>
        <w:t xml:space="preserve"> = 681)</w:t>
      </w:r>
    </w:p>
    <w:p w14:paraId="45E54EE2" w14:textId="77777777" w:rsidR="00DC3FF8" w:rsidRPr="00910389" w:rsidRDefault="00DC3FF8" w:rsidP="007F3D2C">
      <w:pPr>
        <w:pStyle w:val="a4"/>
        <w:jc w:val="both"/>
        <w:rPr>
          <w:rFonts w:ascii="Times New Roman" w:eastAsia="Calibri" w:hAnsi="Times New Roman" w:cs="Times New Roman"/>
          <w:sz w:val="28"/>
          <w:szCs w:val="28"/>
        </w:rPr>
      </w:pPr>
    </w:p>
    <w:tbl>
      <w:tblPr>
        <w:tblW w:w="10201" w:type="dxa"/>
        <w:jc w:val="center"/>
        <w:tblLayout w:type="fixed"/>
        <w:tblLook w:val="04A0" w:firstRow="1" w:lastRow="0" w:firstColumn="1" w:lastColumn="0" w:noHBand="0" w:noVBand="1"/>
      </w:tblPr>
      <w:tblGrid>
        <w:gridCol w:w="1696"/>
        <w:gridCol w:w="1417"/>
        <w:gridCol w:w="1418"/>
        <w:gridCol w:w="1417"/>
        <w:gridCol w:w="1418"/>
        <w:gridCol w:w="1417"/>
        <w:gridCol w:w="1418"/>
      </w:tblGrid>
      <w:tr w:rsidR="007F3D2C" w:rsidRPr="00910389" w14:paraId="5CF817B5" w14:textId="77777777" w:rsidTr="00292B55">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33658" w14:textId="77777777" w:rsidR="007F3D2C" w:rsidRPr="00910389" w:rsidRDefault="007F3D2C" w:rsidP="00292B55">
            <w:pPr>
              <w:spacing w:after="0" w:line="240" w:lineRule="auto"/>
              <w:jc w:val="both"/>
              <w:rPr>
                <w:rFonts w:ascii="Times New Roman" w:hAnsi="Times New Roman" w:cs="Times New Roman"/>
                <w:b/>
                <w:bCs/>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tcPr>
          <w:p w14:paraId="72A8BB70" w14:textId="77777777" w:rsidR="007F3D2C" w:rsidRPr="00910389" w:rsidRDefault="007F3D2C" w:rsidP="00292B55">
            <w:pPr>
              <w:spacing w:after="0" w:line="240" w:lineRule="auto"/>
              <w:jc w:val="both"/>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Младшее звено</w:t>
            </w:r>
          </w:p>
          <w:p w14:paraId="4E2B9FFD"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Calibri" w:hAnsi="Times New Roman" w:cs="Times New Roman"/>
                <w:sz w:val="24"/>
                <w:szCs w:val="24"/>
                <w:lang w:eastAsia="en-US"/>
              </w:rPr>
              <w:t>(</w:t>
            </w:r>
            <w:r w:rsidRPr="00910389">
              <w:rPr>
                <w:rFonts w:ascii="Times New Roman" w:eastAsia="Calibri" w:hAnsi="Times New Roman" w:cs="Times New Roman"/>
                <w:sz w:val="24"/>
                <w:szCs w:val="24"/>
                <w:lang w:val="en-US" w:eastAsia="en-US"/>
              </w:rPr>
              <w:t>n</w:t>
            </w:r>
            <w:r w:rsidRPr="00910389">
              <w:rPr>
                <w:rFonts w:ascii="Times New Roman" w:eastAsia="Calibri" w:hAnsi="Times New Roman" w:cs="Times New Roman"/>
                <w:sz w:val="24"/>
                <w:szCs w:val="24"/>
                <w:vertAlign w:val="superscript"/>
                <w:lang w:eastAsia="en-US"/>
              </w:rPr>
              <w:t>1</w:t>
            </w:r>
            <w:r w:rsidRPr="00910389">
              <w:rPr>
                <w:rFonts w:ascii="Times New Roman" w:eastAsia="Calibri" w:hAnsi="Times New Roman" w:cs="Times New Roman"/>
                <w:sz w:val="24"/>
                <w:szCs w:val="24"/>
                <w:lang w:val="en-US" w:eastAsia="en-US"/>
              </w:rPr>
              <w:t xml:space="preserve"> = </w:t>
            </w:r>
            <w:r w:rsidRPr="00910389">
              <w:rPr>
                <w:rFonts w:ascii="Times New Roman" w:eastAsia="Calibri" w:hAnsi="Times New Roman" w:cs="Times New Roman"/>
                <w:sz w:val="24"/>
                <w:szCs w:val="24"/>
                <w:lang w:eastAsia="en-US"/>
              </w:rPr>
              <w:t>271)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AA580C0" w14:textId="77777777" w:rsidR="007F3D2C" w:rsidRPr="00910389" w:rsidRDefault="007F3D2C" w:rsidP="00292B55">
            <w:pPr>
              <w:spacing w:after="0" w:line="240" w:lineRule="auto"/>
              <w:jc w:val="both"/>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Среднее звено</w:t>
            </w:r>
          </w:p>
          <w:p w14:paraId="3A494FC5"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Calibri" w:hAnsi="Times New Roman" w:cs="Times New Roman"/>
                <w:sz w:val="24"/>
                <w:szCs w:val="24"/>
                <w:lang w:eastAsia="en-US"/>
              </w:rPr>
              <w:t>(</w:t>
            </w:r>
            <w:r w:rsidRPr="00910389">
              <w:rPr>
                <w:rFonts w:ascii="Times New Roman" w:eastAsia="Calibri" w:hAnsi="Times New Roman" w:cs="Times New Roman"/>
                <w:sz w:val="24"/>
                <w:szCs w:val="24"/>
                <w:lang w:val="en-US" w:eastAsia="en-US"/>
              </w:rPr>
              <w:t>n = 224</w:t>
            </w:r>
            <w:r w:rsidRPr="00910389">
              <w:rPr>
                <w:rFonts w:ascii="Times New Roman" w:eastAsia="Calibri" w:hAnsi="Times New Roman" w:cs="Times New Roman"/>
                <w:sz w:val="24"/>
                <w:szCs w:val="24"/>
                <w:lang w:eastAsia="en-US"/>
              </w:rPr>
              <w:t>)</w:t>
            </w:r>
          </w:p>
        </w:tc>
        <w:tc>
          <w:tcPr>
            <w:tcW w:w="2835" w:type="dxa"/>
            <w:gridSpan w:val="2"/>
            <w:tcBorders>
              <w:top w:val="single" w:sz="4" w:space="0" w:color="auto"/>
              <w:left w:val="single" w:sz="4" w:space="0" w:color="auto"/>
              <w:bottom w:val="single" w:sz="4" w:space="0" w:color="auto"/>
              <w:right w:val="single" w:sz="4" w:space="0" w:color="auto"/>
            </w:tcBorders>
          </w:tcPr>
          <w:p w14:paraId="29860286" w14:textId="77777777" w:rsidR="007F3D2C" w:rsidRPr="00910389" w:rsidRDefault="007F3D2C" w:rsidP="00292B55">
            <w:pPr>
              <w:spacing w:after="0" w:line="240" w:lineRule="auto"/>
              <w:jc w:val="both"/>
              <w:rPr>
                <w:rFonts w:ascii="Times New Roman" w:eastAsia="Calibri" w:hAnsi="Times New Roman" w:cs="Times New Roman"/>
                <w:sz w:val="24"/>
                <w:szCs w:val="24"/>
                <w:lang w:eastAsia="en-US"/>
              </w:rPr>
            </w:pPr>
            <w:r w:rsidRPr="00910389">
              <w:rPr>
                <w:rFonts w:ascii="Times New Roman" w:eastAsia="Calibri" w:hAnsi="Times New Roman" w:cs="Times New Roman"/>
                <w:sz w:val="24"/>
                <w:szCs w:val="24"/>
                <w:lang w:eastAsia="en-US"/>
              </w:rPr>
              <w:t>Старшее звено</w:t>
            </w:r>
          </w:p>
          <w:p w14:paraId="151B8CE0"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Calibri" w:hAnsi="Times New Roman" w:cs="Times New Roman"/>
                <w:sz w:val="24"/>
                <w:szCs w:val="24"/>
                <w:lang w:val="en-US" w:eastAsia="en-US"/>
              </w:rPr>
              <w:t>(n=186)</w:t>
            </w:r>
          </w:p>
        </w:tc>
      </w:tr>
      <w:tr w:rsidR="007F3D2C" w:rsidRPr="00910389" w14:paraId="17F51606" w14:textId="77777777" w:rsidTr="00292B55">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26CA5" w14:textId="77777777" w:rsidR="007F3D2C" w:rsidRPr="00910389" w:rsidRDefault="007F3D2C" w:rsidP="00292B55">
            <w:pPr>
              <w:spacing w:after="0" w:line="240" w:lineRule="auto"/>
              <w:jc w:val="both"/>
              <w:rPr>
                <w:rFonts w:ascii="Times New Roman" w:hAnsi="Times New Roman" w:cs="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3BFED361"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Первичн.</w:t>
            </w:r>
          </w:p>
          <w:p w14:paraId="39FFF71F"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B833A9"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Повторн.</w:t>
            </w:r>
          </w:p>
          <w:p w14:paraId="54A2943D"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1DCAB0"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Первичн.</w:t>
            </w:r>
          </w:p>
          <w:p w14:paraId="1DF5BCAC" w14:textId="77777777" w:rsidR="007F3D2C" w:rsidRPr="00910389" w:rsidRDefault="007F3D2C" w:rsidP="00292B55">
            <w:pPr>
              <w:spacing w:after="0" w:line="240" w:lineRule="auto"/>
              <w:jc w:val="both"/>
              <w:rPr>
                <w:rFonts w:ascii="Times New Roman" w:hAnsi="Times New Roman" w:cs="Times New Roman"/>
                <w:b/>
                <w:bCs/>
                <w:sz w:val="24"/>
                <w:szCs w:val="24"/>
                <w:vertAlign w:val="superscript"/>
              </w:rPr>
            </w:pPr>
            <w:r w:rsidRPr="00910389">
              <w:rPr>
                <w:rFonts w:ascii="Times New Roman" w:eastAsia="Times New Roman" w:hAnsi="Times New Roman" w:cs="Times New Roman"/>
                <w:sz w:val="24"/>
                <w:szCs w:val="24"/>
              </w:rPr>
              <w:t>осмотр</w:t>
            </w:r>
          </w:p>
        </w:tc>
        <w:tc>
          <w:tcPr>
            <w:tcW w:w="1418" w:type="dxa"/>
            <w:tcBorders>
              <w:top w:val="single" w:sz="4" w:space="0" w:color="auto"/>
              <w:left w:val="single" w:sz="4" w:space="0" w:color="auto"/>
              <w:bottom w:val="single" w:sz="4" w:space="0" w:color="auto"/>
              <w:right w:val="single" w:sz="4" w:space="0" w:color="auto"/>
            </w:tcBorders>
          </w:tcPr>
          <w:p w14:paraId="7753DA56"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Повторн.</w:t>
            </w:r>
          </w:p>
          <w:p w14:paraId="66EC1CDC"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417" w:type="dxa"/>
            <w:tcBorders>
              <w:top w:val="single" w:sz="4" w:space="0" w:color="auto"/>
              <w:left w:val="single" w:sz="4" w:space="0" w:color="auto"/>
              <w:bottom w:val="single" w:sz="4" w:space="0" w:color="auto"/>
              <w:right w:val="single" w:sz="4" w:space="0" w:color="auto"/>
            </w:tcBorders>
          </w:tcPr>
          <w:p w14:paraId="0B1C1B70"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Первичн.</w:t>
            </w:r>
          </w:p>
          <w:p w14:paraId="5055404C"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c>
          <w:tcPr>
            <w:tcW w:w="1418" w:type="dxa"/>
            <w:tcBorders>
              <w:top w:val="single" w:sz="4" w:space="0" w:color="auto"/>
              <w:left w:val="single" w:sz="4" w:space="0" w:color="auto"/>
              <w:bottom w:val="single" w:sz="4" w:space="0" w:color="auto"/>
              <w:right w:val="single" w:sz="4" w:space="0" w:color="auto"/>
            </w:tcBorders>
          </w:tcPr>
          <w:p w14:paraId="71908EAE" w14:textId="77777777" w:rsidR="007F3D2C" w:rsidRPr="00910389" w:rsidRDefault="007F3D2C" w:rsidP="00292B55">
            <w:pPr>
              <w:spacing w:after="0" w:line="240" w:lineRule="auto"/>
              <w:jc w:val="both"/>
              <w:rPr>
                <w:rFonts w:ascii="Times New Roman" w:eastAsia="Times New Roman" w:hAnsi="Times New Roman" w:cs="Times New Roman"/>
                <w:sz w:val="24"/>
                <w:szCs w:val="24"/>
              </w:rPr>
            </w:pPr>
            <w:r w:rsidRPr="00910389">
              <w:rPr>
                <w:rFonts w:ascii="Times New Roman" w:eastAsia="Times New Roman" w:hAnsi="Times New Roman" w:cs="Times New Roman"/>
                <w:sz w:val="24"/>
                <w:szCs w:val="24"/>
              </w:rPr>
              <w:t>Повторн.</w:t>
            </w:r>
          </w:p>
          <w:p w14:paraId="51BE98B4" w14:textId="77777777" w:rsidR="007F3D2C" w:rsidRPr="00910389" w:rsidRDefault="007F3D2C" w:rsidP="00292B55">
            <w:pPr>
              <w:spacing w:after="0" w:line="240" w:lineRule="auto"/>
              <w:jc w:val="both"/>
              <w:rPr>
                <w:rFonts w:ascii="Times New Roman" w:hAnsi="Times New Roman" w:cs="Times New Roman"/>
                <w:b/>
                <w:bCs/>
                <w:sz w:val="24"/>
                <w:szCs w:val="24"/>
              </w:rPr>
            </w:pPr>
            <w:r w:rsidRPr="00910389">
              <w:rPr>
                <w:rFonts w:ascii="Times New Roman" w:eastAsia="Times New Roman" w:hAnsi="Times New Roman" w:cs="Times New Roman"/>
                <w:sz w:val="24"/>
                <w:szCs w:val="24"/>
              </w:rPr>
              <w:t>осмотр</w:t>
            </w:r>
          </w:p>
        </w:tc>
      </w:tr>
      <w:tr w:rsidR="007F3D2C" w:rsidRPr="00910389" w14:paraId="0164DF6C"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305A957C"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Эмметропия</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57D75" w14:textId="77777777" w:rsidR="007F3D2C" w:rsidRPr="00910389" w:rsidRDefault="007F3D2C" w:rsidP="00292B55">
            <w:pPr>
              <w:spacing w:after="0" w:line="240" w:lineRule="auto"/>
              <w:jc w:val="center"/>
              <w:rPr>
                <w:rFonts w:ascii="Times New Roman" w:hAnsi="Times New Roman" w:cs="Times New Roman"/>
                <w:sz w:val="24"/>
                <w:szCs w:val="24"/>
                <w:lang w:val="en-US"/>
              </w:rPr>
            </w:pPr>
            <w:r w:rsidRPr="00910389">
              <w:rPr>
                <w:rFonts w:ascii="Times New Roman" w:hAnsi="Times New Roman" w:cs="Times New Roman"/>
                <w:sz w:val="24"/>
                <w:szCs w:val="24"/>
              </w:rPr>
              <w:t>221</w:t>
            </w:r>
            <w:r w:rsidRPr="00910389">
              <w:rPr>
                <w:rFonts w:ascii="Times New Roman" w:hAnsi="Times New Roman" w:cs="Times New Roman"/>
                <w:sz w:val="24"/>
                <w:szCs w:val="24"/>
                <w:lang w:val="en-US"/>
              </w:rPr>
              <w:t xml:space="preserve"> (81</w:t>
            </w:r>
            <w:r w:rsidRPr="00910389">
              <w:rPr>
                <w:rFonts w:ascii="Times New Roman" w:hAnsi="Times New Roman" w:cs="Times New Roman"/>
                <w:sz w:val="24"/>
                <w:szCs w:val="24"/>
              </w:rPr>
              <w:t>,5%</w:t>
            </w:r>
            <w:r w:rsidRPr="00910389">
              <w:rPr>
                <w:rFonts w:ascii="Times New Roman" w:hAnsi="Times New Roman" w:cs="Times New Roman"/>
                <w:sz w:val="24"/>
                <w:szCs w:val="24"/>
                <w:lang w:val="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AA8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214 (79,0%)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5C0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168 (75,0%)</w:t>
            </w:r>
          </w:p>
        </w:tc>
        <w:tc>
          <w:tcPr>
            <w:tcW w:w="1418" w:type="dxa"/>
            <w:tcBorders>
              <w:top w:val="single" w:sz="4" w:space="0" w:color="auto"/>
              <w:left w:val="single" w:sz="4" w:space="0" w:color="auto"/>
              <w:bottom w:val="single" w:sz="4" w:space="0" w:color="auto"/>
              <w:right w:val="single" w:sz="4" w:space="0" w:color="auto"/>
            </w:tcBorders>
            <w:vAlign w:val="center"/>
          </w:tcPr>
          <w:p w14:paraId="56165127"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167 (74,6%)</w:t>
            </w:r>
          </w:p>
        </w:tc>
        <w:tc>
          <w:tcPr>
            <w:tcW w:w="1417" w:type="dxa"/>
            <w:tcBorders>
              <w:top w:val="single" w:sz="4" w:space="0" w:color="auto"/>
              <w:left w:val="single" w:sz="4" w:space="0" w:color="auto"/>
              <w:bottom w:val="single" w:sz="4" w:space="0" w:color="auto"/>
              <w:right w:val="single" w:sz="4" w:space="0" w:color="auto"/>
            </w:tcBorders>
            <w:vAlign w:val="center"/>
          </w:tcPr>
          <w:p w14:paraId="31342740"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105 (56,5%)</w:t>
            </w:r>
          </w:p>
        </w:tc>
        <w:tc>
          <w:tcPr>
            <w:tcW w:w="1418" w:type="dxa"/>
            <w:tcBorders>
              <w:top w:val="single" w:sz="4" w:space="0" w:color="auto"/>
              <w:left w:val="single" w:sz="4" w:space="0" w:color="auto"/>
              <w:bottom w:val="single" w:sz="4" w:space="0" w:color="auto"/>
              <w:right w:val="single" w:sz="4" w:space="0" w:color="auto"/>
            </w:tcBorders>
            <w:vAlign w:val="center"/>
          </w:tcPr>
          <w:p w14:paraId="38D2932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98 (52,7%)</w:t>
            </w:r>
          </w:p>
        </w:tc>
      </w:tr>
      <w:tr w:rsidR="007F3D2C" w:rsidRPr="00910389" w14:paraId="5EAA6D92" w14:textId="77777777" w:rsidTr="00292B55">
        <w:trPr>
          <w:trHeight w:val="576"/>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15DBDCF2"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Нарушения рефракции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F7EC" w14:textId="77777777" w:rsidR="007F3D2C" w:rsidRPr="00910389" w:rsidRDefault="007F3D2C" w:rsidP="00292B55">
            <w:pPr>
              <w:spacing w:after="0" w:line="240" w:lineRule="auto"/>
              <w:jc w:val="center"/>
              <w:rPr>
                <w:rFonts w:ascii="Times New Roman" w:hAnsi="Times New Roman" w:cs="Times New Roman"/>
                <w:sz w:val="24"/>
                <w:szCs w:val="24"/>
                <w:lang w:val="en-US"/>
              </w:rPr>
            </w:pPr>
            <w:r w:rsidRPr="00910389">
              <w:rPr>
                <w:rFonts w:ascii="Times New Roman" w:hAnsi="Times New Roman" w:cs="Times New Roman"/>
                <w:sz w:val="24"/>
                <w:szCs w:val="24"/>
              </w:rPr>
              <w:t>50</w:t>
            </w:r>
            <w:r w:rsidRPr="00910389">
              <w:rPr>
                <w:rFonts w:ascii="Times New Roman" w:hAnsi="Times New Roman" w:cs="Times New Roman"/>
                <w:sz w:val="24"/>
                <w:szCs w:val="24"/>
                <w:lang w:val="en-US"/>
              </w:rPr>
              <w:t xml:space="preserve"> (</w:t>
            </w:r>
            <w:r w:rsidRPr="00910389">
              <w:rPr>
                <w:rFonts w:ascii="Times New Roman" w:hAnsi="Times New Roman" w:cs="Times New Roman"/>
                <w:sz w:val="24"/>
                <w:szCs w:val="24"/>
              </w:rPr>
              <w:t>18,5%</w:t>
            </w:r>
            <w:r w:rsidRPr="00910389">
              <w:rPr>
                <w:rFonts w:ascii="Times New Roman" w:hAnsi="Times New Roman" w:cs="Times New Roman"/>
                <w:sz w:val="24"/>
                <w:szCs w:val="24"/>
                <w:lang w:val="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ED10"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57 (21,0%)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97C9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56 (25,0%)</w:t>
            </w:r>
          </w:p>
        </w:tc>
        <w:tc>
          <w:tcPr>
            <w:tcW w:w="1418" w:type="dxa"/>
            <w:tcBorders>
              <w:top w:val="single" w:sz="4" w:space="0" w:color="auto"/>
              <w:left w:val="single" w:sz="4" w:space="0" w:color="auto"/>
              <w:bottom w:val="single" w:sz="4" w:space="0" w:color="auto"/>
              <w:right w:val="single" w:sz="4" w:space="0" w:color="auto"/>
            </w:tcBorders>
            <w:vAlign w:val="center"/>
          </w:tcPr>
          <w:p w14:paraId="2BBD225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57 (25,4%)</w:t>
            </w:r>
          </w:p>
        </w:tc>
        <w:tc>
          <w:tcPr>
            <w:tcW w:w="1417" w:type="dxa"/>
            <w:tcBorders>
              <w:top w:val="single" w:sz="4" w:space="0" w:color="auto"/>
              <w:left w:val="single" w:sz="4" w:space="0" w:color="auto"/>
              <w:bottom w:val="single" w:sz="4" w:space="0" w:color="auto"/>
              <w:right w:val="single" w:sz="4" w:space="0" w:color="auto"/>
            </w:tcBorders>
            <w:vAlign w:val="center"/>
          </w:tcPr>
          <w:p w14:paraId="11DC398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81 (43,5%)</w:t>
            </w:r>
          </w:p>
        </w:tc>
        <w:tc>
          <w:tcPr>
            <w:tcW w:w="1418" w:type="dxa"/>
            <w:tcBorders>
              <w:top w:val="single" w:sz="4" w:space="0" w:color="auto"/>
              <w:left w:val="single" w:sz="4" w:space="0" w:color="auto"/>
              <w:bottom w:val="single" w:sz="4" w:space="0" w:color="auto"/>
              <w:right w:val="single" w:sz="4" w:space="0" w:color="auto"/>
            </w:tcBorders>
            <w:vAlign w:val="center"/>
          </w:tcPr>
          <w:p w14:paraId="4896DD0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88 (47,3%)</w:t>
            </w:r>
          </w:p>
        </w:tc>
      </w:tr>
      <w:tr w:rsidR="007F3D2C" w:rsidRPr="00910389" w14:paraId="669C9D88"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B3A68EF"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 xml:space="preserve">  миопия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D86C1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30</w:t>
            </w:r>
            <w:r w:rsidRPr="00910389">
              <w:rPr>
                <w:rFonts w:ascii="Times New Roman" w:hAnsi="Times New Roman" w:cs="Times New Roman"/>
                <w:sz w:val="24"/>
                <w:szCs w:val="24"/>
                <w:lang w:val="en-US"/>
              </w:rPr>
              <w:t xml:space="preserve"> </w:t>
            </w:r>
            <w:r w:rsidRPr="00910389">
              <w:rPr>
                <w:rFonts w:ascii="Times New Roman" w:hAnsi="Times New Roman" w:cs="Times New Roman"/>
                <w:sz w:val="24"/>
                <w:szCs w:val="24"/>
              </w:rPr>
              <w:t>(11,5%)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C0CF"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42 (15,5%)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FAFF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46 (20,5%)</w:t>
            </w:r>
          </w:p>
        </w:tc>
        <w:tc>
          <w:tcPr>
            <w:tcW w:w="1418" w:type="dxa"/>
            <w:tcBorders>
              <w:top w:val="single" w:sz="4" w:space="0" w:color="auto"/>
              <w:left w:val="single" w:sz="4" w:space="0" w:color="auto"/>
              <w:bottom w:val="single" w:sz="4" w:space="0" w:color="auto"/>
              <w:right w:val="single" w:sz="4" w:space="0" w:color="auto"/>
            </w:tcBorders>
            <w:vAlign w:val="center"/>
          </w:tcPr>
          <w:p w14:paraId="4DDEB727"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51 (22,8%)</w:t>
            </w:r>
          </w:p>
        </w:tc>
        <w:tc>
          <w:tcPr>
            <w:tcW w:w="1417" w:type="dxa"/>
            <w:tcBorders>
              <w:top w:val="single" w:sz="4" w:space="0" w:color="auto"/>
              <w:left w:val="single" w:sz="4" w:space="0" w:color="auto"/>
              <w:bottom w:val="single" w:sz="4" w:space="0" w:color="auto"/>
              <w:right w:val="single" w:sz="4" w:space="0" w:color="auto"/>
            </w:tcBorders>
            <w:vAlign w:val="center"/>
          </w:tcPr>
          <w:p w14:paraId="742528E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74 (39,8%)</w:t>
            </w:r>
          </w:p>
        </w:tc>
        <w:tc>
          <w:tcPr>
            <w:tcW w:w="1418" w:type="dxa"/>
            <w:tcBorders>
              <w:top w:val="single" w:sz="4" w:space="0" w:color="auto"/>
              <w:left w:val="single" w:sz="4" w:space="0" w:color="auto"/>
              <w:bottom w:val="single" w:sz="4" w:space="0" w:color="auto"/>
              <w:right w:val="single" w:sz="4" w:space="0" w:color="auto"/>
            </w:tcBorders>
            <w:vAlign w:val="center"/>
          </w:tcPr>
          <w:p w14:paraId="509E5E83"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81 (43,5%)</w:t>
            </w:r>
          </w:p>
        </w:tc>
      </w:tr>
      <w:tr w:rsidR="007F3D2C" w:rsidRPr="00910389" w14:paraId="1D206D1F"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54515C"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слабая</w:t>
            </w:r>
            <w:r w:rsidRPr="00910389">
              <w:rPr>
                <w:rFonts w:ascii="Times New Roman" w:hAnsi="Times New Roman" w:cs="Times New Roman"/>
                <w:bCs/>
                <w:sz w:val="24"/>
                <w:szCs w:val="24"/>
                <w:vertAlign w:val="superscript"/>
              </w:rPr>
              <w:t>2</w:t>
            </w:r>
            <w:r w:rsidRPr="00910389">
              <w:rPr>
                <w:rFonts w:ascii="Times New Roman" w:hAnsi="Times New Roman" w:cs="Times New Roman"/>
                <w:bCs/>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C1FFE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26 (86,7%)</w:t>
            </w:r>
            <w:r w:rsidRPr="00910389">
              <w:rPr>
                <w:rFonts w:ascii="Times New Roman" w:hAnsi="Times New Roman" w:cs="Times New Roman"/>
                <w:sz w:val="24"/>
                <w:szCs w:val="24"/>
                <w:vertAlign w:val="superscript"/>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4083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38 (90,5%)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B9C5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34 (74,5%)</w:t>
            </w:r>
          </w:p>
        </w:tc>
        <w:tc>
          <w:tcPr>
            <w:tcW w:w="1418" w:type="dxa"/>
            <w:tcBorders>
              <w:top w:val="single" w:sz="4" w:space="0" w:color="auto"/>
              <w:left w:val="single" w:sz="4" w:space="0" w:color="auto"/>
              <w:bottom w:val="single" w:sz="4" w:space="0" w:color="auto"/>
              <w:right w:val="single" w:sz="4" w:space="0" w:color="auto"/>
            </w:tcBorders>
            <w:vAlign w:val="center"/>
          </w:tcPr>
          <w:p w14:paraId="54E898B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38 (74,5%)</w:t>
            </w:r>
          </w:p>
        </w:tc>
        <w:tc>
          <w:tcPr>
            <w:tcW w:w="1417" w:type="dxa"/>
            <w:tcBorders>
              <w:top w:val="single" w:sz="4" w:space="0" w:color="auto"/>
              <w:left w:val="single" w:sz="4" w:space="0" w:color="auto"/>
              <w:bottom w:val="single" w:sz="4" w:space="0" w:color="auto"/>
              <w:right w:val="single" w:sz="4" w:space="0" w:color="auto"/>
            </w:tcBorders>
            <w:vAlign w:val="center"/>
          </w:tcPr>
          <w:p w14:paraId="7A3723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55 (74,3%)</w:t>
            </w:r>
          </w:p>
        </w:tc>
        <w:tc>
          <w:tcPr>
            <w:tcW w:w="1418" w:type="dxa"/>
            <w:tcBorders>
              <w:top w:val="single" w:sz="4" w:space="0" w:color="auto"/>
              <w:left w:val="single" w:sz="4" w:space="0" w:color="auto"/>
              <w:bottom w:val="single" w:sz="4" w:space="0" w:color="auto"/>
              <w:right w:val="single" w:sz="4" w:space="0" w:color="auto"/>
            </w:tcBorders>
            <w:vAlign w:val="center"/>
          </w:tcPr>
          <w:p w14:paraId="306B3D6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62 (76,5%)</w:t>
            </w:r>
          </w:p>
        </w:tc>
      </w:tr>
      <w:tr w:rsidR="007F3D2C" w:rsidRPr="00910389" w14:paraId="5371C038"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006EEAB"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средняя</w:t>
            </w:r>
            <w:r w:rsidRPr="00910389">
              <w:rPr>
                <w:rFonts w:ascii="Times New Roman" w:hAnsi="Times New Roman" w:cs="Times New Roman"/>
                <w:bCs/>
                <w:sz w:val="24"/>
                <w:szCs w:val="24"/>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FED6A3" w14:textId="77777777" w:rsidR="007F3D2C" w:rsidRPr="00910389" w:rsidRDefault="007F3D2C" w:rsidP="00292B55">
            <w:pPr>
              <w:spacing w:after="0" w:line="240" w:lineRule="auto"/>
              <w:jc w:val="center"/>
              <w:rPr>
                <w:rFonts w:ascii="Times New Roman" w:hAnsi="Times New Roman" w:cs="Times New Roman"/>
                <w:sz w:val="24"/>
                <w:szCs w:val="24"/>
                <w:vertAlign w:val="superscript"/>
              </w:rPr>
            </w:pPr>
            <w:r w:rsidRPr="00910389">
              <w:rPr>
                <w:rFonts w:ascii="Times New Roman" w:hAnsi="Times New Roman" w:cs="Times New Roman"/>
                <w:sz w:val="24"/>
                <w:szCs w:val="24"/>
              </w:rPr>
              <w:t>4 (13,3%)</w:t>
            </w:r>
            <w:r w:rsidRPr="00910389">
              <w:rPr>
                <w:rFonts w:ascii="Times New Roman" w:hAnsi="Times New Roman" w:cs="Times New Roman"/>
                <w:sz w:val="24"/>
                <w:szCs w:val="24"/>
                <w:vertAlign w:val="superscript"/>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CEDC0"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9D19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(21,6%)</w:t>
            </w:r>
          </w:p>
        </w:tc>
        <w:tc>
          <w:tcPr>
            <w:tcW w:w="1418" w:type="dxa"/>
            <w:tcBorders>
              <w:top w:val="single" w:sz="4" w:space="0" w:color="auto"/>
              <w:left w:val="single" w:sz="4" w:space="0" w:color="auto"/>
              <w:bottom w:val="single" w:sz="4" w:space="0" w:color="auto"/>
              <w:right w:val="single" w:sz="4" w:space="0" w:color="auto"/>
            </w:tcBorders>
            <w:vAlign w:val="center"/>
          </w:tcPr>
          <w:p w14:paraId="31AB5F5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11 (21,6%)</w:t>
            </w:r>
          </w:p>
        </w:tc>
        <w:tc>
          <w:tcPr>
            <w:tcW w:w="1417" w:type="dxa"/>
            <w:tcBorders>
              <w:top w:val="single" w:sz="4" w:space="0" w:color="auto"/>
              <w:left w:val="single" w:sz="4" w:space="0" w:color="auto"/>
              <w:bottom w:val="single" w:sz="4" w:space="0" w:color="auto"/>
              <w:right w:val="single" w:sz="4" w:space="0" w:color="auto"/>
            </w:tcBorders>
            <w:vAlign w:val="center"/>
          </w:tcPr>
          <w:p w14:paraId="16751DE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12 (16,2%)</w:t>
            </w:r>
          </w:p>
        </w:tc>
        <w:tc>
          <w:tcPr>
            <w:tcW w:w="1418" w:type="dxa"/>
            <w:tcBorders>
              <w:top w:val="single" w:sz="4" w:space="0" w:color="auto"/>
              <w:left w:val="single" w:sz="4" w:space="0" w:color="auto"/>
              <w:bottom w:val="single" w:sz="4" w:space="0" w:color="auto"/>
              <w:right w:val="single" w:sz="4" w:space="0" w:color="auto"/>
            </w:tcBorders>
            <w:vAlign w:val="center"/>
          </w:tcPr>
          <w:p w14:paraId="2609724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12 (14,8%)</w:t>
            </w:r>
          </w:p>
        </w:tc>
      </w:tr>
      <w:tr w:rsidR="007F3D2C" w:rsidRPr="00910389" w14:paraId="1A8FF7A7"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DE8078C"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высокая</w:t>
            </w:r>
            <w:r w:rsidRPr="00910389">
              <w:rPr>
                <w:rFonts w:ascii="Times New Roman" w:hAnsi="Times New Roman" w:cs="Times New Roman"/>
                <w:bCs/>
                <w:sz w:val="24"/>
                <w:szCs w:val="24"/>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767294" w14:textId="77777777" w:rsidR="007F3D2C" w:rsidRPr="00910389" w:rsidRDefault="007F3D2C" w:rsidP="00292B55">
            <w:pPr>
              <w:spacing w:after="0" w:line="240" w:lineRule="auto"/>
              <w:jc w:val="center"/>
              <w:rPr>
                <w:rFonts w:ascii="Times New Roman" w:hAnsi="Times New Roman" w:cs="Times New Roman"/>
                <w:sz w:val="24"/>
                <w:szCs w:val="24"/>
                <w:vertAlign w:val="superscript"/>
              </w:rPr>
            </w:pPr>
            <w:r w:rsidRPr="00910389">
              <w:rPr>
                <w:rFonts w:ascii="Times New Roman" w:hAnsi="Times New Roman" w:cs="Times New Roman"/>
                <w:sz w:val="24"/>
                <w:szCs w:val="24"/>
              </w:rPr>
              <w:t>0 (0%)</w:t>
            </w:r>
            <w:r w:rsidRPr="00910389">
              <w:rPr>
                <w:rFonts w:ascii="Times New Roman" w:hAnsi="Times New Roman" w:cs="Times New Roman"/>
                <w:sz w:val="24"/>
                <w:szCs w:val="24"/>
                <w:vertAlign w:val="superscript"/>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871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 (0%)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A13D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 (3,9%)</w:t>
            </w:r>
          </w:p>
        </w:tc>
        <w:tc>
          <w:tcPr>
            <w:tcW w:w="1418" w:type="dxa"/>
            <w:tcBorders>
              <w:top w:val="single" w:sz="4" w:space="0" w:color="auto"/>
              <w:left w:val="single" w:sz="4" w:space="0" w:color="auto"/>
              <w:bottom w:val="single" w:sz="4" w:space="0" w:color="auto"/>
              <w:right w:val="single" w:sz="4" w:space="0" w:color="auto"/>
            </w:tcBorders>
            <w:vAlign w:val="center"/>
          </w:tcPr>
          <w:p w14:paraId="13E8E53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 (3,9%)</w:t>
            </w:r>
          </w:p>
        </w:tc>
        <w:tc>
          <w:tcPr>
            <w:tcW w:w="1417" w:type="dxa"/>
            <w:tcBorders>
              <w:top w:val="single" w:sz="4" w:space="0" w:color="auto"/>
              <w:left w:val="single" w:sz="4" w:space="0" w:color="auto"/>
              <w:bottom w:val="single" w:sz="4" w:space="0" w:color="auto"/>
              <w:right w:val="single" w:sz="4" w:space="0" w:color="auto"/>
            </w:tcBorders>
            <w:vAlign w:val="center"/>
          </w:tcPr>
          <w:p w14:paraId="68AD75D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(9,5%)</w:t>
            </w:r>
          </w:p>
        </w:tc>
        <w:tc>
          <w:tcPr>
            <w:tcW w:w="1418" w:type="dxa"/>
            <w:tcBorders>
              <w:top w:val="single" w:sz="4" w:space="0" w:color="auto"/>
              <w:left w:val="single" w:sz="4" w:space="0" w:color="auto"/>
              <w:bottom w:val="single" w:sz="4" w:space="0" w:color="auto"/>
              <w:right w:val="single" w:sz="4" w:space="0" w:color="auto"/>
            </w:tcBorders>
            <w:vAlign w:val="center"/>
          </w:tcPr>
          <w:p w14:paraId="618DDE2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(8,6%)</w:t>
            </w:r>
          </w:p>
        </w:tc>
      </w:tr>
      <w:tr w:rsidR="007F3D2C" w:rsidRPr="00910389" w14:paraId="6E5D1C69"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01C7CB7" w14:textId="77777777" w:rsidR="007F3D2C" w:rsidRPr="00910389" w:rsidRDefault="007F3D2C" w:rsidP="00292B55">
            <w:pPr>
              <w:spacing w:after="0" w:line="240" w:lineRule="auto"/>
              <w:jc w:val="both"/>
              <w:rPr>
                <w:rFonts w:ascii="Times New Roman" w:hAnsi="Times New Roman" w:cs="Times New Roman"/>
                <w:bCs/>
                <w:sz w:val="24"/>
                <w:szCs w:val="24"/>
                <w:lang w:val="en-US"/>
              </w:rPr>
            </w:pPr>
            <w:r w:rsidRPr="00910389">
              <w:rPr>
                <w:rFonts w:ascii="Times New Roman" w:hAnsi="Times New Roman" w:cs="Times New Roman"/>
                <w:bCs/>
                <w:sz w:val="24"/>
                <w:szCs w:val="24"/>
              </w:rPr>
              <w:t xml:space="preserve">  гиперметр</w:t>
            </w:r>
            <w:r w:rsidRPr="00910389">
              <w:rPr>
                <w:rFonts w:ascii="Times New Roman" w:hAnsi="Times New Roman" w:cs="Times New Roman"/>
                <w:bCs/>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E9310C"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20 (7,4%)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B9EE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15 (5,5%)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11F4"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10 (2,7%)</w:t>
            </w:r>
          </w:p>
        </w:tc>
        <w:tc>
          <w:tcPr>
            <w:tcW w:w="1418" w:type="dxa"/>
            <w:tcBorders>
              <w:top w:val="single" w:sz="4" w:space="0" w:color="auto"/>
              <w:left w:val="single" w:sz="4" w:space="0" w:color="auto"/>
              <w:bottom w:val="single" w:sz="4" w:space="0" w:color="auto"/>
              <w:right w:val="single" w:sz="4" w:space="0" w:color="auto"/>
            </w:tcBorders>
            <w:vAlign w:val="center"/>
          </w:tcPr>
          <w:p w14:paraId="174C8CEB"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6 (2,7%)</w:t>
            </w:r>
          </w:p>
        </w:tc>
        <w:tc>
          <w:tcPr>
            <w:tcW w:w="1417" w:type="dxa"/>
            <w:tcBorders>
              <w:top w:val="single" w:sz="4" w:space="0" w:color="auto"/>
              <w:left w:val="single" w:sz="4" w:space="0" w:color="auto"/>
              <w:bottom w:val="single" w:sz="4" w:space="0" w:color="auto"/>
              <w:right w:val="single" w:sz="4" w:space="0" w:color="auto"/>
            </w:tcBorders>
            <w:vAlign w:val="center"/>
          </w:tcPr>
          <w:p w14:paraId="6EC6CD96"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(3,8%)</w:t>
            </w:r>
          </w:p>
        </w:tc>
        <w:tc>
          <w:tcPr>
            <w:tcW w:w="1418" w:type="dxa"/>
            <w:tcBorders>
              <w:top w:val="single" w:sz="4" w:space="0" w:color="auto"/>
              <w:left w:val="single" w:sz="4" w:space="0" w:color="auto"/>
              <w:bottom w:val="single" w:sz="4" w:space="0" w:color="auto"/>
              <w:right w:val="single" w:sz="4" w:space="0" w:color="auto"/>
            </w:tcBorders>
            <w:vAlign w:val="center"/>
          </w:tcPr>
          <w:p w14:paraId="5BC9F8DD"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(3,8%)</w:t>
            </w:r>
          </w:p>
        </w:tc>
      </w:tr>
      <w:tr w:rsidR="007F3D2C" w:rsidRPr="00910389" w14:paraId="763B4E70"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517D817" w14:textId="77777777" w:rsidR="007F3D2C" w:rsidRPr="00910389" w:rsidRDefault="007F3D2C" w:rsidP="00292B55">
            <w:pPr>
              <w:spacing w:after="0" w:line="240" w:lineRule="auto"/>
              <w:jc w:val="both"/>
              <w:rPr>
                <w:rFonts w:ascii="Times New Roman" w:hAnsi="Times New Roman" w:cs="Times New Roman"/>
                <w:bCs/>
                <w:sz w:val="24"/>
                <w:szCs w:val="24"/>
              </w:rPr>
            </w:pPr>
            <w:r w:rsidRPr="00910389">
              <w:rPr>
                <w:rFonts w:ascii="Times New Roman" w:hAnsi="Times New Roman" w:cs="Times New Roman"/>
                <w:bCs/>
                <w:sz w:val="24"/>
                <w:szCs w:val="24"/>
              </w:rPr>
              <w:t xml:space="preserve">  астигматизм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9AC37"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2 (0,7%)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0AD3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5 (1,8%)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22545"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3 (1,8%)</w:t>
            </w:r>
          </w:p>
        </w:tc>
        <w:tc>
          <w:tcPr>
            <w:tcW w:w="1418" w:type="dxa"/>
            <w:tcBorders>
              <w:top w:val="single" w:sz="4" w:space="0" w:color="auto"/>
              <w:left w:val="single" w:sz="4" w:space="0" w:color="auto"/>
              <w:bottom w:val="single" w:sz="4" w:space="0" w:color="auto"/>
              <w:right w:val="single" w:sz="4" w:space="0" w:color="auto"/>
            </w:tcBorders>
            <w:vAlign w:val="center"/>
          </w:tcPr>
          <w:p w14:paraId="5F3C9F6E"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4 (1,8%)</w:t>
            </w:r>
          </w:p>
        </w:tc>
        <w:tc>
          <w:tcPr>
            <w:tcW w:w="1417" w:type="dxa"/>
            <w:tcBorders>
              <w:top w:val="single" w:sz="4" w:space="0" w:color="auto"/>
              <w:left w:val="single" w:sz="4" w:space="0" w:color="auto"/>
              <w:bottom w:val="single" w:sz="4" w:space="0" w:color="auto"/>
              <w:right w:val="single" w:sz="4" w:space="0" w:color="auto"/>
            </w:tcBorders>
            <w:vAlign w:val="center"/>
          </w:tcPr>
          <w:p w14:paraId="33BD3739"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(3,8%)</w:t>
            </w:r>
          </w:p>
        </w:tc>
        <w:tc>
          <w:tcPr>
            <w:tcW w:w="1418" w:type="dxa"/>
            <w:tcBorders>
              <w:top w:val="single" w:sz="4" w:space="0" w:color="auto"/>
              <w:left w:val="single" w:sz="4" w:space="0" w:color="auto"/>
              <w:bottom w:val="single" w:sz="4" w:space="0" w:color="auto"/>
              <w:right w:val="single" w:sz="4" w:space="0" w:color="auto"/>
            </w:tcBorders>
            <w:vAlign w:val="center"/>
          </w:tcPr>
          <w:p w14:paraId="7CFC4DA3"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7 (3,8%)</w:t>
            </w:r>
          </w:p>
        </w:tc>
      </w:tr>
      <w:tr w:rsidR="007F3D2C" w:rsidRPr="00910389" w14:paraId="4A08A37D" w14:textId="77777777" w:rsidTr="00292B55">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C3D1200" w14:textId="77777777" w:rsidR="007F3D2C" w:rsidRPr="00910389" w:rsidRDefault="007F3D2C" w:rsidP="00292B55">
            <w:pPr>
              <w:spacing w:after="0" w:line="240" w:lineRule="auto"/>
              <w:jc w:val="both"/>
              <w:rPr>
                <w:rFonts w:ascii="Times New Roman" w:hAnsi="Times New Roman" w:cs="Times New Roman"/>
                <w:bCs/>
                <w:sz w:val="24"/>
                <w:szCs w:val="24"/>
                <w:vertAlign w:val="superscript"/>
              </w:rPr>
            </w:pPr>
            <w:r w:rsidRPr="00910389">
              <w:rPr>
                <w:rFonts w:ascii="Times New Roman" w:hAnsi="Times New Roman" w:cs="Times New Roman"/>
                <w:bCs/>
                <w:sz w:val="24"/>
                <w:szCs w:val="24"/>
                <w:lang w:val="en-US"/>
              </w:rPr>
              <w:t>SER</w:t>
            </w:r>
            <w:r w:rsidRPr="00910389">
              <w:rPr>
                <w:rFonts w:ascii="Times New Roman" w:hAnsi="Times New Roman" w:cs="Times New Roman"/>
                <w:bCs/>
                <w:sz w:val="24"/>
                <w:szCs w:val="24"/>
                <w:vertAlign w:val="superscript"/>
              </w:rPr>
              <w:t>3</w:t>
            </w:r>
            <w:r w:rsidRPr="00910389">
              <w:rPr>
                <w:rFonts w:ascii="Times New Roman" w:hAnsi="Times New Roman" w:cs="Times New Roman"/>
                <w:bCs/>
                <w:sz w:val="24"/>
                <w:szCs w:val="24"/>
              </w:rPr>
              <w:t xml:space="preserve">, </w:t>
            </w:r>
            <w:r w:rsidRPr="00910389">
              <w:rPr>
                <w:rFonts w:ascii="Times New Roman" w:hAnsi="Times New Roman" w:cs="Times New Roman"/>
                <w:bCs/>
                <w:sz w:val="24"/>
                <w:szCs w:val="24"/>
                <w:lang w:val="en-US"/>
              </w:rPr>
              <w:t>D</w:t>
            </w:r>
            <w:r w:rsidRPr="00910389">
              <w:rPr>
                <w:rFonts w:ascii="Times New Roman" w:hAnsi="Times New Roman" w:cs="Times New Roman"/>
                <w:bCs/>
                <w:sz w:val="24"/>
                <w:szCs w:val="24"/>
                <w:vertAlign w:val="superscript"/>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E878D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A6FDC91"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-0,138</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06D7D12"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-0,346</w:t>
            </w:r>
          </w:p>
        </w:tc>
        <w:tc>
          <w:tcPr>
            <w:tcW w:w="1418" w:type="dxa"/>
            <w:tcBorders>
              <w:top w:val="single" w:sz="4" w:space="0" w:color="auto"/>
              <w:left w:val="single" w:sz="4" w:space="0" w:color="auto"/>
              <w:bottom w:val="single" w:sz="4" w:space="0" w:color="auto"/>
              <w:right w:val="single" w:sz="4" w:space="0" w:color="auto"/>
            </w:tcBorders>
          </w:tcPr>
          <w:p w14:paraId="4363DF93" w14:textId="77777777" w:rsidR="007F3D2C" w:rsidRPr="00910389" w:rsidRDefault="007F3D2C" w:rsidP="00292B55">
            <w:pPr>
              <w:spacing w:after="0" w:line="240" w:lineRule="auto"/>
              <w:jc w:val="center"/>
              <w:rPr>
                <w:rFonts w:ascii="Times New Roman" w:hAnsi="Times New Roman" w:cs="Times New Roman"/>
                <w:sz w:val="24"/>
                <w:szCs w:val="24"/>
              </w:rPr>
            </w:pPr>
            <w:r w:rsidRPr="00910389">
              <w:rPr>
                <w:rFonts w:ascii="Times New Roman" w:hAnsi="Times New Roman" w:cs="Times New Roman"/>
                <w:sz w:val="24"/>
                <w:szCs w:val="24"/>
              </w:rPr>
              <w:t>-0,443</w:t>
            </w:r>
          </w:p>
        </w:tc>
        <w:tc>
          <w:tcPr>
            <w:tcW w:w="1417" w:type="dxa"/>
            <w:tcBorders>
              <w:top w:val="single" w:sz="4" w:space="0" w:color="auto"/>
              <w:left w:val="single" w:sz="4" w:space="0" w:color="auto"/>
              <w:bottom w:val="single" w:sz="4" w:space="0" w:color="auto"/>
              <w:right w:val="single" w:sz="4" w:space="0" w:color="auto"/>
            </w:tcBorders>
          </w:tcPr>
          <w:p w14:paraId="6984E18B" w14:textId="77777777" w:rsidR="007F3D2C" w:rsidRPr="00910389" w:rsidRDefault="007F3D2C" w:rsidP="00292B55">
            <w:pPr>
              <w:spacing w:after="0" w:line="240" w:lineRule="auto"/>
              <w:jc w:val="center"/>
              <w:rPr>
                <w:rFonts w:ascii="Times New Roman" w:eastAsia="Times New Roman" w:hAnsi="Times New Roman" w:cs="Times New Roman"/>
                <w:color w:val="000000"/>
                <w:sz w:val="24"/>
                <w:szCs w:val="24"/>
              </w:rPr>
            </w:pPr>
            <w:r w:rsidRPr="00910389">
              <w:rPr>
                <w:rFonts w:ascii="Times New Roman" w:hAnsi="Times New Roman" w:cs="Times New Roman"/>
                <w:color w:val="000000"/>
                <w:sz w:val="24"/>
                <w:szCs w:val="24"/>
              </w:rPr>
              <w:t>-0,950</w:t>
            </w:r>
          </w:p>
        </w:tc>
        <w:tc>
          <w:tcPr>
            <w:tcW w:w="1418" w:type="dxa"/>
            <w:tcBorders>
              <w:top w:val="single" w:sz="4" w:space="0" w:color="auto"/>
              <w:left w:val="single" w:sz="4" w:space="0" w:color="auto"/>
              <w:bottom w:val="single" w:sz="4" w:space="0" w:color="auto"/>
              <w:right w:val="single" w:sz="4" w:space="0" w:color="auto"/>
            </w:tcBorders>
          </w:tcPr>
          <w:p w14:paraId="29CD74DA" w14:textId="77777777" w:rsidR="007F3D2C" w:rsidRPr="00910389" w:rsidRDefault="007F3D2C" w:rsidP="00292B55">
            <w:pPr>
              <w:spacing w:after="0" w:line="240" w:lineRule="auto"/>
              <w:jc w:val="center"/>
              <w:rPr>
                <w:rFonts w:ascii="Times New Roman" w:eastAsia="Times New Roman" w:hAnsi="Times New Roman" w:cs="Times New Roman"/>
                <w:color w:val="000000"/>
                <w:sz w:val="24"/>
                <w:szCs w:val="24"/>
              </w:rPr>
            </w:pPr>
            <w:r w:rsidRPr="00910389">
              <w:rPr>
                <w:rFonts w:ascii="Times New Roman" w:hAnsi="Times New Roman" w:cs="Times New Roman"/>
                <w:color w:val="000000"/>
                <w:sz w:val="24"/>
                <w:szCs w:val="24"/>
              </w:rPr>
              <w:t>-1,03</w:t>
            </w:r>
          </w:p>
        </w:tc>
      </w:tr>
      <w:tr w:rsidR="007F3D2C" w:rsidRPr="00910389" w14:paraId="59B04EB2" w14:textId="77777777" w:rsidTr="00292B55">
        <w:trPr>
          <w:trHeight w:val="288"/>
          <w:jc w:val="center"/>
        </w:trPr>
        <w:tc>
          <w:tcPr>
            <w:tcW w:w="1020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874D983"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rPr>
              <w:t>Примечание:</w:t>
            </w:r>
          </w:p>
          <w:p w14:paraId="45C94E08"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1</w:t>
            </w:r>
            <w:r w:rsidRPr="00910389">
              <w:rPr>
                <w:rFonts w:ascii="Times New Roman" w:hAnsi="Times New Roman" w:cs="Times New Roman"/>
                <w:sz w:val="28"/>
                <w:szCs w:val="28"/>
                <w:lang w:val="en-US"/>
              </w:rPr>
              <w:t>n</w:t>
            </w:r>
            <w:r w:rsidRPr="00910389">
              <w:rPr>
                <w:rFonts w:ascii="Times New Roman" w:hAnsi="Times New Roman" w:cs="Times New Roman"/>
                <w:sz w:val="28"/>
                <w:szCs w:val="28"/>
              </w:rPr>
              <w:t xml:space="preserve"> – количество детей в подгруппе;</w:t>
            </w:r>
          </w:p>
          <w:p w14:paraId="56C361C5"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2</w:t>
            </w:r>
            <w:r w:rsidRPr="00910389">
              <w:rPr>
                <w:rFonts w:ascii="Times New Roman" w:hAnsi="Times New Roman" w:cs="Times New Roman"/>
                <w:sz w:val="28"/>
                <w:szCs w:val="28"/>
              </w:rPr>
              <w:t>% - доля в структуре миопии (% от всей миопии в группе);</w:t>
            </w:r>
          </w:p>
          <w:p w14:paraId="208AACBE"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3</w:t>
            </w:r>
            <w:r w:rsidRPr="00910389">
              <w:rPr>
                <w:rFonts w:ascii="Times New Roman" w:hAnsi="Times New Roman" w:cs="Times New Roman"/>
                <w:sz w:val="28"/>
                <w:szCs w:val="28"/>
                <w:lang w:val="en-US"/>
              </w:rPr>
              <w:t>SER</w:t>
            </w:r>
            <w:r w:rsidRPr="00910389">
              <w:rPr>
                <w:rFonts w:ascii="Times New Roman" w:hAnsi="Times New Roman" w:cs="Times New Roman"/>
                <w:sz w:val="28"/>
                <w:szCs w:val="28"/>
              </w:rPr>
              <w:t xml:space="preserve"> – сферический эквивалент рефракции;</w:t>
            </w:r>
          </w:p>
          <w:p w14:paraId="0311B744" w14:textId="77777777" w:rsidR="007F3D2C" w:rsidRPr="00910389" w:rsidRDefault="007F3D2C" w:rsidP="00292B55">
            <w:pPr>
              <w:spacing w:after="0" w:line="240" w:lineRule="auto"/>
              <w:jc w:val="both"/>
              <w:rPr>
                <w:rFonts w:ascii="Times New Roman" w:hAnsi="Times New Roman" w:cs="Times New Roman"/>
                <w:sz w:val="28"/>
                <w:szCs w:val="28"/>
              </w:rPr>
            </w:pPr>
            <w:r w:rsidRPr="00910389">
              <w:rPr>
                <w:rFonts w:ascii="Times New Roman" w:hAnsi="Times New Roman" w:cs="Times New Roman"/>
                <w:sz w:val="28"/>
                <w:szCs w:val="28"/>
                <w:vertAlign w:val="superscript"/>
              </w:rPr>
              <w:t>4</w:t>
            </w:r>
            <w:r w:rsidRPr="00910389">
              <w:rPr>
                <w:rFonts w:ascii="Times New Roman" w:hAnsi="Times New Roman" w:cs="Times New Roman"/>
                <w:sz w:val="28"/>
                <w:szCs w:val="28"/>
                <w:lang w:val="en-US"/>
              </w:rPr>
              <w:t>D</w:t>
            </w:r>
            <w:r w:rsidRPr="00910389">
              <w:rPr>
                <w:rFonts w:ascii="Times New Roman" w:hAnsi="Times New Roman" w:cs="Times New Roman"/>
                <w:sz w:val="28"/>
                <w:szCs w:val="28"/>
              </w:rPr>
              <w:t xml:space="preserve"> - диоптрии</w:t>
            </w:r>
          </w:p>
        </w:tc>
      </w:tr>
    </w:tbl>
    <w:p w14:paraId="5BC7D5D6" w14:textId="77777777" w:rsidR="007F3D2C" w:rsidRPr="00910389" w:rsidRDefault="007F3D2C" w:rsidP="007F3D2C">
      <w:pPr>
        <w:pStyle w:val="a4"/>
        <w:ind w:firstLine="709"/>
        <w:jc w:val="both"/>
        <w:rPr>
          <w:rFonts w:ascii="Times New Roman" w:eastAsia="Calibri" w:hAnsi="Times New Roman" w:cs="Times New Roman"/>
          <w:sz w:val="28"/>
          <w:szCs w:val="28"/>
        </w:rPr>
      </w:pPr>
    </w:p>
    <w:p w14:paraId="1C63550D" w14:textId="33C025B6"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В обеих группах наблюдалось усиление миопической рефракции в течение учебного года уже в младшем звене: с 14,7% в начале учебного года до 19,8% к концу третьей четверти – в группе наблюдения и с 11,5% до 15,5% - в группе контроля, а также увеличение числа близоруких детей за счет миопии слабой степени, что может косвенно подтверждать аккомодационную теорию миопии. Полученные результаты подтверждают данные литературы о том, что нарушение остроты зрения у значительного числа школьников формируются уже к 12 годам (Шиллер С.И., 2012). Наибольшее число лиц с миопией определено среди учащихся старших классов (максимально 43,5 и 44,3% в группе контроля и наблюдения соответственно). При этом обращает на себя внимание снижение этого показателя в группе наблюдения на фоне проводимого лечения на 4,2%. </w:t>
      </w:r>
      <w:bookmarkStart w:id="54" w:name="_Hlk105945823"/>
      <w:r w:rsidRPr="00910389">
        <w:rPr>
          <w:rFonts w:ascii="Times New Roman" w:eastAsia="Calibri" w:hAnsi="Times New Roman" w:cs="Times New Roman"/>
          <w:sz w:val="28"/>
          <w:szCs w:val="28"/>
        </w:rPr>
        <w:t xml:space="preserve">В таблице </w:t>
      </w:r>
      <w:r w:rsidR="00155ACA" w:rsidRPr="00155ACA">
        <w:rPr>
          <w:rFonts w:ascii="Times New Roman" w:eastAsia="Calibri" w:hAnsi="Times New Roman" w:cs="Times New Roman"/>
          <w:sz w:val="28"/>
          <w:szCs w:val="28"/>
        </w:rPr>
        <w:t>29</w:t>
      </w:r>
      <w:r w:rsidRPr="00910389">
        <w:rPr>
          <w:rFonts w:ascii="Times New Roman" w:eastAsia="Calibri" w:hAnsi="Times New Roman" w:cs="Times New Roman"/>
          <w:sz w:val="28"/>
          <w:szCs w:val="28"/>
        </w:rPr>
        <w:t xml:space="preserve"> представлен сравнительный анализ динамики рефракции школьников обеих групп за наблюдаемый период.</w:t>
      </w:r>
    </w:p>
    <w:p w14:paraId="29C29330" w14:textId="77777777" w:rsidR="007F3D2C" w:rsidRPr="00910389" w:rsidRDefault="007F3D2C" w:rsidP="007F3D2C">
      <w:pPr>
        <w:pStyle w:val="a4"/>
        <w:ind w:firstLine="709"/>
        <w:jc w:val="both"/>
        <w:rPr>
          <w:rFonts w:ascii="Times New Roman" w:eastAsia="Calibri" w:hAnsi="Times New Roman" w:cs="Times New Roman"/>
          <w:sz w:val="28"/>
          <w:szCs w:val="28"/>
        </w:rPr>
      </w:pPr>
    </w:p>
    <w:p w14:paraId="28956C82" w14:textId="6ACB4838" w:rsidR="007F3D2C" w:rsidRDefault="007F3D2C" w:rsidP="007F3D2C">
      <w:pPr>
        <w:pStyle w:val="a4"/>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lastRenderedPageBreak/>
        <w:t xml:space="preserve">Таблица </w:t>
      </w:r>
      <w:r w:rsidR="00155ACA" w:rsidRPr="00155ACA">
        <w:rPr>
          <w:rFonts w:ascii="Times New Roman" w:eastAsia="Calibri" w:hAnsi="Times New Roman" w:cs="Times New Roman"/>
          <w:sz w:val="28"/>
          <w:szCs w:val="28"/>
        </w:rPr>
        <w:t>29</w:t>
      </w:r>
      <w:r w:rsidRPr="00910389">
        <w:rPr>
          <w:rFonts w:ascii="Times New Roman" w:eastAsia="Calibri" w:hAnsi="Times New Roman" w:cs="Times New Roman"/>
          <w:sz w:val="28"/>
          <w:szCs w:val="28"/>
        </w:rPr>
        <w:t xml:space="preserve"> – Динамика показателей рефракции учащихся контрольной и наблюдаемой групп (</w:t>
      </w:r>
      <w:r w:rsidRPr="00910389">
        <w:rPr>
          <w:rFonts w:ascii="Times New Roman" w:eastAsia="Calibri" w:hAnsi="Times New Roman" w:cs="Times New Roman"/>
          <w:sz w:val="28"/>
          <w:szCs w:val="28"/>
          <w:lang w:val="en-US"/>
        </w:rPr>
        <w:t>N</w:t>
      </w:r>
      <w:r w:rsidRPr="00910389">
        <w:rPr>
          <w:rFonts w:ascii="Times New Roman" w:eastAsia="Calibri" w:hAnsi="Times New Roman" w:cs="Times New Roman"/>
          <w:sz w:val="28"/>
          <w:szCs w:val="28"/>
        </w:rPr>
        <w:t xml:space="preserve"> = 1302)</w:t>
      </w:r>
    </w:p>
    <w:p w14:paraId="4738D0A1" w14:textId="77777777" w:rsidR="00DC3FF8" w:rsidRPr="00910389" w:rsidRDefault="00DC3FF8" w:rsidP="007F3D2C">
      <w:pPr>
        <w:pStyle w:val="a4"/>
        <w:jc w:val="both"/>
        <w:rPr>
          <w:rFonts w:ascii="Times New Roman" w:eastAsia="Calibri" w:hAnsi="Times New Roman" w:cs="Times New Roman"/>
          <w:sz w:val="28"/>
          <w:szCs w:val="28"/>
        </w:rPr>
      </w:pPr>
    </w:p>
    <w:tbl>
      <w:tblPr>
        <w:tblW w:w="8784" w:type="dxa"/>
        <w:jc w:val="center"/>
        <w:tblLayout w:type="fixed"/>
        <w:tblLook w:val="04A0" w:firstRow="1" w:lastRow="0" w:firstColumn="1" w:lastColumn="0" w:noHBand="0" w:noVBand="1"/>
      </w:tblPr>
      <w:tblGrid>
        <w:gridCol w:w="1838"/>
        <w:gridCol w:w="1630"/>
        <w:gridCol w:w="1772"/>
        <w:gridCol w:w="1772"/>
        <w:gridCol w:w="1772"/>
      </w:tblGrid>
      <w:tr w:rsidR="007F3D2C" w:rsidRPr="00DC3FF8" w14:paraId="005C8D96" w14:textId="77777777" w:rsidTr="00DC3FF8">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0896D" w14:textId="77777777" w:rsidR="007F3D2C" w:rsidRPr="00DC3FF8" w:rsidRDefault="007F3D2C" w:rsidP="00292B55">
            <w:pPr>
              <w:spacing w:after="0" w:line="240" w:lineRule="auto"/>
              <w:jc w:val="both"/>
              <w:rPr>
                <w:rFonts w:ascii="Times New Roman" w:hAnsi="Times New Roman" w:cs="Times New Roman"/>
                <w:b/>
                <w:bCs/>
                <w:sz w:val="28"/>
                <w:szCs w:val="28"/>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54D80B" w14:textId="77777777" w:rsidR="007F3D2C" w:rsidRPr="00DC3FF8" w:rsidRDefault="007F3D2C" w:rsidP="00DC3FF8">
            <w:pPr>
              <w:spacing w:after="0" w:line="240" w:lineRule="auto"/>
              <w:jc w:val="center"/>
              <w:rPr>
                <w:rFonts w:ascii="Times New Roman" w:eastAsia="Calibri" w:hAnsi="Times New Roman" w:cs="Times New Roman"/>
                <w:sz w:val="28"/>
                <w:szCs w:val="28"/>
                <w:lang w:eastAsia="en-US"/>
              </w:rPr>
            </w:pPr>
            <w:r w:rsidRPr="00DC3FF8">
              <w:rPr>
                <w:rFonts w:ascii="Times New Roman" w:eastAsia="Calibri" w:hAnsi="Times New Roman" w:cs="Times New Roman"/>
                <w:sz w:val="28"/>
                <w:szCs w:val="28"/>
                <w:lang w:eastAsia="en-US"/>
              </w:rPr>
              <w:t>Группа наблюдения</w:t>
            </w:r>
          </w:p>
          <w:p w14:paraId="68F0CF5F"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Calibri" w:hAnsi="Times New Roman" w:cs="Times New Roman"/>
                <w:sz w:val="28"/>
                <w:szCs w:val="28"/>
                <w:lang w:eastAsia="en-US"/>
              </w:rPr>
              <w:t>(</w:t>
            </w:r>
            <w:r w:rsidRPr="00DC3FF8">
              <w:rPr>
                <w:rFonts w:ascii="Times New Roman" w:eastAsia="Calibri" w:hAnsi="Times New Roman" w:cs="Times New Roman"/>
                <w:sz w:val="28"/>
                <w:szCs w:val="28"/>
                <w:lang w:val="en-US" w:eastAsia="en-US"/>
              </w:rPr>
              <w:t>n</w:t>
            </w:r>
            <w:r w:rsidRPr="00DC3FF8">
              <w:rPr>
                <w:rFonts w:ascii="Times New Roman" w:eastAsia="Calibri" w:hAnsi="Times New Roman" w:cs="Times New Roman"/>
                <w:sz w:val="28"/>
                <w:szCs w:val="28"/>
                <w:vertAlign w:val="superscript"/>
                <w:lang w:eastAsia="en-US"/>
              </w:rPr>
              <w:t>1</w:t>
            </w:r>
            <w:r w:rsidRPr="00DC3FF8">
              <w:rPr>
                <w:rFonts w:ascii="Times New Roman" w:eastAsia="Calibri" w:hAnsi="Times New Roman" w:cs="Times New Roman"/>
                <w:sz w:val="28"/>
                <w:szCs w:val="28"/>
                <w:lang w:val="en-US" w:eastAsia="en-US"/>
              </w:rPr>
              <w:t xml:space="preserve"> = </w:t>
            </w:r>
            <w:r w:rsidRPr="00DC3FF8">
              <w:rPr>
                <w:rFonts w:ascii="Times New Roman" w:eastAsia="Calibri" w:hAnsi="Times New Roman" w:cs="Times New Roman"/>
                <w:sz w:val="28"/>
                <w:szCs w:val="28"/>
                <w:lang w:eastAsia="en-US"/>
              </w:rPr>
              <w:t>621)</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06440" w14:textId="77777777" w:rsidR="007F3D2C" w:rsidRPr="00DC3FF8" w:rsidRDefault="007F3D2C" w:rsidP="00DC3FF8">
            <w:pPr>
              <w:spacing w:after="0" w:line="240" w:lineRule="auto"/>
              <w:jc w:val="center"/>
              <w:rPr>
                <w:rFonts w:ascii="Times New Roman" w:eastAsia="Calibri" w:hAnsi="Times New Roman" w:cs="Times New Roman"/>
                <w:sz w:val="28"/>
                <w:szCs w:val="28"/>
                <w:lang w:eastAsia="en-US"/>
              </w:rPr>
            </w:pPr>
            <w:r w:rsidRPr="00DC3FF8">
              <w:rPr>
                <w:rFonts w:ascii="Times New Roman" w:eastAsia="Calibri" w:hAnsi="Times New Roman" w:cs="Times New Roman"/>
                <w:sz w:val="28"/>
                <w:szCs w:val="28"/>
                <w:lang w:eastAsia="en-US"/>
              </w:rPr>
              <w:t>Группа контроля</w:t>
            </w:r>
          </w:p>
          <w:p w14:paraId="1C22DBF2"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Calibri" w:hAnsi="Times New Roman" w:cs="Times New Roman"/>
                <w:sz w:val="28"/>
                <w:szCs w:val="28"/>
                <w:lang w:eastAsia="en-US"/>
              </w:rPr>
              <w:t>(</w:t>
            </w:r>
            <w:r w:rsidRPr="00DC3FF8">
              <w:rPr>
                <w:rFonts w:ascii="Times New Roman" w:eastAsia="Calibri" w:hAnsi="Times New Roman" w:cs="Times New Roman"/>
                <w:sz w:val="28"/>
                <w:szCs w:val="28"/>
                <w:lang w:val="en-US" w:eastAsia="en-US"/>
              </w:rPr>
              <w:t>n</w:t>
            </w:r>
            <w:r w:rsidRPr="00DC3FF8">
              <w:rPr>
                <w:rFonts w:ascii="Times New Roman" w:eastAsia="Calibri" w:hAnsi="Times New Roman" w:cs="Times New Roman"/>
                <w:sz w:val="28"/>
                <w:szCs w:val="28"/>
                <w:vertAlign w:val="superscript"/>
                <w:lang w:eastAsia="en-US"/>
              </w:rPr>
              <w:t>1</w:t>
            </w:r>
            <w:r w:rsidRPr="00DC3FF8">
              <w:rPr>
                <w:rFonts w:ascii="Times New Roman" w:eastAsia="Calibri" w:hAnsi="Times New Roman" w:cs="Times New Roman"/>
                <w:sz w:val="28"/>
                <w:szCs w:val="28"/>
                <w:lang w:val="en-US" w:eastAsia="en-US"/>
              </w:rPr>
              <w:t xml:space="preserve"> = </w:t>
            </w:r>
            <w:r w:rsidRPr="00DC3FF8">
              <w:rPr>
                <w:rFonts w:ascii="Times New Roman" w:eastAsia="Calibri" w:hAnsi="Times New Roman" w:cs="Times New Roman"/>
                <w:sz w:val="28"/>
                <w:szCs w:val="28"/>
                <w:lang w:eastAsia="en-US"/>
              </w:rPr>
              <w:t>681)</w:t>
            </w:r>
          </w:p>
        </w:tc>
      </w:tr>
      <w:tr w:rsidR="007F3D2C" w:rsidRPr="00DC3FF8" w14:paraId="213C3F8A" w14:textId="77777777" w:rsidTr="00DC3FF8">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06F95" w14:textId="77777777" w:rsidR="007F3D2C" w:rsidRPr="00DC3FF8" w:rsidRDefault="007F3D2C" w:rsidP="00292B55">
            <w:pPr>
              <w:spacing w:after="0" w:line="240" w:lineRule="auto"/>
              <w:jc w:val="both"/>
              <w:rPr>
                <w:rFonts w:ascii="Times New Roman" w:hAnsi="Times New Roman" w:cs="Times New Roman"/>
                <w:b/>
                <w:bCs/>
                <w:sz w:val="28"/>
                <w:szCs w:val="28"/>
              </w:rPr>
            </w:pP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59AE6"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Times New Roman" w:hAnsi="Times New Roman" w:cs="Times New Roman"/>
                <w:sz w:val="28"/>
                <w:szCs w:val="28"/>
              </w:rPr>
              <w:t>Первичн.</w:t>
            </w:r>
          </w:p>
          <w:p w14:paraId="52041D7B" w14:textId="77777777" w:rsidR="007F3D2C" w:rsidRPr="00DC3FF8" w:rsidRDefault="007F3D2C" w:rsidP="00DC3FF8">
            <w:pPr>
              <w:spacing w:after="0" w:line="240" w:lineRule="auto"/>
              <w:jc w:val="center"/>
              <w:rPr>
                <w:rFonts w:ascii="Times New Roman" w:hAnsi="Times New Roman" w:cs="Times New Roman"/>
                <w:b/>
                <w:bCs/>
                <w:sz w:val="28"/>
                <w:szCs w:val="28"/>
              </w:rPr>
            </w:pPr>
            <w:r w:rsidRPr="00DC3FF8">
              <w:rPr>
                <w:rFonts w:ascii="Times New Roman" w:eastAsia="Times New Roman" w:hAnsi="Times New Roman" w:cs="Times New Roman"/>
                <w:sz w:val="28"/>
                <w:szCs w:val="28"/>
              </w:rPr>
              <w:t>осмотр</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02EBCCCF"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Times New Roman" w:hAnsi="Times New Roman" w:cs="Times New Roman"/>
                <w:sz w:val="28"/>
                <w:szCs w:val="28"/>
              </w:rPr>
              <w:t>Повторн.</w:t>
            </w:r>
          </w:p>
          <w:p w14:paraId="2B1CC6F7" w14:textId="77777777" w:rsidR="007F3D2C" w:rsidRPr="00DC3FF8" w:rsidRDefault="007F3D2C" w:rsidP="00DC3FF8">
            <w:pPr>
              <w:spacing w:after="0" w:line="240" w:lineRule="auto"/>
              <w:jc w:val="center"/>
              <w:rPr>
                <w:rFonts w:ascii="Times New Roman" w:hAnsi="Times New Roman" w:cs="Times New Roman"/>
                <w:b/>
                <w:bCs/>
                <w:sz w:val="28"/>
                <w:szCs w:val="28"/>
              </w:rPr>
            </w:pPr>
            <w:r w:rsidRPr="00DC3FF8">
              <w:rPr>
                <w:rFonts w:ascii="Times New Roman" w:eastAsia="Times New Roman" w:hAnsi="Times New Roman" w:cs="Times New Roman"/>
                <w:sz w:val="28"/>
                <w:szCs w:val="28"/>
              </w:rPr>
              <w:t>осмотр</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0A09BA31"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Times New Roman" w:hAnsi="Times New Roman" w:cs="Times New Roman"/>
                <w:sz w:val="28"/>
                <w:szCs w:val="28"/>
              </w:rPr>
              <w:t>Первичн.</w:t>
            </w:r>
          </w:p>
          <w:p w14:paraId="3238A6B8" w14:textId="77777777" w:rsidR="007F3D2C" w:rsidRPr="00DC3FF8" w:rsidRDefault="007F3D2C" w:rsidP="00DC3FF8">
            <w:pPr>
              <w:spacing w:after="0" w:line="240" w:lineRule="auto"/>
              <w:jc w:val="center"/>
              <w:rPr>
                <w:rFonts w:ascii="Times New Roman" w:hAnsi="Times New Roman" w:cs="Times New Roman"/>
                <w:b/>
                <w:bCs/>
                <w:sz w:val="28"/>
                <w:szCs w:val="28"/>
                <w:vertAlign w:val="superscript"/>
              </w:rPr>
            </w:pPr>
            <w:r w:rsidRPr="00DC3FF8">
              <w:rPr>
                <w:rFonts w:ascii="Times New Roman" w:eastAsia="Times New Roman" w:hAnsi="Times New Roman" w:cs="Times New Roman"/>
                <w:sz w:val="28"/>
                <w:szCs w:val="28"/>
              </w:rPr>
              <w:t>осмотр</w:t>
            </w:r>
          </w:p>
        </w:tc>
        <w:tc>
          <w:tcPr>
            <w:tcW w:w="1772" w:type="dxa"/>
            <w:tcBorders>
              <w:top w:val="single" w:sz="4" w:space="0" w:color="auto"/>
              <w:left w:val="single" w:sz="4" w:space="0" w:color="auto"/>
              <w:bottom w:val="single" w:sz="4" w:space="0" w:color="auto"/>
              <w:right w:val="single" w:sz="4" w:space="0" w:color="auto"/>
            </w:tcBorders>
            <w:vAlign w:val="center"/>
          </w:tcPr>
          <w:p w14:paraId="4260AE2C" w14:textId="77777777" w:rsidR="007F3D2C" w:rsidRPr="00DC3FF8" w:rsidRDefault="007F3D2C" w:rsidP="00DC3FF8">
            <w:pPr>
              <w:spacing w:after="0" w:line="240" w:lineRule="auto"/>
              <w:jc w:val="center"/>
              <w:rPr>
                <w:rFonts w:ascii="Times New Roman" w:eastAsia="Times New Roman" w:hAnsi="Times New Roman" w:cs="Times New Roman"/>
                <w:sz w:val="28"/>
                <w:szCs w:val="28"/>
              </w:rPr>
            </w:pPr>
            <w:r w:rsidRPr="00DC3FF8">
              <w:rPr>
                <w:rFonts w:ascii="Times New Roman" w:eastAsia="Times New Roman" w:hAnsi="Times New Roman" w:cs="Times New Roman"/>
                <w:sz w:val="28"/>
                <w:szCs w:val="28"/>
              </w:rPr>
              <w:t>Повторн.</w:t>
            </w:r>
          </w:p>
          <w:p w14:paraId="120692D9" w14:textId="77777777" w:rsidR="007F3D2C" w:rsidRPr="00DC3FF8" w:rsidRDefault="007F3D2C" w:rsidP="00DC3FF8">
            <w:pPr>
              <w:spacing w:after="0" w:line="240" w:lineRule="auto"/>
              <w:jc w:val="center"/>
              <w:rPr>
                <w:rFonts w:ascii="Times New Roman" w:hAnsi="Times New Roman" w:cs="Times New Roman"/>
                <w:b/>
                <w:bCs/>
                <w:sz w:val="28"/>
                <w:szCs w:val="28"/>
              </w:rPr>
            </w:pPr>
            <w:r w:rsidRPr="00DC3FF8">
              <w:rPr>
                <w:rFonts w:ascii="Times New Roman" w:eastAsia="Times New Roman" w:hAnsi="Times New Roman" w:cs="Times New Roman"/>
                <w:sz w:val="28"/>
                <w:szCs w:val="28"/>
              </w:rPr>
              <w:t>осмотр</w:t>
            </w:r>
          </w:p>
        </w:tc>
      </w:tr>
      <w:tr w:rsidR="007F3D2C" w:rsidRPr="00DC3FF8" w14:paraId="6BEA3601"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hideMark/>
          </w:tcPr>
          <w:p w14:paraId="1F5E4729" w14:textId="77777777" w:rsidR="007F3D2C" w:rsidRPr="00DC3FF8" w:rsidRDefault="007F3D2C" w:rsidP="00292B55">
            <w:pPr>
              <w:spacing w:after="0" w:line="240" w:lineRule="auto"/>
              <w:jc w:val="both"/>
              <w:rPr>
                <w:rFonts w:ascii="Times New Roman" w:hAnsi="Times New Roman" w:cs="Times New Roman"/>
                <w:bCs/>
                <w:sz w:val="28"/>
                <w:szCs w:val="28"/>
              </w:rPr>
            </w:pPr>
            <w:r w:rsidRPr="00DC3FF8">
              <w:rPr>
                <w:rFonts w:ascii="Times New Roman" w:hAnsi="Times New Roman" w:cs="Times New Roman"/>
                <w:bCs/>
                <w:sz w:val="28"/>
                <w:szCs w:val="28"/>
              </w:rPr>
              <w:t>Эмметропия</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CA1F1" w14:textId="77777777" w:rsidR="007F3D2C" w:rsidRPr="00DC3FF8" w:rsidRDefault="007F3D2C" w:rsidP="00DC3FF8">
            <w:pPr>
              <w:spacing w:after="0" w:line="240" w:lineRule="auto"/>
              <w:jc w:val="center"/>
              <w:rPr>
                <w:rFonts w:ascii="Times New Roman" w:hAnsi="Times New Roman" w:cs="Times New Roman"/>
                <w:sz w:val="28"/>
                <w:szCs w:val="28"/>
                <w:lang w:val="en-US"/>
              </w:rPr>
            </w:pPr>
            <w:r w:rsidRPr="00DC3FF8">
              <w:rPr>
                <w:rFonts w:ascii="Times New Roman" w:hAnsi="Times New Roman" w:cs="Times New Roman"/>
                <w:sz w:val="28"/>
                <w:szCs w:val="28"/>
              </w:rPr>
              <w:t>448 (72,1%)</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DA7A3"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436 (70,2%)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5199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494 (72,5%)</w:t>
            </w:r>
          </w:p>
        </w:tc>
        <w:tc>
          <w:tcPr>
            <w:tcW w:w="1772" w:type="dxa"/>
            <w:tcBorders>
              <w:top w:val="single" w:sz="4" w:space="0" w:color="auto"/>
              <w:left w:val="single" w:sz="4" w:space="0" w:color="auto"/>
              <w:bottom w:val="single" w:sz="4" w:space="0" w:color="auto"/>
              <w:right w:val="single" w:sz="4" w:space="0" w:color="auto"/>
            </w:tcBorders>
            <w:vAlign w:val="center"/>
          </w:tcPr>
          <w:p w14:paraId="0CC4908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479 (70,3%)</w:t>
            </w:r>
          </w:p>
        </w:tc>
      </w:tr>
      <w:tr w:rsidR="007F3D2C" w:rsidRPr="00DC3FF8" w14:paraId="3EDE28A5" w14:textId="77777777" w:rsidTr="00DC3FF8">
        <w:trPr>
          <w:trHeight w:val="576"/>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1326BAD4" w14:textId="77777777" w:rsidR="007F3D2C" w:rsidRPr="00DC3FF8" w:rsidRDefault="007F3D2C" w:rsidP="00292B55">
            <w:pPr>
              <w:spacing w:after="0" w:line="240" w:lineRule="auto"/>
              <w:jc w:val="both"/>
              <w:rPr>
                <w:rFonts w:ascii="Times New Roman" w:hAnsi="Times New Roman" w:cs="Times New Roman"/>
                <w:bCs/>
                <w:sz w:val="28"/>
                <w:szCs w:val="28"/>
              </w:rPr>
            </w:pPr>
            <w:r w:rsidRPr="00DC3FF8">
              <w:rPr>
                <w:rFonts w:ascii="Times New Roman" w:hAnsi="Times New Roman" w:cs="Times New Roman"/>
                <w:bCs/>
                <w:sz w:val="28"/>
                <w:szCs w:val="28"/>
              </w:rPr>
              <w:t>Нарушения рефракции</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A113C" w14:textId="77777777" w:rsidR="007F3D2C" w:rsidRPr="00DC3FF8" w:rsidRDefault="007F3D2C" w:rsidP="00DC3FF8">
            <w:pPr>
              <w:spacing w:after="0" w:line="240" w:lineRule="auto"/>
              <w:jc w:val="center"/>
              <w:rPr>
                <w:rFonts w:ascii="Times New Roman" w:hAnsi="Times New Roman" w:cs="Times New Roman"/>
                <w:sz w:val="28"/>
                <w:szCs w:val="28"/>
                <w:lang w:val="en-US"/>
              </w:rPr>
            </w:pPr>
            <w:r w:rsidRPr="00DC3FF8">
              <w:rPr>
                <w:rFonts w:ascii="Times New Roman" w:hAnsi="Times New Roman" w:cs="Times New Roman"/>
                <w:sz w:val="28"/>
                <w:szCs w:val="28"/>
              </w:rPr>
              <w:t>173 (27,9%)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409C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185 (29,8%)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09F7"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187 (27,5%)</w:t>
            </w:r>
          </w:p>
        </w:tc>
        <w:tc>
          <w:tcPr>
            <w:tcW w:w="1772" w:type="dxa"/>
            <w:tcBorders>
              <w:top w:val="single" w:sz="4" w:space="0" w:color="auto"/>
              <w:left w:val="single" w:sz="4" w:space="0" w:color="auto"/>
              <w:bottom w:val="single" w:sz="4" w:space="0" w:color="auto"/>
              <w:right w:val="single" w:sz="4" w:space="0" w:color="auto"/>
            </w:tcBorders>
            <w:vAlign w:val="center"/>
          </w:tcPr>
          <w:p w14:paraId="74501262"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202 (29,7%)</w:t>
            </w:r>
          </w:p>
        </w:tc>
      </w:tr>
      <w:tr w:rsidR="007F3D2C" w:rsidRPr="00DC3FF8" w14:paraId="0C595037"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6BCA2345" w14:textId="4A010AD9" w:rsidR="007F3D2C" w:rsidRPr="00DC3FF8" w:rsidRDefault="007F3D2C" w:rsidP="00292B55">
            <w:pPr>
              <w:spacing w:after="0" w:line="240" w:lineRule="auto"/>
              <w:jc w:val="both"/>
              <w:rPr>
                <w:rFonts w:ascii="Times New Roman" w:hAnsi="Times New Roman" w:cs="Times New Roman"/>
                <w:bCs/>
                <w:sz w:val="28"/>
                <w:szCs w:val="28"/>
              </w:rPr>
            </w:pPr>
            <w:r w:rsidRPr="00DC3FF8">
              <w:rPr>
                <w:rFonts w:ascii="Times New Roman" w:hAnsi="Times New Roman" w:cs="Times New Roman"/>
                <w:bCs/>
                <w:sz w:val="28"/>
                <w:szCs w:val="28"/>
              </w:rPr>
              <w:t xml:space="preserve"> миопия</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4B80C65"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151 (24,3%)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0621F"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168 (27,1%)</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11A86"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150 (22%)</w:t>
            </w:r>
          </w:p>
        </w:tc>
        <w:tc>
          <w:tcPr>
            <w:tcW w:w="1772" w:type="dxa"/>
            <w:tcBorders>
              <w:top w:val="single" w:sz="4" w:space="0" w:color="auto"/>
              <w:left w:val="single" w:sz="4" w:space="0" w:color="auto"/>
              <w:bottom w:val="single" w:sz="4" w:space="0" w:color="auto"/>
              <w:right w:val="single" w:sz="4" w:space="0" w:color="auto"/>
            </w:tcBorders>
            <w:vAlign w:val="center"/>
          </w:tcPr>
          <w:p w14:paraId="01E369AA"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174 (25,6%)</w:t>
            </w:r>
          </w:p>
        </w:tc>
      </w:tr>
      <w:tr w:rsidR="007F3D2C" w:rsidRPr="00DC3FF8" w14:paraId="222A1939"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966FCF6" w14:textId="77777777" w:rsidR="007F3D2C" w:rsidRPr="00DC3FF8" w:rsidRDefault="007F3D2C" w:rsidP="00292B55">
            <w:pPr>
              <w:spacing w:after="0" w:line="240" w:lineRule="auto"/>
              <w:jc w:val="both"/>
              <w:rPr>
                <w:rFonts w:ascii="Times New Roman" w:hAnsi="Times New Roman" w:cs="Times New Roman"/>
                <w:bCs/>
                <w:sz w:val="28"/>
                <w:szCs w:val="28"/>
                <w:lang w:val="en-US"/>
              </w:rPr>
            </w:pPr>
            <w:r w:rsidRPr="00DC3FF8">
              <w:rPr>
                <w:rFonts w:ascii="Times New Roman" w:hAnsi="Times New Roman" w:cs="Times New Roman"/>
                <w:bCs/>
                <w:sz w:val="28"/>
                <w:szCs w:val="28"/>
              </w:rPr>
              <w:t xml:space="preserve">          слабая</w:t>
            </w:r>
            <w:r w:rsidRPr="00DC3FF8">
              <w:rPr>
                <w:rFonts w:ascii="Times New Roman" w:hAnsi="Times New Roman" w:cs="Times New Roman"/>
                <w:bCs/>
                <w:sz w:val="28"/>
                <w:szCs w:val="28"/>
                <w:vertAlign w:val="superscript"/>
              </w:rPr>
              <w:t>2</w:t>
            </w:r>
            <w:r w:rsidRPr="00DC3FF8">
              <w:rPr>
                <w:rFonts w:ascii="Times New Roman" w:hAnsi="Times New Roman" w:cs="Times New Roman"/>
                <w:bCs/>
                <w:sz w:val="28"/>
                <w:szCs w:val="28"/>
              </w:rPr>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F0355E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109 (72,2%)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45D96"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126 (75%)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6F9F8"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115 (76,7%)</w:t>
            </w:r>
          </w:p>
        </w:tc>
        <w:tc>
          <w:tcPr>
            <w:tcW w:w="1772" w:type="dxa"/>
            <w:tcBorders>
              <w:top w:val="single" w:sz="4" w:space="0" w:color="auto"/>
              <w:left w:val="single" w:sz="4" w:space="0" w:color="auto"/>
              <w:bottom w:val="single" w:sz="4" w:space="0" w:color="auto"/>
              <w:right w:val="single" w:sz="4" w:space="0" w:color="auto"/>
            </w:tcBorders>
            <w:vAlign w:val="center"/>
          </w:tcPr>
          <w:p w14:paraId="5D305497"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138 (79,3%)</w:t>
            </w:r>
          </w:p>
        </w:tc>
      </w:tr>
      <w:tr w:rsidR="007F3D2C" w:rsidRPr="00DC3FF8" w14:paraId="7E093E4D"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416568E" w14:textId="7765B3C9" w:rsidR="007F3D2C" w:rsidRPr="00DC3FF8" w:rsidRDefault="007F3D2C" w:rsidP="00292B55">
            <w:pPr>
              <w:spacing w:after="0" w:line="240" w:lineRule="auto"/>
              <w:jc w:val="both"/>
              <w:rPr>
                <w:rFonts w:ascii="Times New Roman" w:hAnsi="Times New Roman" w:cs="Times New Roman"/>
                <w:bCs/>
                <w:sz w:val="28"/>
                <w:szCs w:val="28"/>
                <w:lang w:val="en-US"/>
              </w:rPr>
            </w:pPr>
            <w:r w:rsidRPr="00DC3FF8">
              <w:rPr>
                <w:rFonts w:ascii="Times New Roman" w:hAnsi="Times New Roman" w:cs="Times New Roman"/>
                <w:bCs/>
                <w:sz w:val="28"/>
                <w:szCs w:val="28"/>
              </w:rPr>
              <w:t xml:space="preserve">         средняя</w:t>
            </w:r>
            <w:r w:rsidRPr="00DC3FF8">
              <w:rPr>
                <w:rFonts w:ascii="Times New Roman" w:hAnsi="Times New Roman" w:cs="Times New Roman"/>
                <w:bCs/>
                <w:sz w:val="28"/>
                <w:szCs w:val="28"/>
                <w:lang w:val="en-US"/>
              </w:rPr>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8035DEE" w14:textId="77777777" w:rsidR="007F3D2C" w:rsidRPr="00DC3FF8" w:rsidRDefault="007F3D2C" w:rsidP="00DC3FF8">
            <w:pPr>
              <w:spacing w:after="0" w:line="240" w:lineRule="auto"/>
              <w:jc w:val="center"/>
              <w:rPr>
                <w:rFonts w:ascii="Times New Roman" w:hAnsi="Times New Roman" w:cs="Times New Roman"/>
                <w:sz w:val="28"/>
                <w:szCs w:val="28"/>
                <w:vertAlign w:val="superscript"/>
              </w:rPr>
            </w:pPr>
            <w:r w:rsidRPr="00DC3FF8">
              <w:rPr>
                <w:rFonts w:ascii="Times New Roman" w:hAnsi="Times New Roman" w:cs="Times New Roman"/>
                <w:sz w:val="28"/>
                <w:szCs w:val="28"/>
              </w:rPr>
              <w:t>32 (21,2%)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72CDC"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34 (20,2%)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0ACA4"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26 (17,3%)</w:t>
            </w:r>
          </w:p>
        </w:tc>
        <w:tc>
          <w:tcPr>
            <w:tcW w:w="1772" w:type="dxa"/>
            <w:tcBorders>
              <w:top w:val="single" w:sz="4" w:space="0" w:color="auto"/>
              <w:left w:val="single" w:sz="4" w:space="0" w:color="auto"/>
              <w:bottom w:val="single" w:sz="4" w:space="0" w:color="auto"/>
              <w:right w:val="single" w:sz="4" w:space="0" w:color="auto"/>
            </w:tcBorders>
            <w:vAlign w:val="center"/>
          </w:tcPr>
          <w:p w14:paraId="41ABFCA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27 (15,5%)</w:t>
            </w:r>
          </w:p>
        </w:tc>
      </w:tr>
      <w:tr w:rsidR="007F3D2C" w:rsidRPr="00DC3FF8" w14:paraId="0A938008"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3A81EC9" w14:textId="13AF15AA" w:rsidR="007F3D2C" w:rsidRPr="00DC3FF8" w:rsidRDefault="007F3D2C" w:rsidP="00292B55">
            <w:pPr>
              <w:spacing w:after="0" w:line="240" w:lineRule="auto"/>
              <w:jc w:val="both"/>
              <w:rPr>
                <w:rFonts w:ascii="Times New Roman" w:hAnsi="Times New Roman" w:cs="Times New Roman"/>
                <w:bCs/>
                <w:sz w:val="28"/>
                <w:szCs w:val="28"/>
                <w:lang w:val="en-US"/>
              </w:rPr>
            </w:pPr>
            <w:r w:rsidRPr="00DC3FF8">
              <w:rPr>
                <w:rFonts w:ascii="Times New Roman" w:hAnsi="Times New Roman" w:cs="Times New Roman"/>
                <w:bCs/>
                <w:sz w:val="28"/>
                <w:szCs w:val="28"/>
              </w:rPr>
              <w:t xml:space="preserve">         высокая</w:t>
            </w:r>
            <w:r w:rsidRPr="00DC3FF8">
              <w:rPr>
                <w:rFonts w:ascii="Times New Roman" w:hAnsi="Times New Roman" w:cs="Times New Roman"/>
                <w:bCs/>
                <w:sz w:val="28"/>
                <w:szCs w:val="28"/>
                <w:lang w:val="en-US"/>
              </w:rPr>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3B1E6F4" w14:textId="77777777" w:rsidR="007F3D2C" w:rsidRPr="00DC3FF8" w:rsidRDefault="007F3D2C" w:rsidP="00DC3FF8">
            <w:pPr>
              <w:spacing w:after="0" w:line="240" w:lineRule="auto"/>
              <w:jc w:val="center"/>
              <w:rPr>
                <w:rFonts w:ascii="Times New Roman" w:hAnsi="Times New Roman" w:cs="Times New Roman"/>
                <w:sz w:val="28"/>
                <w:szCs w:val="28"/>
                <w:vertAlign w:val="superscript"/>
              </w:rPr>
            </w:pPr>
            <w:r w:rsidRPr="00DC3FF8">
              <w:rPr>
                <w:rFonts w:ascii="Times New Roman" w:hAnsi="Times New Roman" w:cs="Times New Roman"/>
                <w:sz w:val="28"/>
                <w:szCs w:val="28"/>
              </w:rPr>
              <w:t>10 (6,6%)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5E1A0"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8 (4,8%)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D9FC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9 (6%)</w:t>
            </w:r>
          </w:p>
        </w:tc>
        <w:tc>
          <w:tcPr>
            <w:tcW w:w="1772" w:type="dxa"/>
            <w:tcBorders>
              <w:top w:val="single" w:sz="4" w:space="0" w:color="auto"/>
              <w:left w:val="single" w:sz="4" w:space="0" w:color="auto"/>
              <w:bottom w:val="single" w:sz="4" w:space="0" w:color="auto"/>
              <w:right w:val="single" w:sz="4" w:space="0" w:color="auto"/>
            </w:tcBorders>
            <w:vAlign w:val="center"/>
          </w:tcPr>
          <w:p w14:paraId="62484BDE"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9 (5,2%)</w:t>
            </w:r>
          </w:p>
        </w:tc>
      </w:tr>
      <w:tr w:rsidR="007F3D2C" w:rsidRPr="00DC3FF8" w14:paraId="427BC0A8"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7A37A76" w14:textId="2509FF79" w:rsidR="007F3D2C" w:rsidRPr="00DC3FF8" w:rsidRDefault="007F3D2C" w:rsidP="00292B55">
            <w:pPr>
              <w:spacing w:after="0" w:line="240" w:lineRule="auto"/>
              <w:jc w:val="both"/>
              <w:rPr>
                <w:rFonts w:ascii="Times New Roman" w:hAnsi="Times New Roman" w:cs="Times New Roman"/>
                <w:bCs/>
                <w:sz w:val="28"/>
                <w:szCs w:val="28"/>
                <w:lang w:val="en-US"/>
              </w:rPr>
            </w:pPr>
            <w:r w:rsidRPr="00DC3FF8">
              <w:rPr>
                <w:rFonts w:ascii="Times New Roman" w:hAnsi="Times New Roman" w:cs="Times New Roman"/>
                <w:bCs/>
                <w:sz w:val="28"/>
                <w:szCs w:val="28"/>
              </w:rPr>
              <w:t xml:space="preserve"> гиперметр</w:t>
            </w:r>
            <w:r w:rsidRPr="00DC3FF8">
              <w:rPr>
                <w:rFonts w:ascii="Times New Roman" w:hAnsi="Times New Roman" w:cs="Times New Roman"/>
                <w:bCs/>
                <w:sz w:val="28"/>
                <w:szCs w:val="28"/>
                <w:lang w:val="en-US"/>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59DEC9D"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22 (3,5%)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B2485"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17 (2,7%)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4C1DC"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37 (5,4%)</w:t>
            </w:r>
          </w:p>
        </w:tc>
        <w:tc>
          <w:tcPr>
            <w:tcW w:w="1772" w:type="dxa"/>
            <w:tcBorders>
              <w:top w:val="single" w:sz="4" w:space="0" w:color="auto"/>
              <w:left w:val="single" w:sz="4" w:space="0" w:color="auto"/>
              <w:bottom w:val="single" w:sz="4" w:space="0" w:color="auto"/>
              <w:right w:val="single" w:sz="4" w:space="0" w:color="auto"/>
            </w:tcBorders>
            <w:vAlign w:val="center"/>
          </w:tcPr>
          <w:p w14:paraId="088DC99A"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28 (4,1%)</w:t>
            </w:r>
          </w:p>
        </w:tc>
      </w:tr>
      <w:tr w:rsidR="007F3D2C" w:rsidRPr="00DC3FF8" w14:paraId="76AA506E"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09AD136" w14:textId="0B9A9A3B" w:rsidR="007F3D2C" w:rsidRPr="00DC3FF8" w:rsidRDefault="007F3D2C" w:rsidP="00292B55">
            <w:pPr>
              <w:spacing w:after="0" w:line="240" w:lineRule="auto"/>
              <w:jc w:val="both"/>
              <w:rPr>
                <w:rFonts w:ascii="Times New Roman" w:hAnsi="Times New Roman" w:cs="Times New Roman"/>
                <w:bCs/>
                <w:sz w:val="28"/>
                <w:szCs w:val="28"/>
              </w:rPr>
            </w:pPr>
            <w:r w:rsidRPr="00DC3FF8">
              <w:rPr>
                <w:rFonts w:ascii="Times New Roman" w:hAnsi="Times New Roman" w:cs="Times New Roman"/>
                <w:bCs/>
                <w:sz w:val="28"/>
                <w:szCs w:val="28"/>
              </w:rPr>
              <w:t xml:space="preserve"> </w:t>
            </w:r>
            <w:r w:rsidR="00DC3FF8">
              <w:rPr>
                <w:rFonts w:ascii="Times New Roman" w:hAnsi="Times New Roman" w:cs="Times New Roman"/>
                <w:bCs/>
                <w:sz w:val="28"/>
                <w:szCs w:val="28"/>
              </w:rPr>
              <w:t>а</w:t>
            </w:r>
            <w:r w:rsidRPr="00DC3FF8">
              <w:rPr>
                <w:rFonts w:ascii="Times New Roman" w:hAnsi="Times New Roman" w:cs="Times New Roman"/>
                <w:bCs/>
                <w:sz w:val="28"/>
                <w:szCs w:val="28"/>
              </w:rPr>
              <w:t>стигматизм</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E58D8D6"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17 (2,7%)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369E0"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21 (3,4%)</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19204"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14 (2,1%)</w:t>
            </w:r>
          </w:p>
        </w:tc>
        <w:tc>
          <w:tcPr>
            <w:tcW w:w="1772" w:type="dxa"/>
            <w:tcBorders>
              <w:top w:val="single" w:sz="4" w:space="0" w:color="auto"/>
              <w:left w:val="single" w:sz="4" w:space="0" w:color="auto"/>
              <w:bottom w:val="single" w:sz="4" w:space="0" w:color="auto"/>
              <w:right w:val="single" w:sz="4" w:space="0" w:color="auto"/>
            </w:tcBorders>
            <w:vAlign w:val="center"/>
          </w:tcPr>
          <w:p w14:paraId="4ACB5C8C"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14 (2,1%)</w:t>
            </w:r>
          </w:p>
        </w:tc>
      </w:tr>
      <w:tr w:rsidR="007F3D2C" w:rsidRPr="00DC3FF8" w14:paraId="409C2441" w14:textId="77777777" w:rsidTr="00DC3FF8">
        <w:trPr>
          <w:trHeight w:val="288"/>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EDC898A" w14:textId="77777777" w:rsidR="007F3D2C" w:rsidRPr="00DC3FF8" w:rsidRDefault="007F3D2C" w:rsidP="00292B55">
            <w:pPr>
              <w:spacing w:after="0" w:line="240" w:lineRule="auto"/>
              <w:jc w:val="both"/>
              <w:rPr>
                <w:rFonts w:ascii="Times New Roman" w:hAnsi="Times New Roman" w:cs="Times New Roman"/>
                <w:bCs/>
                <w:sz w:val="28"/>
                <w:szCs w:val="28"/>
                <w:vertAlign w:val="superscript"/>
              </w:rPr>
            </w:pPr>
            <w:r w:rsidRPr="00DC3FF8">
              <w:rPr>
                <w:rFonts w:ascii="Times New Roman" w:hAnsi="Times New Roman" w:cs="Times New Roman"/>
                <w:bCs/>
                <w:sz w:val="28"/>
                <w:szCs w:val="28"/>
                <w:lang w:val="en-US"/>
              </w:rPr>
              <w:t>SER</w:t>
            </w:r>
            <w:r w:rsidRPr="00DC3FF8">
              <w:rPr>
                <w:rFonts w:ascii="Times New Roman" w:hAnsi="Times New Roman" w:cs="Times New Roman"/>
                <w:bCs/>
                <w:sz w:val="28"/>
                <w:szCs w:val="28"/>
                <w:vertAlign w:val="superscript"/>
              </w:rPr>
              <w:t>3</w:t>
            </w:r>
            <w:r w:rsidRPr="00DC3FF8">
              <w:rPr>
                <w:rFonts w:ascii="Times New Roman" w:hAnsi="Times New Roman" w:cs="Times New Roman"/>
                <w:bCs/>
                <w:sz w:val="28"/>
                <w:szCs w:val="28"/>
              </w:rPr>
              <w:t xml:space="preserve">, </w:t>
            </w:r>
            <w:r w:rsidRPr="00DC3FF8">
              <w:rPr>
                <w:rFonts w:ascii="Times New Roman" w:hAnsi="Times New Roman" w:cs="Times New Roman"/>
                <w:bCs/>
                <w:sz w:val="28"/>
                <w:szCs w:val="28"/>
                <w:lang w:val="en-US"/>
              </w:rPr>
              <w:t>D</w:t>
            </w:r>
            <w:r w:rsidRPr="00DC3FF8">
              <w:rPr>
                <w:rFonts w:ascii="Times New Roman" w:hAnsi="Times New Roman" w:cs="Times New Roman"/>
                <w:bCs/>
                <w:sz w:val="28"/>
                <w:szCs w:val="28"/>
                <w:vertAlign w:val="superscript"/>
              </w:rPr>
              <w:t>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D955D74"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-0,463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F21C1"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-0,525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EB145"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color w:val="000000"/>
                <w:sz w:val="28"/>
                <w:szCs w:val="28"/>
              </w:rPr>
              <w:t>-0,401</w:t>
            </w:r>
          </w:p>
        </w:tc>
        <w:tc>
          <w:tcPr>
            <w:tcW w:w="1772" w:type="dxa"/>
            <w:tcBorders>
              <w:top w:val="single" w:sz="4" w:space="0" w:color="auto"/>
              <w:left w:val="single" w:sz="4" w:space="0" w:color="auto"/>
              <w:bottom w:val="single" w:sz="4" w:space="0" w:color="auto"/>
              <w:right w:val="single" w:sz="4" w:space="0" w:color="auto"/>
            </w:tcBorders>
            <w:vAlign w:val="center"/>
          </w:tcPr>
          <w:p w14:paraId="7F537AD4" w14:textId="77777777" w:rsidR="007F3D2C" w:rsidRPr="00DC3FF8" w:rsidRDefault="007F3D2C" w:rsidP="00DC3FF8">
            <w:pPr>
              <w:spacing w:after="0" w:line="240" w:lineRule="auto"/>
              <w:jc w:val="center"/>
              <w:rPr>
                <w:rFonts w:ascii="Times New Roman" w:hAnsi="Times New Roman" w:cs="Times New Roman"/>
                <w:sz w:val="28"/>
                <w:szCs w:val="28"/>
              </w:rPr>
            </w:pPr>
            <w:r w:rsidRPr="00DC3FF8">
              <w:rPr>
                <w:rFonts w:ascii="Times New Roman" w:hAnsi="Times New Roman" w:cs="Times New Roman"/>
                <w:sz w:val="28"/>
                <w:szCs w:val="28"/>
              </w:rPr>
              <w:t>-0,483</w:t>
            </w:r>
          </w:p>
        </w:tc>
      </w:tr>
      <w:tr w:rsidR="007F3D2C" w:rsidRPr="00DC3FF8" w14:paraId="6E8D6A4F" w14:textId="77777777" w:rsidTr="00DC3FF8">
        <w:trPr>
          <w:trHeight w:val="288"/>
          <w:jc w:val="center"/>
        </w:trPr>
        <w:tc>
          <w:tcPr>
            <w:tcW w:w="8784" w:type="dxa"/>
            <w:gridSpan w:val="5"/>
            <w:tcBorders>
              <w:top w:val="single" w:sz="4" w:space="0" w:color="auto"/>
              <w:left w:val="single" w:sz="4" w:space="0" w:color="auto"/>
              <w:bottom w:val="single" w:sz="4" w:space="0" w:color="auto"/>
              <w:right w:val="single" w:sz="4" w:space="0" w:color="auto"/>
            </w:tcBorders>
            <w:shd w:val="clear" w:color="auto" w:fill="auto"/>
          </w:tcPr>
          <w:p w14:paraId="4127BA97" w14:textId="77777777" w:rsidR="007F3D2C" w:rsidRPr="00DC3FF8" w:rsidRDefault="007F3D2C" w:rsidP="00292B55">
            <w:pPr>
              <w:spacing w:after="0" w:line="240" w:lineRule="auto"/>
              <w:jc w:val="both"/>
              <w:rPr>
                <w:rFonts w:ascii="Times New Roman" w:eastAsia="Times New Roman" w:hAnsi="Times New Roman" w:cs="Times New Roman"/>
                <w:color w:val="000000"/>
                <w:sz w:val="28"/>
                <w:szCs w:val="28"/>
              </w:rPr>
            </w:pPr>
            <w:r w:rsidRPr="00DC3FF8">
              <w:rPr>
                <w:rFonts w:ascii="Times New Roman" w:eastAsia="Times New Roman" w:hAnsi="Times New Roman" w:cs="Times New Roman"/>
                <w:color w:val="000000"/>
                <w:sz w:val="28"/>
                <w:szCs w:val="28"/>
              </w:rPr>
              <w:t>Примечание:</w:t>
            </w:r>
          </w:p>
          <w:p w14:paraId="2C2DF8B1" w14:textId="77777777" w:rsidR="007F3D2C" w:rsidRPr="00DC3FF8" w:rsidRDefault="007F3D2C" w:rsidP="00292B55">
            <w:pPr>
              <w:spacing w:after="0" w:line="240" w:lineRule="auto"/>
              <w:jc w:val="both"/>
              <w:rPr>
                <w:rFonts w:ascii="Times New Roman" w:eastAsia="Times New Roman" w:hAnsi="Times New Roman" w:cs="Times New Roman"/>
                <w:color w:val="000000"/>
                <w:sz w:val="28"/>
                <w:szCs w:val="28"/>
              </w:rPr>
            </w:pPr>
            <w:r w:rsidRPr="00DC3FF8">
              <w:rPr>
                <w:rFonts w:ascii="Times New Roman" w:eastAsia="Times New Roman" w:hAnsi="Times New Roman" w:cs="Times New Roman"/>
                <w:color w:val="000000"/>
                <w:sz w:val="28"/>
                <w:szCs w:val="28"/>
                <w:vertAlign w:val="superscript"/>
              </w:rPr>
              <w:t>1</w:t>
            </w:r>
            <w:r w:rsidRPr="00DC3FF8">
              <w:rPr>
                <w:rFonts w:ascii="Times New Roman" w:eastAsia="Times New Roman" w:hAnsi="Times New Roman" w:cs="Times New Roman"/>
                <w:color w:val="000000"/>
                <w:sz w:val="28"/>
                <w:szCs w:val="28"/>
              </w:rPr>
              <w:t>n – количество детей в подгруппе;</w:t>
            </w:r>
          </w:p>
          <w:p w14:paraId="7AAA5CDD" w14:textId="77777777" w:rsidR="007F3D2C" w:rsidRPr="00DC3FF8" w:rsidRDefault="007F3D2C" w:rsidP="00292B55">
            <w:pPr>
              <w:spacing w:after="0" w:line="240" w:lineRule="auto"/>
              <w:jc w:val="both"/>
              <w:rPr>
                <w:rFonts w:ascii="Times New Roman" w:eastAsia="Times New Roman" w:hAnsi="Times New Roman" w:cs="Times New Roman"/>
                <w:color w:val="000000"/>
                <w:sz w:val="28"/>
                <w:szCs w:val="28"/>
              </w:rPr>
            </w:pPr>
            <w:r w:rsidRPr="00DC3FF8">
              <w:rPr>
                <w:rFonts w:ascii="Times New Roman" w:eastAsia="Times New Roman" w:hAnsi="Times New Roman" w:cs="Times New Roman"/>
                <w:color w:val="000000"/>
                <w:sz w:val="28"/>
                <w:szCs w:val="28"/>
                <w:vertAlign w:val="superscript"/>
              </w:rPr>
              <w:t>2</w:t>
            </w:r>
            <w:r w:rsidRPr="00DC3FF8">
              <w:rPr>
                <w:rFonts w:ascii="Times New Roman" w:eastAsia="Times New Roman" w:hAnsi="Times New Roman" w:cs="Times New Roman"/>
                <w:color w:val="000000"/>
                <w:sz w:val="28"/>
                <w:szCs w:val="28"/>
              </w:rPr>
              <w:t>% - доля в структуре миопии (% от всей миопии в группе);</w:t>
            </w:r>
          </w:p>
          <w:p w14:paraId="74B97DD2" w14:textId="77777777" w:rsidR="007F3D2C" w:rsidRPr="00DC3FF8" w:rsidRDefault="007F3D2C" w:rsidP="00292B55">
            <w:pPr>
              <w:spacing w:after="0" w:line="240" w:lineRule="auto"/>
              <w:jc w:val="both"/>
              <w:rPr>
                <w:rFonts w:ascii="Times New Roman" w:eastAsia="Times New Roman" w:hAnsi="Times New Roman" w:cs="Times New Roman"/>
                <w:color w:val="000000"/>
                <w:sz w:val="28"/>
                <w:szCs w:val="28"/>
              </w:rPr>
            </w:pPr>
            <w:r w:rsidRPr="00DC3FF8">
              <w:rPr>
                <w:rFonts w:ascii="Times New Roman" w:eastAsia="Times New Roman" w:hAnsi="Times New Roman" w:cs="Times New Roman"/>
                <w:color w:val="000000"/>
                <w:sz w:val="28"/>
                <w:szCs w:val="28"/>
                <w:vertAlign w:val="superscript"/>
              </w:rPr>
              <w:t>3</w:t>
            </w:r>
            <w:r w:rsidRPr="00DC3FF8">
              <w:rPr>
                <w:rFonts w:ascii="Times New Roman" w:eastAsia="Times New Roman" w:hAnsi="Times New Roman" w:cs="Times New Roman"/>
                <w:color w:val="000000"/>
                <w:sz w:val="28"/>
                <w:szCs w:val="28"/>
              </w:rPr>
              <w:t>SER – сферический эквивалент рефракции;</w:t>
            </w:r>
          </w:p>
          <w:p w14:paraId="0B1CE517" w14:textId="77777777" w:rsidR="007F3D2C" w:rsidRPr="00DC3FF8" w:rsidRDefault="007F3D2C" w:rsidP="00292B55">
            <w:pPr>
              <w:spacing w:after="0" w:line="240" w:lineRule="auto"/>
              <w:rPr>
                <w:rFonts w:ascii="Times New Roman" w:hAnsi="Times New Roman" w:cs="Times New Roman"/>
                <w:sz w:val="28"/>
                <w:szCs w:val="28"/>
              </w:rPr>
            </w:pPr>
            <w:r w:rsidRPr="00DC3FF8">
              <w:rPr>
                <w:rFonts w:ascii="Times New Roman" w:eastAsia="Times New Roman" w:hAnsi="Times New Roman" w:cs="Times New Roman"/>
                <w:color w:val="000000"/>
                <w:sz w:val="28"/>
                <w:szCs w:val="28"/>
                <w:vertAlign w:val="superscript"/>
              </w:rPr>
              <w:t>4</w:t>
            </w:r>
            <w:r w:rsidRPr="00DC3FF8">
              <w:rPr>
                <w:rFonts w:ascii="Times New Roman" w:eastAsia="Times New Roman" w:hAnsi="Times New Roman" w:cs="Times New Roman"/>
                <w:color w:val="000000"/>
                <w:sz w:val="28"/>
                <w:szCs w:val="28"/>
              </w:rPr>
              <w:t>D - диоптрии</w:t>
            </w:r>
          </w:p>
        </w:tc>
      </w:tr>
    </w:tbl>
    <w:p w14:paraId="4234596D" w14:textId="77777777" w:rsidR="007F3D2C" w:rsidRPr="00910389" w:rsidRDefault="007F3D2C" w:rsidP="007F3D2C">
      <w:pPr>
        <w:pStyle w:val="a4"/>
        <w:ind w:firstLine="709"/>
        <w:jc w:val="both"/>
        <w:rPr>
          <w:rFonts w:ascii="Times New Roman" w:eastAsia="Calibri" w:hAnsi="Times New Roman" w:cs="Times New Roman"/>
          <w:sz w:val="28"/>
          <w:szCs w:val="28"/>
        </w:rPr>
      </w:pPr>
    </w:p>
    <w:p w14:paraId="6D5786D5" w14:textId="4864BBEE"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Как видно из таблицы </w:t>
      </w:r>
      <w:r w:rsidR="00155ACA" w:rsidRPr="001E612A">
        <w:rPr>
          <w:rFonts w:ascii="Times New Roman" w:eastAsia="Calibri" w:hAnsi="Times New Roman" w:cs="Times New Roman"/>
          <w:sz w:val="28"/>
          <w:szCs w:val="28"/>
        </w:rPr>
        <w:t>29</w:t>
      </w:r>
      <w:r w:rsidRPr="00910389">
        <w:rPr>
          <w:rFonts w:ascii="Times New Roman" w:eastAsia="Calibri" w:hAnsi="Times New Roman" w:cs="Times New Roman"/>
          <w:sz w:val="28"/>
          <w:szCs w:val="28"/>
        </w:rPr>
        <w:t xml:space="preserve"> тенденции в обеих группах направлены в сторону миопизации рефракции, и составляют в группе наблюдения 0,062</w:t>
      </w:r>
      <w:r w:rsidRPr="00910389">
        <w:rPr>
          <w:rFonts w:ascii="Times New Roman" w:eastAsia="Calibri" w:hAnsi="Times New Roman" w:cs="Times New Roman"/>
          <w:sz w:val="28"/>
          <w:szCs w:val="28"/>
          <w:lang w:val="en-US"/>
        </w:rPr>
        <w:t>D</w:t>
      </w:r>
      <w:r w:rsidRPr="00910389">
        <w:rPr>
          <w:rFonts w:ascii="Times New Roman" w:eastAsia="Calibri" w:hAnsi="Times New Roman" w:cs="Times New Roman"/>
          <w:sz w:val="28"/>
          <w:szCs w:val="28"/>
        </w:rPr>
        <w:t xml:space="preserve"> против 0,082</w:t>
      </w:r>
      <w:r w:rsidRPr="00910389">
        <w:rPr>
          <w:rFonts w:ascii="Times New Roman" w:eastAsia="Calibri" w:hAnsi="Times New Roman" w:cs="Times New Roman"/>
          <w:sz w:val="28"/>
          <w:szCs w:val="28"/>
          <w:lang w:val="en-US"/>
        </w:rPr>
        <w:t>D</w:t>
      </w:r>
      <w:r w:rsidRPr="00910389">
        <w:rPr>
          <w:rFonts w:ascii="Times New Roman" w:eastAsia="Calibri" w:hAnsi="Times New Roman" w:cs="Times New Roman"/>
          <w:sz w:val="28"/>
          <w:szCs w:val="28"/>
        </w:rPr>
        <w:t xml:space="preserve"> в группе наблюдения. При этом количество здоровых школьников сократилось за год на 1,9% и 2,2% в группе наблюдения и контроля соответственно. Число лиц с нарушениями рефракции в обоих группах изменилось сопоставимо (1,9% и 2,2%), однако в группе контроля эти изменения несколько больше связаны с увеличением доли детей с миопией (3,6% против 2,8%) и уменьшением гиперметропической рефракции в группе (1,3% против 0,8%), чем в группе наблюдения. В целом разница вышеперечисленных показателей в группах не является достоверно значимой. </w:t>
      </w:r>
    </w:p>
    <w:p w14:paraId="51DC8A38" w14:textId="77777777"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Если рассматривать изменение среднего значения </w:t>
      </w:r>
      <w:r w:rsidRPr="00910389">
        <w:rPr>
          <w:rFonts w:ascii="Times New Roman" w:eastAsia="Calibri" w:hAnsi="Times New Roman" w:cs="Times New Roman"/>
          <w:sz w:val="28"/>
          <w:szCs w:val="28"/>
          <w:lang w:val="en-US"/>
        </w:rPr>
        <w:t>SER</w:t>
      </w:r>
      <w:r w:rsidRPr="00910389">
        <w:rPr>
          <w:rFonts w:ascii="Times New Roman" w:eastAsia="Calibri" w:hAnsi="Times New Roman" w:cs="Times New Roman"/>
          <w:sz w:val="28"/>
          <w:szCs w:val="28"/>
        </w:rPr>
        <w:t xml:space="preserve"> в группах, то снижение показателя в группе контроля статистически значимо по сравнению с группой наблюдения (0,062 против 0,083, </w:t>
      </w:r>
      <w:r w:rsidRPr="00910389">
        <w:rPr>
          <w:rFonts w:ascii="Times New Roman" w:eastAsia="Calibri" w:hAnsi="Times New Roman" w:cs="Times New Roman"/>
          <w:sz w:val="28"/>
          <w:szCs w:val="28"/>
          <w:lang w:val="en-US"/>
        </w:rPr>
        <w:t>p</w:t>
      </w:r>
      <w:r w:rsidRPr="00910389">
        <w:rPr>
          <w:rFonts w:ascii="Times New Roman" w:eastAsia="Calibri" w:hAnsi="Times New Roman" w:cs="Times New Roman"/>
          <w:sz w:val="28"/>
          <w:szCs w:val="28"/>
        </w:rPr>
        <w:t xml:space="preserve">=0,02), что позволяет говорить о более выраженных темпах миопизации в классах, не участвующих в Программе профилактики развития и прогрессирования аномалий рефракции у школьников. </w:t>
      </w:r>
    </w:p>
    <w:p w14:paraId="14AF7577" w14:textId="3C822EDE" w:rsidR="007F3D2C"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Еще одним важным критерием оценки эффективности Программы профилактики развития и прогрессирования аномалий рефракции у школьников для нас являлся уровень осведомленности родителей и детей об имеющейся патологии и уровень обращаемости их за очковой коррекцией и офтальмологической помощью. В таблице 3</w:t>
      </w:r>
      <w:r w:rsidR="001E612A" w:rsidRPr="001E612A">
        <w:rPr>
          <w:rFonts w:ascii="Times New Roman" w:eastAsia="Calibri" w:hAnsi="Times New Roman" w:cs="Times New Roman"/>
          <w:sz w:val="28"/>
          <w:szCs w:val="28"/>
        </w:rPr>
        <w:t>0</w:t>
      </w:r>
      <w:r w:rsidRPr="00910389">
        <w:rPr>
          <w:rFonts w:ascii="Times New Roman" w:eastAsia="Calibri" w:hAnsi="Times New Roman" w:cs="Times New Roman"/>
          <w:sz w:val="28"/>
          <w:szCs w:val="28"/>
        </w:rPr>
        <w:t xml:space="preserve"> приведено общее число обращений к офтальмологу среди учащихся обеих групп за наблюдаемый период. </w:t>
      </w:r>
    </w:p>
    <w:p w14:paraId="61BAAC53" w14:textId="77777777" w:rsidR="003D1B03" w:rsidRPr="00910389" w:rsidRDefault="003D1B03" w:rsidP="007F3D2C">
      <w:pPr>
        <w:pStyle w:val="a4"/>
        <w:ind w:firstLine="709"/>
        <w:jc w:val="both"/>
        <w:rPr>
          <w:rFonts w:ascii="Times New Roman" w:eastAsia="Calibri" w:hAnsi="Times New Roman" w:cs="Times New Roman"/>
          <w:sz w:val="28"/>
          <w:szCs w:val="28"/>
        </w:rPr>
      </w:pPr>
    </w:p>
    <w:p w14:paraId="2A3A1805" w14:textId="3F013012" w:rsidR="007F3D2C" w:rsidRDefault="007F3D2C" w:rsidP="007F3D2C">
      <w:pPr>
        <w:pStyle w:val="a4"/>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Таблица 3</w:t>
      </w:r>
      <w:r w:rsidR="001E612A" w:rsidRPr="001E612A">
        <w:rPr>
          <w:rFonts w:ascii="Times New Roman" w:eastAsia="Calibri" w:hAnsi="Times New Roman" w:cs="Times New Roman"/>
          <w:sz w:val="28"/>
          <w:szCs w:val="28"/>
        </w:rPr>
        <w:t>0</w:t>
      </w:r>
      <w:r w:rsidRPr="00910389">
        <w:rPr>
          <w:rFonts w:ascii="Times New Roman" w:eastAsia="Calibri" w:hAnsi="Times New Roman" w:cs="Times New Roman"/>
          <w:sz w:val="28"/>
          <w:szCs w:val="28"/>
        </w:rPr>
        <w:t xml:space="preserve"> – Обращаемость учащихся с нарушениями рефракции за офтальмологической помощью (N = 3</w:t>
      </w:r>
      <w:r w:rsidR="00AB7CDE">
        <w:rPr>
          <w:rFonts w:ascii="Times New Roman" w:eastAsia="Calibri" w:hAnsi="Times New Roman" w:cs="Times New Roman"/>
          <w:sz w:val="28"/>
          <w:szCs w:val="28"/>
        </w:rPr>
        <w:t>88</w:t>
      </w:r>
      <w:r w:rsidRPr="00910389">
        <w:rPr>
          <w:rFonts w:ascii="Times New Roman" w:eastAsia="Calibri" w:hAnsi="Times New Roman" w:cs="Times New Roman"/>
          <w:sz w:val="28"/>
          <w:szCs w:val="28"/>
        </w:rPr>
        <w:t>)</w:t>
      </w:r>
    </w:p>
    <w:p w14:paraId="1754D576" w14:textId="77777777" w:rsidR="003D1B03" w:rsidRPr="00910389" w:rsidRDefault="003D1B03" w:rsidP="007F3D2C">
      <w:pPr>
        <w:pStyle w:val="a4"/>
        <w:jc w:val="both"/>
        <w:rPr>
          <w:rFonts w:ascii="Times New Roman" w:eastAsia="Calibri" w:hAnsi="Times New Roman" w:cs="Times New Roman"/>
          <w:sz w:val="28"/>
          <w:szCs w:val="28"/>
        </w:rPr>
      </w:pPr>
    </w:p>
    <w:tbl>
      <w:tblPr>
        <w:tblW w:w="9918" w:type="dxa"/>
        <w:jc w:val="center"/>
        <w:tblLayout w:type="fixed"/>
        <w:tblLook w:val="04A0" w:firstRow="1" w:lastRow="0" w:firstColumn="1" w:lastColumn="0" w:noHBand="0" w:noVBand="1"/>
      </w:tblPr>
      <w:tblGrid>
        <w:gridCol w:w="1695"/>
        <w:gridCol w:w="1370"/>
        <w:gridCol w:w="1371"/>
        <w:gridCol w:w="1370"/>
        <w:gridCol w:w="1371"/>
        <w:gridCol w:w="1370"/>
        <w:gridCol w:w="1371"/>
      </w:tblGrid>
      <w:tr w:rsidR="007F3D2C" w:rsidRPr="003D1B03" w14:paraId="6EBEBDF1" w14:textId="77777777" w:rsidTr="003D1B03">
        <w:trPr>
          <w:trHeight w:val="300"/>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83DBA" w14:textId="77777777" w:rsidR="007F3D2C" w:rsidRPr="003D1B03" w:rsidRDefault="007F3D2C" w:rsidP="00292B55">
            <w:pPr>
              <w:spacing w:after="0" w:line="240" w:lineRule="auto"/>
              <w:jc w:val="both"/>
              <w:rPr>
                <w:rFonts w:ascii="Times New Roman" w:hAnsi="Times New Roman" w:cs="Times New Roman"/>
                <w:b/>
                <w:bCs/>
                <w:sz w:val="26"/>
                <w:szCs w:val="26"/>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noWrap/>
          </w:tcPr>
          <w:p w14:paraId="6424CE1A" w14:textId="77777777" w:rsidR="007F3D2C" w:rsidRPr="003D1B03" w:rsidRDefault="007F3D2C" w:rsidP="00292B55">
            <w:pPr>
              <w:spacing w:after="0" w:line="240" w:lineRule="auto"/>
              <w:jc w:val="both"/>
              <w:rPr>
                <w:rFonts w:ascii="Times New Roman" w:eastAsia="Calibri" w:hAnsi="Times New Roman" w:cs="Times New Roman"/>
                <w:sz w:val="26"/>
                <w:szCs w:val="26"/>
                <w:lang w:val="en-US" w:eastAsia="en-US"/>
              </w:rPr>
            </w:pPr>
            <w:r w:rsidRPr="003D1B03">
              <w:rPr>
                <w:rFonts w:ascii="Times New Roman" w:eastAsia="Calibri" w:hAnsi="Times New Roman" w:cs="Times New Roman"/>
                <w:sz w:val="26"/>
                <w:szCs w:val="26"/>
                <w:lang w:eastAsia="en-US"/>
              </w:rPr>
              <w:t>Группа контроля (</w:t>
            </w:r>
            <w:r w:rsidRPr="003D1B03">
              <w:rPr>
                <w:rFonts w:ascii="Times New Roman" w:eastAsia="Calibri" w:hAnsi="Times New Roman" w:cs="Times New Roman"/>
                <w:sz w:val="26"/>
                <w:szCs w:val="26"/>
                <w:lang w:val="en-US" w:eastAsia="en-US"/>
              </w:rPr>
              <w:t>n = 187)</w:t>
            </w:r>
          </w:p>
        </w:tc>
        <w:tc>
          <w:tcPr>
            <w:tcW w:w="4112" w:type="dxa"/>
            <w:gridSpan w:val="3"/>
            <w:tcBorders>
              <w:top w:val="single" w:sz="4" w:space="0" w:color="auto"/>
              <w:left w:val="single" w:sz="4" w:space="0" w:color="auto"/>
              <w:bottom w:val="single" w:sz="4" w:space="0" w:color="auto"/>
              <w:right w:val="single" w:sz="4" w:space="0" w:color="auto"/>
            </w:tcBorders>
          </w:tcPr>
          <w:p w14:paraId="7303AADC" w14:textId="77777777" w:rsidR="007F3D2C" w:rsidRPr="003D1B03" w:rsidRDefault="007F3D2C" w:rsidP="00292B55">
            <w:pPr>
              <w:spacing w:after="0" w:line="240" w:lineRule="auto"/>
              <w:jc w:val="both"/>
              <w:rPr>
                <w:rFonts w:ascii="Times New Roman" w:eastAsia="Calibri" w:hAnsi="Times New Roman" w:cs="Times New Roman"/>
                <w:sz w:val="26"/>
                <w:szCs w:val="26"/>
                <w:lang w:val="en-US" w:eastAsia="en-US"/>
              </w:rPr>
            </w:pPr>
            <w:r w:rsidRPr="003D1B03">
              <w:rPr>
                <w:rFonts w:ascii="Times New Roman" w:eastAsia="Calibri" w:hAnsi="Times New Roman" w:cs="Times New Roman"/>
                <w:sz w:val="26"/>
                <w:szCs w:val="26"/>
                <w:lang w:eastAsia="en-US"/>
              </w:rPr>
              <w:t>Группа наблюдения</w:t>
            </w:r>
            <w:r w:rsidRPr="003D1B03">
              <w:rPr>
                <w:rFonts w:ascii="Times New Roman" w:eastAsia="Calibri" w:hAnsi="Times New Roman" w:cs="Times New Roman"/>
                <w:sz w:val="26"/>
                <w:szCs w:val="26"/>
                <w:lang w:val="en-US" w:eastAsia="en-US"/>
              </w:rPr>
              <w:t xml:space="preserve"> (n = </w:t>
            </w:r>
            <w:r w:rsidRPr="003D1B03">
              <w:rPr>
                <w:rFonts w:ascii="Times New Roman" w:eastAsia="Calibri" w:hAnsi="Times New Roman" w:cs="Times New Roman"/>
                <w:sz w:val="26"/>
                <w:szCs w:val="26"/>
                <w:lang w:eastAsia="en-US"/>
              </w:rPr>
              <w:t>201</w:t>
            </w:r>
            <w:r w:rsidRPr="003D1B03">
              <w:rPr>
                <w:rFonts w:ascii="Times New Roman" w:eastAsia="Calibri" w:hAnsi="Times New Roman" w:cs="Times New Roman"/>
                <w:sz w:val="26"/>
                <w:szCs w:val="26"/>
                <w:lang w:val="en-US" w:eastAsia="en-US"/>
              </w:rPr>
              <w:t>)</w:t>
            </w:r>
          </w:p>
        </w:tc>
      </w:tr>
      <w:tr w:rsidR="007F3D2C" w:rsidRPr="003D1B03" w14:paraId="3C711B29" w14:textId="77777777" w:rsidTr="003D1B03">
        <w:trPr>
          <w:trHeight w:val="300"/>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9C8DA" w14:textId="77777777" w:rsidR="007F3D2C" w:rsidRPr="003D1B03" w:rsidRDefault="007F3D2C" w:rsidP="00292B55">
            <w:pPr>
              <w:spacing w:after="0" w:line="240" w:lineRule="auto"/>
              <w:jc w:val="both"/>
              <w:rPr>
                <w:rFonts w:ascii="Times New Roman" w:hAnsi="Times New Roman" w:cs="Times New Roman"/>
                <w:b/>
                <w:bCs/>
                <w:sz w:val="26"/>
                <w:szCs w:val="26"/>
              </w:rPr>
            </w:pP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14:paraId="0EEB283E"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Младшее звено</w:t>
            </w:r>
          </w:p>
          <w:p w14:paraId="6E738C37" w14:textId="77777777" w:rsidR="007F3D2C" w:rsidRPr="003D1B03" w:rsidRDefault="007F3D2C" w:rsidP="00292B55">
            <w:pPr>
              <w:spacing w:after="0" w:line="240" w:lineRule="auto"/>
              <w:jc w:val="both"/>
              <w:rPr>
                <w:rFonts w:ascii="Times New Roman" w:hAnsi="Times New Roman" w:cs="Times New Roman"/>
                <w:b/>
                <w:bCs/>
                <w:sz w:val="26"/>
                <w:szCs w:val="26"/>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n</w:t>
            </w:r>
            <w:r w:rsidRPr="003D1B03">
              <w:rPr>
                <w:rFonts w:ascii="Times New Roman" w:eastAsia="Calibri" w:hAnsi="Times New Roman" w:cs="Times New Roman"/>
                <w:sz w:val="26"/>
                <w:szCs w:val="26"/>
                <w:vertAlign w:val="superscript"/>
                <w:lang w:eastAsia="en-US"/>
              </w:rPr>
              <w:t>1</w:t>
            </w:r>
            <w:r w:rsidRPr="003D1B03">
              <w:rPr>
                <w:rFonts w:ascii="Times New Roman" w:eastAsia="Calibri" w:hAnsi="Times New Roman" w:cs="Times New Roman"/>
                <w:sz w:val="26"/>
                <w:szCs w:val="26"/>
                <w:lang w:val="en-US" w:eastAsia="en-US"/>
              </w:rPr>
              <w:t xml:space="preserve"> = </w:t>
            </w:r>
            <w:r w:rsidRPr="003D1B03">
              <w:rPr>
                <w:rFonts w:ascii="Times New Roman" w:eastAsia="Calibri" w:hAnsi="Times New Roman" w:cs="Times New Roman"/>
                <w:sz w:val="26"/>
                <w:szCs w:val="26"/>
                <w:lang w:eastAsia="en-US"/>
              </w:rPr>
              <w:t>50)</w:t>
            </w:r>
          </w:p>
        </w:tc>
        <w:tc>
          <w:tcPr>
            <w:tcW w:w="1371" w:type="dxa"/>
            <w:tcBorders>
              <w:top w:val="single" w:sz="4" w:space="0" w:color="auto"/>
              <w:left w:val="single" w:sz="4" w:space="0" w:color="auto"/>
              <w:bottom w:val="single" w:sz="4" w:space="0" w:color="auto"/>
              <w:right w:val="single" w:sz="4" w:space="0" w:color="auto"/>
            </w:tcBorders>
            <w:shd w:val="clear" w:color="auto" w:fill="auto"/>
          </w:tcPr>
          <w:p w14:paraId="61D714F0"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Среднее звено</w:t>
            </w:r>
          </w:p>
          <w:p w14:paraId="134B17E0" w14:textId="77777777" w:rsidR="007F3D2C" w:rsidRPr="003D1B03" w:rsidRDefault="007F3D2C" w:rsidP="00292B55">
            <w:pPr>
              <w:spacing w:after="0" w:line="240" w:lineRule="auto"/>
              <w:jc w:val="both"/>
              <w:rPr>
                <w:rFonts w:ascii="Times New Roman" w:hAnsi="Times New Roman" w:cs="Times New Roman"/>
                <w:b/>
                <w:bCs/>
                <w:sz w:val="26"/>
                <w:szCs w:val="26"/>
                <w:vertAlign w:val="superscript"/>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 xml:space="preserve">n = </w:t>
            </w:r>
            <w:r w:rsidRPr="003D1B03">
              <w:rPr>
                <w:rFonts w:ascii="Times New Roman" w:eastAsia="Calibri" w:hAnsi="Times New Roman" w:cs="Times New Roman"/>
                <w:sz w:val="26"/>
                <w:szCs w:val="26"/>
                <w:lang w:eastAsia="en-US"/>
              </w:rPr>
              <w:t>56)</w:t>
            </w:r>
          </w:p>
        </w:tc>
        <w:tc>
          <w:tcPr>
            <w:tcW w:w="1370" w:type="dxa"/>
            <w:tcBorders>
              <w:top w:val="single" w:sz="4" w:space="0" w:color="auto"/>
              <w:left w:val="single" w:sz="4" w:space="0" w:color="auto"/>
              <w:bottom w:val="single" w:sz="4" w:space="0" w:color="auto"/>
              <w:right w:val="single" w:sz="4" w:space="0" w:color="auto"/>
            </w:tcBorders>
          </w:tcPr>
          <w:p w14:paraId="42DFBA4D"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Старшее звено</w:t>
            </w:r>
          </w:p>
          <w:p w14:paraId="1BFAF238" w14:textId="77777777" w:rsidR="007F3D2C" w:rsidRPr="003D1B03" w:rsidRDefault="007F3D2C" w:rsidP="00292B55">
            <w:pPr>
              <w:spacing w:after="0" w:line="240" w:lineRule="auto"/>
              <w:jc w:val="both"/>
              <w:rPr>
                <w:rFonts w:ascii="Times New Roman" w:hAnsi="Times New Roman" w:cs="Times New Roman"/>
                <w:b/>
                <w:bCs/>
                <w:sz w:val="26"/>
                <w:szCs w:val="26"/>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 xml:space="preserve">n = </w:t>
            </w:r>
            <w:r w:rsidRPr="003D1B03">
              <w:rPr>
                <w:rFonts w:ascii="Times New Roman" w:eastAsia="Calibri" w:hAnsi="Times New Roman" w:cs="Times New Roman"/>
                <w:sz w:val="26"/>
                <w:szCs w:val="26"/>
                <w:lang w:eastAsia="en-US"/>
              </w:rPr>
              <w:t>81)</w:t>
            </w:r>
          </w:p>
        </w:tc>
        <w:tc>
          <w:tcPr>
            <w:tcW w:w="1371" w:type="dxa"/>
            <w:tcBorders>
              <w:top w:val="single" w:sz="4" w:space="0" w:color="auto"/>
              <w:left w:val="single" w:sz="4" w:space="0" w:color="auto"/>
              <w:bottom w:val="single" w:sz="4" w:space="0" w:color="auto"/>
              <w:right w:val="single" w:sz="4" w:space="0" w:color="auto"/>
            </w:tcBorders>
          </w:tcPr>
          <w:p w14:paraId="052B0472"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Младшее звено</w:t>
            </w:r>
          </w:p>
          <w:p w14:paraId="5E56426F"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 xml:space="preserve">n = </w:t>
            </w:r>
            <w:r w:rsidRPr="003D1B03">
              <w:rPr>
                <w:rFonts w:ascii="Times New Roman" w:eastAsia="Calibri" w:hAnsi="Times New Roman" w:cs="Times New Roman"/>
                <w:sz w:val="26"/>
                <w:szCs w:val="26"/>
                <w:lang w:eastAsia="en-US"/>
              </w:rPr>
              <w:t>55)</w:t>
            </w:r>
          </w:p>
        </w:tc>
        <w:tc>
          <w:tcPr>
            <w:tcW w:w="1370" w:type="dxa"/>
            <w:tcBorders>
              <w:top w:val="single" w:sz="4" w:space="0" w:color="auto"/>
              <w:left w:val="single" w:sz="4" w:space="0" w:color="auto"/>
              <w:bottom w:val="single" w:sz="4" w:space="0" w:color="auto"/>
              <w:right w:val="single" w:sz="4" w:space="0" w:color="auto"/>
            </w:tcBorders>
          </w:tcPr>
          <w:p w14:paraId="2E3F7EEE"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Среднее звено</w:t>
            </w:r>
          </w:p>
          <w:p w14:paraId="54F54BCC"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 xml:space="preserve">n = </w:t>
            </w:r>
            <w:r w:rsidRPr="003D1B03">
              <w:rPr>
                <w:rFonts w:ascii="Times New Roman" w:eastAsia="Calibri" w:hAnsi="Times New Roman" w:cs="Times New Roman"/>
                <w:sz w:val="26"/>
                <w:szCs w:val="26"/>
                <w:lang w:eastAsia="en-US"/>
              </w:rPr>
              <w:t>68)</w:t>
            </w:r>
          </w:p>
        </w:tc>
        <w:tc>
          <w:tcPr>
            <w:tcW w:w="1371" w:type="dxa"/>
            <w:tcBorders>
              <w:top w:val="single" w:sz="4" w:space="0" w:color="auto"/>
              <w:left w:val="single" w:sz="4" w:space="0" w:color="auto"/>
              <w:bottom w:val="single" w:sz="4" w:space="0" w:color="auto"/>
              <w:right w:val="single" w:sz="4" w:space="0" w:color="auto"/>
            </w:tcBorders>
          </w:tcPr>
          <w:p w14:paraId="6169BB0E"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Старшее звено</w:t>
            </w:r>
          </w:p>
          <w:p w14:paraId="303A0225" w14:textId="77777777" w:rsidR="007F3D2C" w:rsidRPr="003D1B03" w:rsidRDefault="007F3D2C" w:rsidP="00292B55">
            <w:pPr>
              <w:spacing w:after="0" w:line="240" w:lineRule="auto"/>
              <w:jc w:val="both"/>
              <w:rPr>
                <w:rFonts w:ascii="Times New Roman" w:eastAsia="Calibri" w:hAnsi="Times New Roman" w:cs="Times New Roman"/>
                <w:sz w:val="26"/>
                <w:szCs w:val="26"/>
                <w:lang w:eastAsia="en-US"/>
              </w:rPr>
            </w:pPr>
            <w:r w:rsidRPr="003D1B03">
              <w:rPr>
                <w:rFonts w:ascii="Times New Roman" w:eastAsia="Calibri" w:hAnsi="Times New Roman" w:cs="Times New Roman"/>
                <w:sz w:val="26"/>
                <w:szCs w:val="26"/>
                <w:lang w:eastAsia="en-US"/>
              </w:rPr>
              <w:t>(</w:t>
            </w:r>
            <w:r w:rsidRPr="003D1B03">
              <w:rPr>
                <w:rFonts w:ascii="Times New Roman" w:eastAsia="Calibri" w:hAnsi="Times New Roman" w:cs="Times New Roman"/>
                <w:sz w:val="26"/>
                <w:szCs w:val="26"/>
                <w:lang w:val="en-US" w:eastAsia="en-US"/>
              </w:rPr>
              <w:t xml:space="preserve">n = </w:t>
            </w:r>
            <w:r w:rsidRPr="003D1B03">
              <w:rPr>
                <w:rFonts w:ascii="Times New Roman" w:eastAsia="Calibri" w:hAnsi="Times New Roman" w:cs="Times New Roman"/>
                <w:sz w:val="26"/>
                <w:szCs w:val="26"/>
                <w:lang w:eastAsia="en-US"/>
              </w:rPr>
              <w:t>78)</w:t>
            </w:r>
          </w:p>
        </w:tc>
      </w:tr>
      <w:tr w:rsidR="007F3D2C" w:rsidRPr="003D1B03" w14:paraId="3FA6D1D3" w14:textId="77777777" w:rsidTr="003D1B03">
        <w:trPr>
          <w:trHeight w:val="288"/>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hideMark/>
          </w:tcPr>
          <w:p w14:paraId="5A2BC5F1" w14:textId="77777777" w:rsidR="007F3D2C" w:rsidRPr="003D1B03" w:rsidRDefault="007F3D2C" w:rsidP="00292B55">
            <w:pPr>
              <w:spacing w:after="0" w:line="240" w:lineRule="auto"/>
              <w:jc w:val="both"/>
              <w:rPr>
                <w:rFonts w:ascii="Times New Roman" w:hAnsi="Times New Roman" w:cs="Times New Roman"/>
                <w:bCs/>
                <w:sz w:val="26"/>
                <w:szCs w:val="26"/>
              </w:rPr>
            </w:pPr>
            <w:r w:rsidRPr="003D1B03">
              <w:rPr>
                <w:rFonts w:ascii="Times New Roman" w:hAnsi="Times New Roman" w:cs="Times New Roman"/>
                <w:sz w:val="26"/>
                <w:szCs w:val="26"/>
              </w:rPr>
              <w:t xml:space="preserve">кабинет охраны зрения </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846B" w14:textId="77777777" w:rsidR="007F3D2C" w:rsidRPr="003D1B03" w:rsidRDefault="007F3D2C" w:rsidP="00292B55">
            <w:pPr>
              <w:spacing w:after="0" w:line="240" w:lineRule="auto"/>
              <w:jc w:val="both"/>
              <w:rPr>
                <w:rFonts w:ascii="Times New Roman" w:hAnsi="Times New Roman" w:cs="Times New Roman"/>
                <w:sz w:val="26"/>
                <w:szCs w:val="26"/>
                <w:lang w:val="en-US"/>
              </w:rPr>
            </w:pPr>
            <w:r w:rsidRPr="003D1B03">
              <w:rPr>
                <w:rFonts w:ascii="Times New Roman" w:hAnsi="Times New Roman" w:cs="Times New Roman"/>
                <w:color w:val="000000"/>
                <w:sz w:val="26"/>
                <w:szCs w:val="26"/>
              </w:rPr>
              <w:t>5 (10,0%)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5DCDA"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5 (8,9%)</w:t>
            </w:r>
          </w:p>
        </w:tc>
        <w:tc>
          <w:tcPr>
            <w:tcW w:w="1370" w:type="dxa"/>
            <w:tcBorders>
              <w:top w:val="single" w:sz="4" w:space="0" w:color="auto"/>
              <w:left w:val="single" w:sz="4" w:space="0" w:color="auto"/>
              <w:bottom w:val="single" w:sz="4" w:space="0" w:color="auto"/>
              <w:right w:val="single" w:sz="4" w:space="0" w:color="auto"/>
            </w:tcBorders>
            <w:vAlign w:val="center"/>
          </w:tcPr>
          <w:p w14:paraId="5CB68B2F"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11 (13,6%)</w:t>
            </w:r>
          </w:p>
        </w:tc>
        <w:tc>
          <w:tcPr>
            <w:tcW w:w="1371" w:type="dxa"/>
            <w:tcBorders>
              <w:top w:val="single" w:sz="4" w:space="0" w:color="auto"/>
              <w:left w:val="single" w:sz="4" w:space="0" w:color="auto"/>
              <w:bottom w:val="single" w:sz="4" w:space="0" w:color="auto"/>
              <w:right w:val="single" w:sz="4" w:space="0" w:color="auto"/>
            </w:tcBorders>
            <w:vAlign w:val="center"/>
          </w:tcPr>
          <w:p w14:paraId="62066ACE"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sz w:val="26"/>
                <w:szCs w:val="26"/>
                <w:lang w:val="en-US"/>
              </w:rPr>
              <w:t>12</w:t>
            </w:r>
            <w:r w:rsidRPr="003D1B03">
              <w:rPr>
                <w:rFonts w:ascii="Times New Roman" w:hAnsi="Times New Roman" w:cs="Times New Roman"/>
                <w:sz w:val="26"/>
                <w:szCs w:val="26"/>
              </w:rPr>
              <w:t xml:space="preserve"> (2</w:t>
            </w:r>
            <w:r w:rsidRPr="003D1B03">
              <w:rPr>
                <w:rFonts w:ascii="Times New Roman" w:hAnsi="Times New Roman" w:cs="Times New Roman"/>
                <w:sz w:val="26"/>
                <w:szCs w:val="26"/>
                <w:lang w:val="en-US"/>
              </w:rPr>
              <w:t>1</w:t>
            </w:r>
            <w:r w:rsidRPr="003D1B03">
              <w:rPr>
                <w:rFonts w:ascii="Times New Roman" w:hAnsi="Times New Roman" w:cs="Times New Roman"/>
                <w:sz w:val="26"/>
                <w:szCs w:val="26"/>
              </w:rPr>
              <w:t>,</w:t>
            </w:r>
            <w:r w:rsidRPr="003D1B03">
              <w:rPr>
                <w:rFonts w:ascii="Times New Roman" w:hAnsi="Times New Roman" w:cs="Times New Roman"/>
                <w:sz w:val="26"/>
                <w:szCs w:val="26"/>
                <w:lang w:val="en-US"/>
              </w:rPr>
              <w:t>8</w:t>
            </w:r>
            <w:r w:rsidRPr="003D1B03">
              <w:rPr>
                <w:rFonts w:ascii="Times New Roman" w:hAnsi="Times New Roman" w:cs="Times New Roman"/>
                <w:sz w:val="26"/>
                <w:szCs w:val="26"/>
              </w:rPr>
              <w:t>%)</w:t>
            </w:r>
          </w:p>
        </w:tc>
        <w:tc>
          <w:tcPr>
            <w:tcW w:w="1370" w:type="dxa"/>
            <w:tcBorders>
              <w:top w:val="single" w:sz="4" w:space="0" w:color="auto"/>
              <w:left w:val="single" w:sz="4" w:space="0" w:color="auto"/>
              <w:bottom w:val="single" w:sz="4" w:space="0" w:color="auto"/>
              <w:right w:val="single" w:sz="4" w:space="0" w:color="auto"/>
            </w:tcBorders>
            <w:vAlign w:val="center"/>
          </w:tcPr>
          <w:p w14:paraId="2B3C4DC9"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28 (41,2%)</w:t>
            </w:r>
          </w:p>
        </w:tc>
        <w:tc>
          <w:tcPr>
            <w:tcW w:w="1371" w:type="dxa"/>
            <w:tcBorders>
              <w:top w:val="single" w:sz="4" w:space="0" w:color="auto"/>
              <w:left w:val="single" w:sz="4" w:space="0" w:color="auto"/>
              <w:bottom w:val="single" w:sz="4" w:space="0" w:color="auto"/>
              <w:right w:val="single" w:sz="4" w:space="0" w:color="auto"/>
            </w:tcBorders>
            <w:vAlign w:val="center"/>
          </w:tcPr>
          <w:p w14:paraId="4380CF8B"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2</w:t>
            </w:r>
            <w:r w:rsidRPr="003D1B03">
              <w:rPr>
                <w:rFonts w:ascii="Times New Roman" w:hAnsi="Times New Roman" w:cs="Times New Roman"/>
                <w:color w:val="000000"/>
                <w:sz w:val="26"/>
                <w:szCs w:val="26"/>
                <w:lang w:val="en-US"/>
              </w:rPr>
              <w:t>5</w:t>
            </w:r>
            <w:r w:rsidRPr="003D1B03">
              <w:rPr>
                <w:rFonts w:ascii="Times New Roman" w:hAnsi="Times New Roman" w:cs="Times New Roman"/>
                <w:color w:val="000000"/>
                <w:sz w:val="26"/>
                <w:szCs w:val="26"/>
              </w:rPr>
              <w:t xml:space="preserve"> (3</w:t>
            </w:r>
            <w:r w:rsidRPr="003D1B03">
              <w:rPr>
                <w:rFonts w:ascii="Times New Roman" w:hAnsi="Times New Roman" w:cs="Times New Roman"/>
                <w:color w:val="000000"/>
                <w:sz w:val="26"/>
                <w:szCs w:val="26"/>
                <w:lang w:val="en-US"/>
              </w:rPr>
              <w:t>2</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1</w:t>
            </w:r>
            <w:r w:rsidRPr="003D1B03">
              <w:rPr>
                <w:rFonts w:ascii="Times New Roman" w:hAnsi="Times New Roman" w:cs="Times New Roman"/>
                <w:color w:val="000000"/>
                <w:sz w:val="26"/>
                <w:szCs w:val="26"/>
              </w:rPr>
              <w:t>%)</w:t>
            </w:r>
          </w:p>
        </w:tc>
      </w:tr>
      <w:tr w:rsidR="007F3D2C" w:rsidRPr="003D1B03" w14:paraId="62B3C12C" w14:textId="77777777" w:rsidTr="003D1B03">
        <w:trPr>
          <w:trHeight w:val="576"/>
          <w:jc w:val="center"/>
        </w:trPr>
        <w:tc>
          <w:tcPr>
            <w:tcW w:w="1695" w:type="dxa"/>
            <w:tcBorders>
              <w:top w:val="single" w:sz="4" w:space="0" w:color="auto"/>
              <w:left w:val="single" w:sz="4" w:space="0" w:color="auto"/>
              <w:bottom w:val="single" w:sz="4" w:space="0" w:color="auto"/>
              <w:right w:val="single" w:sz="4" w:space="0" w:color="auto"/>
            </w:tcBorders>
            <w:shd w:val="clear" w:color="auto" w:fill="auto"/>
            <w:hideMark/>
          </w:tcPr>
          <w:p w14:paraId="7DCC6CAE" w14:textId="1D7821F3" w:rsidR="007F3D2C" w:rsidRPr="003D1B03" w:rsidRDefault="007F3D2C" w:rsidP="00292B55">
            <w:pPr>
              <w:spacing w:after="0" w:line="240" w:lineRule="auto"/>
              <w:jc w:val="both"/>
              <w:rPr>
                <w:rFonts w:ascii="Times New Roman" w:hAnsi="Times New Roman" w:cs="Times New Roman"/>
                <w:bCs/>
                <w:sz w:val="26"/>
                <w:szCs w:val="26"/>
              </w:rPr>
            </w:pPr>
            <w:r w:rsidRPr="003D1B03">
              <w:rPr>
                <w:rFonts w:ascii="Times New Roman" w:hAnsi="Times New Roman" w:cs="Times New Roman"/>
                <w:bCs/>
                <w:sz w:val="26"/>
                <w:szCs w:val="26"/>
              </w:rPr>
              <w:t>офтальмолог АП</w:t>
            </w:r>
            <w:r w:rsidR="00AC5648">
              <w:rPr>
                <w:rFonts w:ascii="Times New Roman" w:hAnsi="Times New Roman" w:cs="Times New Roman"/>
                <w:bCs/>
                <w:sz w:val="26"/>
                <w:szCs w:val="26"/>
              </w:rPr>
              <w:t>У</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5808" w14:textId="77777777" w:rsidR="007F3D2C" w:rsidRPr="003D1B03" w:rsidRDefault="007F3D2C" w:rsidP="00292B55">
            <w:pPr>
              <w:spacing w:after="0" w:line="240" w:lineRule="auto"/>
              <w:jc w:val="both"/>
              <w:rPr>
                <w:rFonts w:ascii="Times New Roman" w:hAnsi="Times New Roman" w:cs="Times New Roman"/>
                <w:sz w:val="26"/>
                <w:szCs w:val="26"/>
                <w:lang w:val="en-US"/>
              </w:rPr>
            </w:pPr>
            <w:r w:rsidRPr="003D1B03">
              <w:rPr>
                <w:rFonts w:ascii="Times New Roman" w:hAnsi="Times New Roman" w:cs="Times New Roman"/>
                <w:color w:val="000000"/>
                <w:sz w:val="26"/>
                <w:szCs w:val="26"/>
              </w:rPr>
              <w:t>12 (24,0%)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7F876"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17 (</w:t>
            </w:r>
            <w:r w:rsidRPr="003D1B03">
              <w:rPr>
                <w:rFonts w:ascii="Times New Roman" w:hAnsi="Times New Roman" w:cs="Times New Roman"/>
                <w:color w:val="000000"/>
                <w:sz w:val="26"/>
                <w:szCs w:val="26"/>
                <w:lang w:val="en-US"/>
              </w:rPr>
              <w:t>30</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4</w:t>
            </w:r>
            <w:r w:rsidRPr="003D1B03">
              <w:rPr>
                <w:rFonts w:ascii="Times New Roman" w:hAnsi="Times New Roman" w:cs="Times New Roman"/>
                <w:color w:val="000000"/>
                <w:sz w:val="26"/>
                <w:szCs w:val="26"/>
              </w:rPr>
              <w:t>%)</w:t>
            </w:r>
          </w:p>
        </w:tc>
        <w:tc>
          <w:tcPr>
            <w:tcW w:w="1370" w:type="dxa"/>
            <w:tcBorders>
              <w:top w:val="single" w:sz="4" w:space="0" w:color="auto"/>
              <w:left w:val="single" w:sz="4" w:space="0" w:color="auto"/>
              <w:bottom w:val="single" w:sz="4" w:space="0" w:color="auto"/>
              <w:right w:val="single" w:sz="4" w:space="0" w:color="auto"/>
            </w:tcBorders>
            <w:vAlign w:val="center"/>
          </w:tcPr>
          <w:p w14:paraId="45F37A45"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lang w:val="en-US"/>
              </w:rPr>
              <w:t>2</w:t>
            </w:r>
            <w:r w:rsidRPr="003D1B03">
              <w:rPr>
                <w:rFonts w:ascii="Times New Roman" w:hAnsi="Times New Roman" w:cs="Times New Roman"/>
                <w:color w:val="000000"/>
                <w:sz w:val="26"/>
                <w:szCs w:val="26"/>
              </w:rPr>
              <w:t>3 (</w:t>
            </w:r>
            <w:r w:rsidRPr="003D1B03">
              <w:rPr>
                <w:rFonts w:ascii="Times New Roman" w:hAnsi="Times New Roman" w:cs="Times New Roman"/>
                <w:color w:val="000000"/>
                <w:sz w:val="26"/>
                <w:szCs w:val="26"/>
                <w:lang w:val="en-US"/>
              </w:rPr>
              <w:t>28</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4</w:t>
            </w:r>
            <w:r w:rsidRPr="003D1B03">
              <w:rPr>
                <w:rFonts w:ascii="Times New Roman" w:hAnsi="Times New Roman" w:cs="Times New Roman"/>
                <w:color w:val="000000"/>
                <w:sz w:val="26"/>
                <w:szCs w:val="26"/>
              </w:rPr>
              <w:t>%)</w:t>
            </w:r>
          </w:p>
        </w:tc>
        <w:tc>
          <w:tcPr>
            <w:tcW w:w="1371" w:type="dxa"/>
            <w:tcBorders>
              <w:top w:val="single" w:sz="4" w:space="0" w:color="auto"/>
              <w:left w:val="single" w:sz="4" w:space="0" w:color="auto"/>
              <w:bottom w:val="single" w:sz="4" w:space="0" w:color="auto"/>
              <w:right w:val="single" w:sz="4" w:space="0" w:color="auto"/>
            </w:tcBorders>
            <w:vAlign w:val="center"/>
          </w:tcPr>
          <w:p w14:paraId="28A673C6"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sz w:val="26"/>
                <w:szCs w:val="26"/>
              </w:rPr>
              <w:t>19 (</w:t>
            </w:r>
            <w:r w:rsidRPr="003D1B03">
              <w:rPr>
                <w:rFonts w:ascii="Times New Roman" w:hAnsi="Times New Roman" w:cs="Times New Roman"/>
                <w:sz w:val="26"/>
                <w:szCs w:val="26"/>
                <w:lang w:val="en-US"/>
              </w:rPr>
              <w:t>34</w:t>
            </w:r>
            <w:r w:rsidRPr="003D1B03">
              <w:rPr>
                <w:rFonts w:ascii="Times New Roman" w:hAnsi="Times New Roman" w:cs="Times New Roman"/>
                <w:sz w:val="26"/>
                <w:szCs w:val="26"/>
              </w:rPr>
              <w:t>,</w:t>
            </w:r>
            <w:r w:rsidRPr="003D1B03">
              <w:rPr>
                <w:rFonts w:ascii="Times New Roman" w:hAnsi="Times New Roman" w:cs="Times New Roman"/>
                <w:sz w:val="26"/>
                <w:szCs w:val="26"/>
                <w:lang w:val="en-US"/>
              </w:rPr>
              <w:t>5</w:t>
            </w:r>
            <w:r w:rsidRPr="003D1B03">
              <w:rPr>
                <w:rFonts w:ascii="Times New Roman" w:hAnsi="Times New Roman" w:cs="Times New Roman"/>
                <w:sz w:val="26"/>
                <w:szCs w:val="26"/>
              </w:rPr>
              <w:t>%)</w:t>
            </w:r>
          </w:p>
        </w:tc>
        <w:tc>
          <w:tcPr>
            <w:tcW w:w="1370" w:type="dxa"/>
            <w:tcBorders>
              <w:top w:val="single" w:sz="4" w:space="0" w:color="auto"/>
              <w:left w:val="single" w:sz="4" w:space="0" w:color="auto"/>
              <w:bottom w:val="single" w:sz="4" w:space="0" w:color="auto"/>
              <w:right w:val="single" w:sz="4" w:space="0" w:color="auto"/>
            </w:tcBorders>
            <w:vAlign w:val="center"/>
          </w:tcPr>
          <w:p w14:paraId="14B42A14"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27 (39,7%)</w:t>
            </w:r>
          </w:p>
        </w:tc>
        <w:tc>
          <w:tcPr>
            <w:tcW w:w="1371" w:type="dxa"/>
            <w:tcBorders>
              <w:top w:val="single" w:sz="4" w:space="0" w:color="auto"/>
              <w:left w:val="single" w:sz="4" w:space="0" w:color="auto"/>
              <w:bottom w:val="single" w:sz="4" w:space="0" w:color="auto"/>
              <w:right w:val="single" w:sz="4" w:space="0" w:color="auto"/>
            </w:tcBorders>
            <w:vAlign w:val="center"/>
          </w:tcPr>
          <w:p w14:paraId="5EBF0F1D"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lang w:val="en-US"/>
              </w:rPr>
              <w:t>3</w:t>
            </w:r>
            <w:r w:rsidRPr="003D1B03">
              <w:rPr>
                <w:rFonts w:ascii="Times New Roman" w:hAnsi="Times New Roman" w:cs="Times New Roman"/>
                <w:color w:val="000000"/>
                <w:sz w:val="26"/>
                <w:szCs w:val="26"/>
              </w:rPr>
              <w:t>1 (3</w:t>
            </w:r>
            <w:r w:rsidRPr="003D1B03">
              <w:rPr>
                <w:rFonts w:ascii="Times New Roman" w:hAnsi="Times New Roman" w:cs="Times New Roman"/>
                <w:color w:val="000000"/>
                <w:sz w:val="26"/>
                <w:szCs w:val="26"/>
                <w:lang w:val="en-US"/>
              </w:rPr>
              <w:t>9</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7</w:t>
            </w:r>
            <w:r w:rsidRPr="003D1B03">
              <w:rPr>
                <w:rFonts w:ascii="Times New Roman" w:hAnsi="Times New Roman" w:cs="Times New Roman"/>
                <w:color w:val="000000"/>
                <w:sz w:val="26"/>
                <w:szCs w:val="26"/>
              </w:rPr>
              <w:t>%)</w:t>
            </w:r>
          </w:p>
        </w:tc>
      </w:tr>
      <w:tr w:rsidR="007F3D2C" w:rsidRPr="003D1B03" w14:paraId="6FD636AF" w14:textId="77777777" w:rsidTr="003D1B03">
        <w:trPr>
          <w:trHeight w:val="288"/>
          <w:jc w:val="center"/>
        </w:trPr>
        <w:tc>
          <w:tcPr>
            <w:tcW w:w="1695" w:type="dxa"/>
            <w:tcBorders>
              <w:top w:val="single" w:sz="4" w:space="0" w:color="auto"/>
              <w:left w:val="single" w:sz="4" w:space="0" w:color="auto"/>
              <w:bottom w:val="single" w:sz="4" w:space="0" w:color="auto"/>
              <w:right w:val="single" w:sz="4" w:space="0" w:color="auto"/>
            </w:tcBorders>
            <w:shd w:val="clear" w:color="auto" w:fill="auto"/>
            <w:hideMark/>
          </w:tcPr>
          <w:p w14:paraId="25069592" w14:textId="77777777" w:rsidR="007F3D2C" w:rsidRPr="003D1B03" w:rsidRDefault="007F3D2C" w:rsidP="00292B55">
            <w:pPr>
              <w:spacing w:after="0" w:line="240" w:lineRule="auto"/>
              <w:jc w:val="both"/>
              <w:rPr>
                <w:rFonts w:ascii="Times New Roman" w:hAnsi="Times New Roman" w:cs="Times New Roman"/>
                <w:bCs/>
                <w:sz w:val="26"/>
                <w:szCs w:val="26"/>
              </w:rPr>
            </w:pPr>
            <w:r w:rsidRPr="003D1B03">
              <w:rPr>
                <w:rFonts w:ascii="Times New Roman" w:hAnsi="Times New Roman" w:cs="Times New Roman"/>
                <w:color w:val="000000"/>
                <w:sz w:val="26"/>
                <w:szCs w:val="26"/>
              </w:rPr>
              <w:t>всего обращений</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8A4BAB0"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17 (34,0%)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B1B4"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2</w:t>
            </w:r>
            <w:r w:rsidRPr="003D1B03">
              <w:rPr>
                <w:rFonts w:ascii="Times New Roman" w:hAnsi="Times New Roman" w:cs="Times New Roman"/>
                <w:color w:val="000000"/>
                <w:sz w:val="26"/>
                <w:szCs w:val="26"/>
                <w:lang w:val="en-US"/>
              </w:rPr>
              <w:t>2</w:t>
            </w:r>
            <w:r w:rsidRPr="003D1B03">
              <w:rPr>
                <w:rFonts w:ascii="Times New Roman" w:hAnsi="Times New Roman" w:cs="Times New Roman"/>
                <w:color w:val="000000"/>
                <w:sz w:val="26"/>
                <w:szCs w:val="26"/>
              </w:rPr>
              <w:t xml:space="preserve"> (</w:t>
            </w:r>
            <w:r w:rsidRPr="003D1B03">
              <w:rPr>
                <w:rFonts w:ascii="Times New Roman" w:hAnsi="Times New Roman" w:cs="Times New Roman"/>
                <w:color w:val="000000"/>
                <w:sz w:val="26"/>
                <w:szCs w:val="26"/>
                <w:lang w:val="en-US"/>
              </w:rPr>
              <w:t>39</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3</w:t>
            </w:r>
            <w:r w:rsidRPr="003D1B03">
              <w:rPr>
                <w:rFonts w:ascii="Times New Roman" w:hAnsi="Times New Roman" w:cs="Times New Roman"/>
                <w:color w:val="000000"/>
                <w:sz w:val="26"/>
                <w:szCs w:val="26"/>
              </w:rPr>
              <w:t>%)</w:t>
            </w:r>
          </w:p>
        </w:tc>
        <w:tc>
          <w:tcPr>
            <w:tcW w:w="1370" w:type="dxa"/>
            <w:tcBorders>
              <w:top w:val="single" w:sz="4" w:space="0" w:color="auto"/>
              <w:left w:val="single" w:sz="4" w:space="0" w:color="auto"/>
              <w:bottom w:val="single" w:sz="4" w:space="0" w:color="auto"/>
              <w:right w:val="single" w:sz="4" w:space="0" w:color="auto"/>
            </w:tcBorders>
            <w:vAlign w:val="center"/>
          </w:tcPr>
          <w:p w14:paraId="73A00FF8"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lang w:val="en-US"/>
              </w:rPr>
              <w:t>3</w:t>
            </w:r>
            <w:r w:rsidRPr="003D1B03">
              <w:rPr>
                <w:rFonts w:ascii="Times New Roman" w:hAnsi="Times New Roman" w:cs="Times New Roman"/>
                <w:color w:val="000000"/>
                <w:sz w:val="26"/>
                <w:szCs w:val="26"/>
              </w:rPr>
              <w:t>4 (</w:t>
            </w:r>
            <w:r w:rsidRPr="003D1B03">
              <w:rPr>
                <w:rFonts w:ascii="Times New Roman" w:hAnsi="Times New Roman" w:cs="Times New Roman"/>
                <w:color w:val="000000"/>
                <w:sz w:val="26"/>
                <w:szCs w:val="26"/>
                <w:lang w:val="en-US"/>
              </w:rPr>
              <w:t>42</w:t>
            </w:r>
            <w:r w:rsidRPr="003D1B03">
              <w:rPr>
                <w:rFonts w:ascii="Times New Roman" w:hAnsi="Times New Roman" w:cs="Times New Roman"/>
                <w:color w:val="000000"/>
                <w:sz w:val="26"/>
                <w:szCs w:val="26"/>
              </w:rPr>
              <w:t>,</w:t>
            </w:r>
            <w:r w:rsidRPr="003D1B03">
              <w:rPr>
                <w:rFonts w:ascii="Times New Roman" w:hAnsi="Times New Roman" w:cs="Times New Roman"/>
                <w:color w:val="000000"/>
                <w:sz w:val="26"/>
                <w:szCs w:val="26"/>
                <w:lang w:val="en-US"/>
              </w:rPr>
              <w:t>0</w:t>
            </w:r>
            <w:r w:rsidRPr="003D1B03">
              <w:rPr>
                <w:rFonts w:ascii="Times New Roman" w:hAnsi="Times New Roman" w:cs="Times New Roman"/>
                <w:color w:val="000000"/>
                <w:sz w:val="26"/>
                <w:szCs w:val="26"/>
              </w:rPr>
              <w:t>%)</w:t>
            </w:r>
          </w:p>
        </w:tc>
        <w:tc>
          <w:tcPr>
            <w:tcW w:w="1371" w:type="dxa"/>
            <w:tcBorders>
              <w:top w:val="single" w:sz="4" w:space="0" w:color="auto"/>
              <w:left w:val="single" w:sz="4" w:space="0" w:color="auto"/>
              <w:bottom w:val="single" w:sz="4" w:space="0" w:color="auto"/>
              <w:right w:val="single" w:sz="4" w:space="0" w:color="auto"/>
            </w:tcBorders>
            <w:vAlign w:val="center"/>
          </w:tcPr>
          <w:p w14:paraId="5E91852B"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sz w:val="26"/>
                <w:szCs w:val="26"/>
              </w:rPr>
              <w:t>41 (</w:t>
            </w:r>
            <w:r w:rsidRPr="003D1B03">
              <w:rPr>
                <w:rFonts w:ascii="Times New Roman" w:hAnsi="Times New Roman" w:cs="Times New Roman"/>
                <w:sz w:val="26"/>
                <w:szCs w:val="26"/>
                <w:lang w:val="en-US"/>
              </w:rPr>
              <w:t>74</w:t>
            </w:r>
            <w:r w:rsidRPr="003D1B03">
              <w:rPr>
                <w:rFonts w:ascii="Times New Roman" w:hAnsi="Times New Roman" w:cs="Times New Roman"/>
                <w:sz w:val="26"/>
                <w:szCs w:val="26"/>
              </w:rPr>
              <w:t>,</w:t>
            </w:r>
            <w:r w:rsidRPr="003D1B03">
              <w:rPr>
                <w:rFonts w:ascii="Times New Roman" w:hAnsi="Times New Roman" w:cs="Times New Roman"/>
                <w:sz w:val="26"/>
                <w:szCs w:val="26"/>
                <w:lang w:val="en-US"/>
              </w:rPr>
              <w:t>5</w:t>
            </w:r>
            <w:r w:rsidRPr="003D1B03">
              <w:rPr>
                <w:rFonts w:ascii="Times New Roman" w:hAnsi="Times New Roman" w:cs="Times New Roman"/>
                <w:sz w:val="26"/>
                <w:szCs w:val="26"/>
              </w:rPr>
              <w:t>%)</w:t>
            </w:r>
          </w:p>
        </w:tc>
        <w:tc>
          <w:tcPr>
            <w:tcW w:w="1370" w:type="dxa"/>
            <w:tcBorders>
              <w:top w:val="single" w:sz="4" w:space="0" w:color="auto"/>
              <w:left w:val="single" w:sz="4" w:space="0" w:color="auto"/>
              <w:bottom w:val="single" w:sz="4" w:space="0" w:color="auto"/>
              <w:right w:val="single" w:sz="4" w:space="0" w:color="auto"/>
            </w:tcBorders>
            <w:vAlign w:val="center"/>
          </w:tcPr>
          <w:p w14:paraId="0FAEA801"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rPr>
              <w:t>55 (</w:t>
            </w:r>
            <w:r w:rsidRPr="003D1B03">
              <w:rPr>
                <w:rFonts w:ascii="Times New Roman" w:hAnsi="Times New Roman" w:cs="Times New Roman"/>
                <w:color w:val="000000"/>
                <w:sz w:val="26"/>
                <w:szCs w:val="26"/>
                <w:lang w:val="en-US"/>
              </w:rPr>
              <w:t>8</w:t>
            </w:r>
            <w:r w:rsidRPr="003D1B03">
              <w:rPr>
                <w:rFonts w:ascii="Times New Roman" w:hAnsi="Times New Roman" w:cs="Times New Roman"/>
                <w:color w:val="000000"/>
                <w:sz w:val="26"/>
                <w:szCs w:val="26"/>
              </w:rPr>
              <w:t>0,9%)</w:t>
            </w:r>
          </w:p>
        </w:tc>
        <w:tc>
          <w:tcPr>
            <w:tcW w:w="1371" w:type="dxa"/>
            <w:tcBorders>
              <w:top w:val="single" w:sz="4" w:space="0" w:color="auto"/>
              <w:left w:val="single" w:sz="4" w:space="0" w:color="auto"/>
              <w:bottom w:val="single" w:sz="4" w:space="0" w:color="auto"/>
              <w:right w:val="single" w:sz="4" w:space="0" w:color="auto"/>
            </w:tcBorders>
            <w:vAlign w:val="center"/>
          </w:tcPr>
          <w:p w14:paraId="3A6FD8A0" w14:textId="77777777" w:rsidR="007F3D2C" w:rsidRPr="003D1B03" w:rsidRDefault="007F3D2C" w:rsidP="00292B55">
            <w:pPr>
              <w:spacing w:after="0" w:line="240" w:lineRule="auto"/>
              <w:jc w:val="both"/>
              <w:rPr>
                <w:rFonts w:ascii="Times New Roman" w:hAnsi="Times New Roman" w:cs="Times New Roman"/>
                <w:sz w:val="26"/>
                <w:szCs w:val="26"/>
              </w:rPr>
            </w:pPr>
            <w:r w:rsidRPr="003D1B03">
              <w:rPr>
                <w:rFonts w:ascii="Times New Roman" w:hAnsi="Times New Roman" w:cs="Times New Roman"/>
                <w:color w:val="000000"/>
                <w:sz w:val="26"/>
                <w:szCs w:val="26"/>
                <w:lang w:val="en-US"/>
              </w:rPr>
              <w:t>5</w:t>
            </w:r>
            <w:r w:rsidRPr="003D1B03">
              <w:rPr>
                <w:rFonts w:ascii="Times New Roman" w:hAnsi="Times New Roman" w:cs="Times New Roman"/>
                <w:color w:val="000000"/>
                <w:sz w:val="26"/>
                <w:szCs w:val="26"/>
              </w:rPr>
              <w:t>6 (7</w:t>
            </w:r>
            <w:r w:rsidRPr="003D1B03">
              <w:rPr>
                <w:rFonts w:ascii="Times New Roman" w:hAnsi="Times New Roman" w:cs="Times New Roman"/>
                <w:color w:val="000000"/>
                <w:sz w:val="26"/>
                <w:szCs w:val="26"/>
                <w:lang w:val="en-US"/>
              </w:rPr>
              <w:t>1</w:t>
            </w:r>
            <w:r w:rsidRPr="003D1B03">
              <w:rPr>
                <w:rFonts w:ascii="Times New Roman" w:hAnsi="Times New Roman" w:cs="Times New Roman"/>
                <w:color w:val="000000"/>
                <w:sz w:val="26"/>
                <w:szCs w:val="26"/>
              </w:rPr>
              <w:t>,8%)</w:t>
            </w:r>
          </w:p>
        </w:tc>
      </w:tr>
      <w:tr w:rsidR="007F3D2C" w:rsidRPr="003D1B03" w14:paraId="4B569B56" w14:textId="77777777" w:rsidTr="003D1B03">
        <w:trPr>
          <w:trHeight w:val="288"/>
          <w:jc w:val="center"/>
        </w:trPr>
        <w:tc>
          <w:tcPr>
            <w:tcW w:w="9918" w:type="dxa"/>
            <w:gridSpan w:val="7"/>
            <w:tcBorders>
              <w:top w:val="single" w:sz="4" w:space="0" w:color="auto"/>
              <w:left w:val="single" w:sz="4" w:space="0" w:color="auto"/>
              <w:bottom w:val="single" w:sz="4" w:space="0" w:color="auto"/>
              <w:right w:val="single" w:sz="4" w:space="0" w:color="auto"/>
            </w:tcBorders>
            <w:shd w:val="clear" w:color="auto" w:fill="auto"/>
          </w:tcPr>
          <w:p w14:paraId="07FCB922" w14:textId="77777777" w:rsidR="007F3D2C" w:rsidRPr="003D1B03" w:rsidRDefault="007F3D2C" w:rsidP="00292B55">
            <w:pPr>
              <w:spacing w:after="0" w:line="240" w:lineRule="auto"/>
              <w:jc w:val="both"/>
              <w:rPr>
                <w:rFonts w:ascii="Times New Roman" w:eastAsia="Times New Roman" w:hAnsi="Times New Roman" w:cs="Times New Roman"/>
                <w:color w:val="000000"/>
                <w:sz w:val="28"/>
                <w:szCs w:val="28"/>
              </w:rPr>
            </w:pPr>
            <w:r w:rsidRPr="003D1B03">
              <w:rPr>
                <w:rFonts w:ascii="Times New Roman" w:eastAsia="Times New Roman" w:hAnsi="Times New Roman" w:cs="Times New Roman"/>
                <w:color w:val="000000"/>
                <w:sz w:val="28"/>
                <w:szCs w:val="28"/>
              </w:rPr>
              <w:t>Примечание:</w:t>
            </w:r>
          </w:p>
          <w:p w14:paraId="05571403" w14:textId="77777777" w:rsidR="007F3D2C" w:rsidRPr="003D1B03" w:rsidRDefault="007F3D2C" w:rsidP="00292B55">
            <w:pPr>
              <w:spacing w:after="0" w:line="240" w:lineRule="auto"/>
              <w:jc w:val="both"/>
              <w:rPr>
                <w:rFonts w:ascii="Times New Roman" w:eastAsia="Times New Roman" w:hAnsi="Times New Roman" w:cs="Times New Roman"/>
                <w:color w:val="000000"/>
                <w:sz w:val="28"/>
                <w:szCs w:val="28"/>
              </w:rPr>
            </w:pPr>
            <w:r w:rsidRPr="003D1B03">
              <w:rPr>
                <w:rFonts w:ascii="Times New Roman" w:eastAsia="Times New Roman" w:hAnsi="Times New Roman" w:cs="Times New Roman"/>
                <w:color w:val="000000"/>
                <w:sz w:val="28"/>
                <w:szCs w:val="28"/>
                <w:vertAlign w:val="superscript"/>
              </w:rPr>
              <w:t>1</w:t>
            </w:r>
            <w:r w:rsidRPr="003D1B03">
              <w:rPr>
                <w:rFonts w:ascii="Times New Roman" w:eastAsia="Times New Roman" w:hAnsi="Times New Roman" w:cs="Times New Roman"/>
                <w:color w:val="000000"/>
                <w:sz w:val="28"/>
                <w:szCs w:val="28"/>
              </w:rPr>
              <w:t>n – количество детей с нарушениями рефракции в подгруппе;</w:t>
            </w:r>
          </w:p>
          <w:p w14:paraId="78A77594" w14:textId="534C8EE5" w:rsidR="007F3D2C" w:rsidRPr="003D1B03" w:rsidRDefault="007F3D2C" w:rsidP="00292B55">
            <w:pPr>
              <w:spacing w:after="0" w:line="240" w:lineRule="auto"/>
              <w:jc w:val="both"/>
              <w:rPr>
                <w:rFonts w:ascii="Times New Roman" w:eastAsia="Times New Roman" w:hAnsi="Times New Roman" w:cs="Times New Roman"/>
                <w:color w:val="000000"/>
                <w:sz w:val="26"/>
                <w:szCs w:val="26"/>
              </w:rPr>
            </w:pPr>
            <w:r w:rsidRPr="003D1B03">
              <w:rPr>
                <w:rFonts w:ascii="Times New Roman" w:eastAsia="Times New Roman" w:hAnsi="Times New Roman" w:cs="Times New Roman"/>
                <w:color w:val="000000"/>
                <w:sz w:val="28"/>
                <w:szCs w:val="28"/>
                <w:vertAlign w:val="superscript"/>
              </w:rPr>
              <w:t>2</w:t>
            </w:r>
            <w:r w:rsidRPr="003D1B03">
              <w:rPr>
                <w:rFonts w:ascii="Times New Roman" w:eastAsia="Times New Roman" w:hAnsi="Times New Roman" w:cs="Times New Roman"/>
                <w:color w:val="000000"/>
                <w:sz w:val="28"/>
                <w:szCs w:val="28"/>
              </w:rPr>
              <w:t xml:space="preserve">АПО – амбулаторно-поликлиническое </w:t>
            </w:r>
            <w:r w:rsidR="00AC5648">
              <w:rPr>
                <w:rFonts w:ascii="Times New Roman" w:eastAsia="Times New Roman" w:hAnsi="Times New Roman" w:cs="Times New Roman"/>
                <w:color w:val="000000"/>
                <w:sz w:val="28"/>
                <w:szCs w:val="28"/>
              </w:rPr>
              <w:t>учреждение</w:t>
            </w:r>
          </w:p>
        </w:tc>
      </w:tr>
    </w:tbl>
    <w:p w14:paraId="549213B9" w14:textId="77777777" w:rsidR="007F3D2C" w:rsidRPr="00910389" w:rsidRDefault="007F3D2C" w:rsidP="007F3D2C">
      <w:pPr>
        <w:pStyle w:val="a4"/>
        <w:ind w:firstLine="709"/>
        <w:jc w:val="both"/>
        <w:rPr>
          <w:rFonts w:ascii="Times New Roman" w:eastAsia="Calibri" w:hAnsi="Times New Roman" w:cs="Times New Roman"/>
          <w:sz w:val="28"/>
          <w:szCs w:val="28"/>
        </w:rPr>
      </w:pPr>
    </w:p>
    <w:p w14:paraId="030B861D" w14:textId="5B01FD96" w:rsidR="007F3D2C" w:rsidRPr="00910389" w:rsidRDefault="007F3D2C" w:rsidP="007F3D2C">
      <w:pPr>
        <w:pStyle w:val="a4"/>
        <w:ind w:firstLine="709"/>
        <w:jc w:val="both"/>
        <w:rPr>
          <w:rFonts w:ascii="Times New Roman" w:eastAsia="Calibri" w:hAnsi="Times New Roman" w:cs="Times New Roman"/>
          <w:sz w:val="28"/>
          <w:szCs w:val="28"/>
        </w:rPr>
      </w:pPr>
      <w:r w:rsidRPr="00910389">
        <w:rPr>
          <w:rFonts w:ascii="Times New Roman" w:eastAsia="Calibri" w:hAnsi="Times New Roman" w:cs="Times New Roman"/>
          <w:sz w:val="28"/>
          <w:szCs w:val="28"/>
        </w:rPr>
        <w:t xml:space="preserve">Ожидаемое увеличение обращаемости связано как с проводимой в школе диагностикой зрения, так и с прямым направлением детей с выявленными нарушениями рефракции из школ на обследование к офтальмологу. Стоит отметить тот факт, что в анализ вошли данные посещений только офтальмологических кабинетов амбулаторно-поликлинических учреждений по месту прикрепления детей и кабинета охраны зрения. Отследить посещения частных консультативных учреждений не представлялось возможным. </w:t>
      </w:r>
      <w:r w:rsidR="009F63A4" w:rsidRPr="009F63A4">
        <w:rPr>
          <w:rFonts w:ascii="Times New Roman" w:eastAsia="Calibri" w:hAnsi="Times New Roman" w:cs="Times New Roman"/>
          <w:sz w:val="28"/>
          <w:szCs w:val="28"/>
        </w:rPr>
        <w:t>[251</w:t>
      </w:r>
      <w:r w:rsidR="009F63A4">
        <w:rPr>
          <w:rFonts w:ascii="Times New Roman" w:eastAsia="Calibri" w:hAnsi="Times New Roman" w:cs="Times New Roman"/>
          <w:sz w:val="28"/>
          <w:szCs w:val="28"/>
        </w:rPr>
        <w:t xml:space="preserve">, </w:t>
      </w:r>
      <w:bookmarkStart w:id="55" w:name="_GoBack"/>
      <w:bookmarkEnd w:id="55"/>
      <w:r w:rsidR="009F63A4" w:rsidRPr="009F63A4">
        <w:rPr>
          <w:rFonts w:ascii="Times New Roman" w:eastAsia="Calibri" w:hAnsi="Times New Roman" w:cs="Times New Roman"/>
          <w:sz w:val="28"/>
          <w:szCs w:val="28"/>
        </w:rPr>
        <w:t>2</w:t>
      </w:r>
      <w:r w:rsidR="009F63A4">
        <w:rPr>
          <w:rFonts w:ascii="Times New Roman" w:eastAsia="Calibri" w:hAnsi="Times New Roman" w:cs="Times New Roman"/>
          <w:sz w:val="28"/>
          <w:szCs w:val="28"/>
          <w:lang w:val="en-US"/>
        </w:rPr>
        <w:t>52</w:t>
      </w:r>
      <w:r w:rsidR="009F63A4" w:rsidRPr="009F63A4">
        <w:rPr>
          <w:rFonts w:ascii="Times New Roman" w:eastAsia="Calibri" w:hAnsi="Times New Roman" w:cs="Times New Roman"/>
          <w:sz w:val="28"/>
          <w:szCs w:val="28"/>
        </w:rPr>
        <w:t>]</w:t>
      </w:r>
      <w:r w:rsidRPr="00910389">
        <w:rPr>
          <w:rFonts w:ascii="Times New Roman" w:eastAsia="Calibri" w:hAnsi="Times New Roman" w:cs="Times New Roman"/>
          <w:sz w:val="28"/>
          <w:szCs w:val="28"/>
        </w:rPr>
        <w:t xml:space="preserve"> </w:t>
      </w:r>
    </w:p>
    <w:p w14:paraId="1D854E0B" w14:textId="62D2DDA6" w:rsidR="00374DC5" w:rsidRPr="004804AA" w:rsidRDefault="007F3D2C" w:rsidP="007F3D2C">
      <w:pPr>
        <w:pStyle w:val="a4"/>
        <w:ind w:firstLine="709"/>
        <w:jc w:val="both"/>
        <w:rPr>
          <w:rFonts w:ascii="Times New Roman" w:hAnsi="Times New Roman" w:cs="Times New Roman"/>
          <w:sz w:val="28"/>
          <w:szCs w:val="28"/>
        </w:rPr>
      </w:pPr>
      <w:r w:rsidRPr="00910389">
        <w:rPr>
          <w:rFonts w:ascii="Times New Roman" w:eastAsia="Calibri" w:hAnsi="Times New Roman" w:cs="Times New Roman"/>
          <w:sz w:val="28"/>
          <w:szCs w:val="28"/>
        </w:rPr>
        <w:t xml:space="preserve">Таким образом, можно сказать, что выполнение рекомендаций 1 и 2 этапа Программы профилактики развития и прогрессирования аномалий рефракции у школьников привело повышению осведомленности родителей, увеличению числа обращений к офтальмологу и большему охвату детей офтальмологической помощью, своевременному выявлению осложнений и направлению на хирургическое или лазерное лечение и в целом, к улучшению офтальмологического статуса учащихся. </w:t>
      </w:r>
      <w:bookmarkEnd w:id="54"/>
      <w:r w:rsidR="00374DC5" w:rsidRPr="004804AA">
        <w:rPr>
          <w:rFonts w:ascii="Times New Roman" w:hAnsi="Times New Roman" w:cs="Times New Roman"/>
          <w:sz w:val="28"/>
          <w:szCs w:val="28"/>
        </w:rPr>
        <w:t>Разработанная поэтапная программа профилактики развития и прогрессирования аномалий рефракции у школьников позволит на более качественном уровне проводить работу по раннему выявлению учащихся со сниженной остротой зрения и по профилактике, коррекции и лечению выявленных нарушений, что соответственно снизит риск возникновения осложненных форм аномалий рефракции.</w:t>
      </w:r>
    </w:p>
    <w:p w14:paraId="1E0FCB59"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5EF8D685"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0B4A8735" w14:textId="77777777" w:rsidR="00374DC5" w:rsidRPr="004804AA" w:rsidRDefault="00374DC5" w:rsidP="005C37DF">
      <w:pPr>
        <w:spacing w:after="0" w:line="240" w:lineRule="auto"/>
        <w:ind w:firstLine="709"/>
        <w:jc w:val="both"/>
        <w:rPr>
          <w:rFonts w:ascii="Times New Roman" w:hAnsi="Times New Roman" w:cs="Times New Roman"/>
          <w:sz w:val="28"/>
          <w:szCs w:val="28"/>
        </w:rPr>
      </w:pPr>
    </w:p>
    <w:p w14:paraId="7DE994FB" w14:textId="2F01412B" w:rsidR="000A0294" w:rsidRDefault="000A0294" w:rsidP="005C37DF">
      <w:pPr>
        <w:spacing w:after="0" w:line="240" w:lineRule="auto"/>
        <w:ind w:firstLine="709"/>
        <w:jc w:val="both"/>
        <w:rPr>
          <w:rFonts w:ascii="Times New Roman" w:eastAsiaTheme="minorHAnsi" w:hAnsi="Times New Roman" w:cs="Times New Roman"/>
          <w:sz w:val="28"/>
          <w:szCs w:val="28"/>
          <w:lang w:eastAsia="en-US"/>
        </w:rPr>
      </w:pPr>
    </w:p>
    <w:p w14:paraId="2B9DEE5E" w14:textId="77777777" w:rsidR="001E612A" w:rsidRDefault="001E612A" w:rsidP="005C37DF">
      <w:pPr>
        <w:spacing w:after="0" w:line="240" w:lineRule="auto"/>
        <w:ind w:firstLine="709"/>
        <w:jc w:val="both"/>
        <w:rPr>
          <w:rFonts w:ascii="Times New Roman" w:eastAsiaTheme="minorHAnsi" w:hAnsi="Times New Roman" w:cs="Times New Roman"/>
          <w:sz w:val="28"/>
          <w:szCs w:val="28"/>
          <w:lang w:eastAsia="en-US"/>
        </w:rPr>
      </w:pPr>
    </w:p>
    <w:p w14:paraId="64CE5F18" w14:textId="77777777" w:rsidR="001E612A" w:rsidRPr="004804AA" w:rsidRDefault="001E612A" w:rsidP="005C37DF">
      <w:pPr>
        <w:spacing w:after="0" w:line="240" w:lineRule="auto"/>
        <w:ind w:firstLine="709"/>
        <w:jc w:val="both"/>
        <w:rPr>
          <w:rFonts w:ascii="Times New Roman" w:eastAsiaTheme="minorHAnsi" w:hAnsi="Times New Roman" w:cs="Times New Roman"/>
          <w:sz w:val="28"/>
          <w:szCs w:val="28"/>
          <w:lang w:eastAsia="en-US"/>
        </w:rPr>
      </w:pPr>
    </w:p>
    <w:p w14:paraId="5E2DC9AA" w14:textId="1D9E5DB2" w:rsidR="003C2773" w:rsidRPr="004804AA" w:rsidRDefault="003C2773" w:rsidP="005C37DF">
      <w:pPr>
        <w:spacing w:after="0" w:line="240" w:lineRule="auto"/>
        <w:ind w:firstLine="709"/>
        <w:jc w:val="both"/>
        <w:rPr>
          <w:rFonts w:ascii="Times New Roman" w:eastAsiaTheme="minorHAnsi" w:hAnsi="Times New Roman" w:cs="Times New Roman"/>
          <w:sz w:val="28"/>
          <w:szCs w:val="28"/>
          <w:lang w:eastAsia="en-US"/>
        </w:rPr>
      </w:pPr>
    </w:p>
    <w:p w14:paraId="6F51139B" w14:textId="361F1490" w:rsidR="003C2773" w:rsidRPr="00533A24" w:rsidRDefault="00DC0592" w:rsidP="005C37DF">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З</w:t>
      </w:r>
      <w:r w:rsidR="0073206A">
        <w:rPr>
          <w:rFonts w:ascii="Times New Roman" w:hAnsi="Times New Roman" w:cs="Times New Roman"/>
          <w:b/>
          <w:bCs/>
          <w:sz w:val="28"/>
          <w:szCs w:val="28"/>
        </w:rPr>
        <w:t>АКЛЮЧЕНИЕ</w:t>
      </w:r>
    </w:p>
    <w:p w14:paraId="146A0651" w14:textId="77777777" w:rsidR="003C2773" w:rsidRPr="004804AA" w:rsidRDefault="003C2773" w:rsidP="005C37DF">
      <w:pPr>
        <w:spacing w:after="0" w:line="240" w:lineRule="auto"/>
        <w:ind w:firstLine="709"/>
        <w:rPr>
          <w:rFonts w:ascii="Times New Roman" w:hAnsi="Times New Roman" w:cs="Times New Roman"/>
          <w:sz w:val="28"/>
          <w:szCs w:val="28"/>
        </w:rPr>
      </w:pPr>
    </w:p>
    <w:p w14:paraId="4280FF35" w14:textId="26934D93" w:rsidR="003C2773" w:rsidRPr="004804AA" w:rsidRDefault="003C2773" w:rsidP="005C37DF">
      <w:pPr>
        <w:spacing w:after="0" w:line="240" w:lineRule="auto"/>
        <w:ind w:firstLine="709"/>
        <w:jc w:val="both"/>
        <w:rPr>
          <w:rFonts w:ascii="Times New Roman" w:hAnsi="Times New Roman" w:cs="Times New Roman"/>
          <w:color w:val="000000"/>
          <w:sz w:val="28"/>
          <w:szCs w:val="28"/>
        </w:rPr>
      </w:pPr>
      <w:r w:rsidRPr="004804AA">
        <w:rPr>
          <w:rFonts w:ascii="Times New Roman" w:hAnsi="Times New Roman" w:cs="Times New Roman"/>
          <w:sz w:val="28"/>
          <w:szCs w:val="28"/>
        </w:rPr>
        <w:t xml:space="preserve">Нарушения рефракции включают в себя миопию, гиперметропию и астигматизм и являются наиболее частой причиной нарушения зрения и инвалидности у детей и подростков во всем мире </w:t>
      </w:r>
      <w:r w:rsidRPr="004804AA">
        <w:rPr>
          <w:rFonts w:ascii="Times New Roman" w:hAnsi="Times New Roman" w:cs="Times New Roman"/>
          <w:sz w:val="28"/>
          <w:szCs w:val="28"/>
        </w:rPr>
        <w:fldChar w:fldCharType="begin"/>
      </w:r>
      <w:r w:rsidR="006E34BC">
        <w:rPr>
          <w:rFonts w:ascii="Times New Roman" w:hAnsi="Times New Roman" w:cs="Times New Roman"/>
          <w:sz w:val="28"/>
          <w:szCs w:val="28"/>
        </w:rPr>
        <w:instrText xml:space="preserve"> ADDIN ZOTERO_ITEM CSL_CITATION {"citationID":"eCQ7hnCg","properties":{"formattedCitation":"[2]","plainCitation":"[2]","noteIndex":0},"citationItems":[{"id":903,"uris":["http://zotero.org/users/local/XMo5Fvid/items/DW24A5RD"],"itemData":{"id":903,"type":"article-journal","abstract":"Purpose\nWe used systematic review and meta-analysis to identify and assimilate evidence quantifying blindness and visual impairment (VI) associated with myopic macular degeneration (MMD), then derived models to predict global patterns. The models were used to estimate the global prevalence of blindness and VI associated with MMD from 2000 to 2050.\n\nMethods\nThe systematic review identified 17 papers with prevalence data for MMD VI fitting our inclusion criteria. Data from six papers with age-specific data were scaled to relative age-dependent risk and meta-analysed at VI and blindness levels. We analysed variance in all MMD VI and blindness data as a proportion of high myopia against variables from the place and year of data collection, with a model based on health expenditure providing the best correlation. We used this model to estimate the prevalence and number of people with MMD VI in each country in each decade.\n\nResults\nWe included data from 17 studies comprising 137 514 participants. We estimated 10.0 million people had VI from MMD in 2015 (prevalence 0.13%, 95% CI 5.5 to 23.7 million, 0.07% to 0.34%), 3.3 million of whom were blind (0.04%, 1.8 to 7.8 million, 0.03% to 0.10%). We estimate that by 2050, without changing current interventions, VI from MMD will grow to 55.7 million people (0.57%, 29.0 to 119.7 million, 0.33% to 1.11%), 18.5 million of whom will be blind (0.19%, 9.6 to 39.7 million, 0.11% to 0.37%).\n\nConclusion\nThe burden of MMD blindness and VI will rise significantly without efforts to reduce the development and progression of myopia and improve the management of MMD.","container-title":"The British Journal of Ophthalmology","DOI":"10.1136/bjophthalmol-2017-311266","ISSN":"0007-1161","issue":"7","journalAbbreviation":"Br J Ophthalmol","note":"PMID: 29699985\nPMCID: PMC6047154","page":"855-862","source":"PubMed Central","title":"Global prevalence of visual impairment associated with myopic macular degeneration and temporal trends from 2000 through 2050: systematic review, meta-analysis and modelling","title-short":"Global prevalence of visual impairment associated with myopic macular degeneration and temporal trends from 2000 through 2050","volume":"102","author":[{"family":"Fricke","given":"Timothy R"},{"family":"Jong","given":"Monica"},{"family":"Naidoo","given":"Kovin S"},{"family":"Sankaridurg","given":"Padmaja"},{"family":"Naduvilath","given":"Thomas J"},{"family":"Ho","given":"Suit May"},{"family":"Wong","given":"Tien Yin"},{"family":"Resnikoff","given":"Serge"}],"issued":{"date-parts":[["2018",7]]}}}],"schema":"https://github.com/citation-style-language/schema/raw/master/csl-citation.json"} </w:instrText>
      </w:r>
      <w:r w:rsidRPr="004804AA">
        <w:rPr>
          <w:rFonts w:ascii="Times New Roman" w:hAnsi="Times New Roman" w:cs="Times New Roman"/>
          <w:sz w:val="28"/>
          <w:szCs w:val="28"/>
        </w:rPr>
        <w:fldChar w:fldCharType="separate"/>
      </w:r>
      <w:r w:rsidR="006E34BC" w:rsidRPr="006E34BC">
        <w:rPr>
          <w:rFonts w:ascii="Times New Roman" w:hAnsi="Times New Roman" w:cs="Times New Roman"/>
          <w:sz w:val="28"/>
        </w:rPr>
        <w:t>[2]</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в 2004 году только от нескорректированных аномалий рефракции страдали около 12,8 </w:t>
      </w:r>
      <w:r w:rsidR="00DC1883">
        <w:rPr>
          <w:rFonts w:ascii="Times New Roman" w:hAnsi="Times New Roman" w:cs="Times New Roman"/>
          <w:sz w:val="28"/>
          <w:szCs w:val="28"/>
        </w:rPr>
        <w:t>млн</w:t>
      </w:r>
      <w:r w:rsidRPr="004804AA">
        <w:rPr>
          <w:rFonts w:ascii="Times New Roman" w:hAnsi="Times New Roman" w:cs="Times New Roman"/>
          <w:sz w:val="28"/>
          <w:szCs w:val="28"/>
        </w:rPr>
        <w:t xml:space="preserve"> детей в возрасте от 5 до 15 лет </w:t>
      </w:r>
      <w:r w:rsidRPr="004804AA">
        <w:rPr>
          <w:rFonts w:ascii="Times New Roman" w:hAnsi="Times New Roman" w:cs="Times New Roman"/>
          <w:sz w:val="28"/>
          <w:szCs w:val="28"/>
        </w:rPr>
        <w:fldChar w:fldCharType="begin"/>
      </w:r>
      <w:r w:rsidR="006E34BC">
        <w:rPr>
          <w:rFonts w:ascii="Times New Roman" w:hAnsi="Times New Roman" w:cs="Times New Roman"/>
          <w:sz w:val="28"/>
          <w:szCs w:val="28"/>
        </w:rPr>
        <w:instrText xml:space="preserve"> ADDIN ZOTERO_ITEM CSL_CITATION {"citationID":"WeiZUk7x","properties":{"formattedCitation":"[3]","plainCitation":"[3]","noteIndex":0},"citationItems":[{"id":1744,"uris":["http://zotero.org/users/local/XMo5Fvid/items/ZWJBFFPN"],"itemData":{"id":1744,"type":"article-journal","abstract":"Estimates of the prevalence of visual impairment caused by uncorrected refractive errors in 2004 have been determined at regional and global levels for people aged 5 years and over from recent published and unpublished surveys. The estimates were based on the prevalence of visual acuity of less than 6/18 in the better eye with the currently available refractive correction that could be improved to equal to or better than 6/18 by refraction or pinhole. A total of 153 million people (range of uncertainty: 123 million to 184 million) are estimated to be visually impaired from uncorrected refractive errors, of whom eight million are blind. This cause of visual impairment has been overlooked in previous estimates that were based on best-corrected vision. Combined with the 161 million people visually impaired estimated in 2002 according to best-corrected vision, 314 million people are visually impaired from all causes: uncorrected refractive errors become the main cause of low vision and the second cause of blindness. Uncorrected refractive errors can hamper performance at school, reduce employability and productivity, and generally impair quality of life. Yet the correction of refractive errors with appropriate spectacles is among the most cost-effective interventions in eye health care. The results presented in this paper help to unearth a formerly hidden problem of public health dimensions and promote policy development and implementation, programmatic decision-making and corrective interventions, as well as stimulate research.","container-title":"Bulletin of the World Health Organization","DOI":"10.2471/blt.07.041210","ISSN":"0042-9686","issue":"1","journalAbbreviation":"Bull World Health Organ","language":"eng","note":"PMID: 18235892\nPMCID: PMC2647357","page":"63-70","source":"PubMed","title":"Global magnitude of visual impairment caused by uncorrected refractive errors in 2004","volume":"86","author":[{"family":"Resnikoff","given":"Serge"},{"family":"Pascolini","given":"Donatella"},{"family":"Mariotti","given":"Silvio P."},{"family":"Pokharel","given":"Gopal P."}],"issued":{"date-parts":[["2008",1]]}}}],"schema":"https://github.com/citation-style-language/schema/raw/master/csl-citation.json"} </w:instrText>
      </w:r>
      <w:r w:rsidRPr="004804AA">
        <w:rPr>
          <w:rFonts w:ascii="Times New Roman" w:hAnsi="Times New Roman" w:cs="Times New Roman"/>
          <w:sz w:val="28"/>
          <w:szCs w:val="28"/>
        </w:rPr>
        <w:fldChar w:fldCharType="separate"/>
      </w:r>
      <w:r w:rsidR="006E34BC" w:rsidRPr="006E34BC">
        <w:rPr>
          <w:rFonts w:ascii="Times New Roman" w:hAnsi="Times New Roman" w:cs="Times New Roman"/>
          <w:sz w:val="28"/>
        </w:rPr>
        <w:t>[3]</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В последние десятилетия наблюдается неуклонный рост нарушений рефракции, обусловленный прежде всего чрезмерным увеличением миопии. Так буквально за одно поколение миопия стала серьезной проблемой для стран Восточноазиатского региона, где в настоящее время от нее страдают более 80-90% людей младше 20 лет, а миопия высокой степени затрагивает 10-20% окончивших среднюю школу в этой части мира. Аналогичные, но менее заметные изменения происходят и в других частях мира. Согласно прогнозам, к 2050 году 49,8% населения мира будут близорукими, а 9,8% населения мира будут иметь миопию высокой степени </w:t>
      </w:r>
      <w:r w:rsidRPr="004804AA">
        <w:rPr>
          <w:rFonts w:ascii="Times New Roman" w:hAnsi="Times New Roman" w:cs="Times New Roman"/>
          <w:sz w:val="28"/>
          <w:szCs w:val="28"/>
        </w:rPr>
        <w:fldChar w:fldCharType="begin"/>
      </w:r>
      <w:r w:rsidR="006E34BC">
        <w:rPr>
          <w:rFonts w:ascii="Times New Roman" w:hAnsi="Times New Roman" w:cs="Times New Roman"/>
          <w:sz w:val="28"/>
          <w:szCs w:val="28"/>
        </w:rPr>
        <w:instrText xml:space="preserve"> ADDIN ZOTERO_ITEM CSL_CITATION {"citationID":"dcL0YFsa","properties":{"formattedCitation":"[2]","plainCitation":"[2]","noteIndex":0},"citationItems":[{"id":903,"uris":["http://zotero.org/users/local/XMo5Fvid/items/DW24A5RD"],"itemData":{"id":903,"type":"article-journal","abstract":"Purpose\nWe used systematic review and meta-analysis to identify and assimilate evidence quantifying blindness and visual impairment (VI) associated with myopic macular degeneration (MMD), then derived models to predict global patterns. The models were used to estimate the global prevalence of blindness and VI associated with MMD from 2000 to 2050.\n\nMethods\nThe systematic review identified 17 papers with prevalence data for MMD VI fitting our inclusion criteria. Data from six papers with age-specific data were scaled to relative age-dependent risk and meta-analysed at VI and blindness levels. We analysed variance in all MMD VI and blindness data as a proportion of high myopia against variables from the place and year of data collection, with a model based on health expenditure providing the best correlation. We used this model to estimate the prevalence and number of people with MMD VI in each country in each decade.\n\nResults\nWe included data from 17 studies comprising 137 514 participants. We estimated 10.0 million people had VI from MMD in 2015 (prevalence 0.13%, 95% CI 5.5 to 23.7 million, 0.07% to 0.34%), 3.3 million of whom were blind (0.04%, 1.8 to 7.8 million, 0.03% to 0.10%). We estimate that by 2050, without changing current interventions, VI from MMD will grow to 55.7 million people (0.57%, 29.0 to 119.7 million, 0.33% to 1.11%), 18.5 million of whom will be blind (0.19%, 9.6 to 39.7 million, 0.11% to 0.37%).\n\nConclusion\nThe burden of MMD blindness and VI will rise significantly without efforts to reduce the development and progression of myopia and improve the management of MMD.","container-title":"The British Journal of Ophthalmology","DOI":"10.1136/bjophthalmol-2017-311266","ISSN":"0007-1161","issue":"7","journalAbbreviation":"Br J Ophthalmol","note":"PMID: 29699985\nPMCID: PMC6047154","page":"855-862","source":"PubMed Central","title":"Global prevalence of visual impairment associated with myopic macular degeneration and temporal trends from 2000 through 2050: systematic review, meta-analysis and modelling","title-short":"Global prevalence of visual impairment associated with myopic macular degeneration and temporal trends from 2000 through 2050","volume":"102","author":[{"family":"Fricke","given":"Timothy R"},{"family":"Jong","given":"Monica"},{"family":"Naidoo","given":"Kovin S"},{"family":"Sankaridurg","given":"Padmaja"},{"family":"Naduvilath","given":"Thomas J"},{"family":"Ho","given":"Suit May"},{"family":"Wong","given":"Tien Yin"},{"family":"Resnikoff","given":"Serge"}],"issued":{"date-parts":[["2018",7]]}}}],"schema":"https://github.com/citation-style-language/schema/raw/master/csl-citation.json"} </w:instrText>
      </w:r>
      <w:r w:rsidRPr="004804AA">
        <w:rPr>
          <w:rFonts w:ascii="Times New Roman" w:hAnsi="Times New Roman" w:cs="Times New Roman"/>
          <w:sz w:val="28"/>
          <w:szCs w:val="28"/>
        </w:rPr>
        <w:fldChar w:fldCharType="separate"/>
      </w:r>
      <w:r w:rsidR="006E34BC" w:rsidRPr="006E34BC">
        <w:rPr>
          <w:rFonts w:ascii="Times New Roman" w:hAnsi="Times New Roman" w:cs="Times New Roman"/>
          <w:sz w:val="28"/>
        </w:rPr>
        <w:t>[2]</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Близорукость становится серьезной глобальной проблемой не только из-за быстрого роста ее распространенности, но из-за ее связи с потенциальной необратимой слепотой. Глаза с высокой миопией, все чаще именуемой в международных публикациях «патологической миопией», в 20 раз чаще подвержены риску развития необратимых, потенциально слепящих осложнений таких, как дегенеративные изменения макулы, зрительного нерва и периферической сетчатки, отслойка сетчатки, миопическая </w:t>
      </w:r>
      <w:bookmarkStart w:id="56" w:name="_Hlk100574768"/>
      <w:r w:rsidRPr="004804AA">
        <w:rPr>
          <w:rFonts w:ascii="Times New Roman" w:hAnsi="Times New Roman" w:cs="Times New Roman"/>
          <w:sz w:val="28"/>
          <w:szCs w:val="28"/>
        </w:rPr>
        <w:t>неоваскуляризация хориоидеи, фовеошизис</w:t>
      </w:r>
      <w:bookmarkEnd w:id="56"/>
      <w:r w:rsidRPr="004804AA">
        <w:rPr>
          <w:rFonts w:ascii="Times New Roman" w:hAnsi="Times New Roman" w:cs="Times New Roman"/>
          <w:sz w:val="28"/>
          <w:szCs w:val="28"/>
        </w:rPr>
        <w:t>, глаукома и катаракта. Таким образом, увеличение распространенности и тяжести миопии высокой степени имеет не только клинические, но и социально-экономические последствия во всем мире.</w:t>
      </w:r>
    </w:p>
    <w:p w14:paraId="69CB6D6B" w14:textId="742E4850"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Все это привлекает внимание к проблеме и вызывает значительный рост исследований, направленных на изучение причин эпидемии и стратегий профилактики развития миопии. С конца 1990-х годов резко выросло число исследований, направленных на выявление причин миопии, предикторов и защитных факторов близорукости. Генетические факторы и факторы окружающей среды являются основными предикторами миопии и признаются большинством ученых. Кроме того, многочисленные международные исследования подтверждают роль поведенческих факторов, таких как распространение мобильного электронного оборудования, увеличение экранного времени, урбанизация, растущее давление в сфере образования в сочетании с изменениями образа жизни, которые привели к сокращению физической активности детей и времени, проводимому вне дома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{"citationID":"CwBTO0ix","properties":{"formattedCitation":"[244]","plainCitation":"[244]","noteIndex":0},"citationItems":[{"id":1747,"uris":["http://zotero.org/users/local/XMo5Fvid/items/JXGUM5G2"],"itemData":{"id":1747,"type":"article-journal","abstract":"Myopia has emerged as a major health issue in east Asia, because of its increasingly high prevalence in the past few decades (now 80-90% in school-leavers), and because of the sight-threatening pathologies associated with high myopia, which now affects 10-20% of those completing secondary schooling in this part of the world. Similar, but less marked, changes are occurring in other parts of the world. The higher prevalence of myopia in east Asian cities seems to be associated with increasing educational pressures, combined with life-style changes, which have reduced the time children spend outside. There are no reported major genes for school myopia, although there are several genes associated with high myopia. Any genetic contribution to ethnic differences may be small. However, to what extent many genes of small effect and gene-environment interactions contribute to variations in school myopia within populations remains to be established. There are promising optical and pharmacological interventions for preventing the development of myopia or slowing its progression, which require further validation, and promising vision-sparing treatments for pathological myopia.","container-title":"Lancet (London, England)","DOI":"10.1016/S0140-6736(12)60272-4","ISSN":"1474-547X","issue":"9827","journalAbbreviation":"Lancet","language":"eng","note":"PMID: 22559900","page":"1739-1748","source":"PubMed","title":"Myopia","volume":"379","author":[{"family":"Morgan","given":"Ian G."},{"family":"Ohno-Matsui","given":"Kyoko"},{"family":"Saw","given":"Seang-Mei"}],"issued":{"date-parts":[["2012",5,5]]}}}],"schema":"https://github.com/citation-style-language/schema/raw/master/csl-citation.json"}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[244]</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Наблюдаемые на сегодняшний тенденции в образе жизни, образовании и демографии говорят о том, что глобальная миопия будет продолжать расти. </w:t>
      </w:r>
    </w:p>
    <w:p w14:paraId="3C31818E" w14:textId="73607463"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связи с этим, наше исследование было сфокусировано на изучении текущей распространенности нарушений рефракции среди школьников, факторов риска развития миопии и эффективности программы раннего выявления рефракционных нарушений у детей. Анализ </w:t>
      </w:r>
      <w:r w:rsidR="00A829B2">
        <w:rPr>
          <w:rFonts w:ascii="Times New Roman" w:hAnsi="Times New Roman" w:cs="Times New Roman"/>
          <w:sz w:val="28"/>
          <w:szCs w:val="28"/>
        </w:rPr>
        <w:t>других</w:t>
      </w:r>
      <w:r w:rsidRPr="004804AA">
        <w:rPr>
          <w:rFonts w:ascii="Times New Roman" w:hAnsi="Times New Roman" w:cs="Times New Roman"/>
          <w:sz w:val="28"/>
          <w:szCs w:val="28"/>
        </w:rPr>
        <w:t xml:space="preserve"> исследований состояния зрительного аппарата детей, проведенные в нашей стране показал </w:t>
      </w:r>
      <w:r w:rsidRPr="004804AA">
        <w:rPr>
          <w:rFonts w:ascii="Times New Roman" w:hAnsi="Times New Roman" w:cs="Times New Roman"/>
          <w:sz w:val="28"/>
          <w:szCs w:val="28"/>
        </w:rPr>
        <w:lastRenderedPageBreak/>
        <w:t xml:space="preserve">неуклонный рост числа близоруких школьников. Так в 2002 году частота снижения зрения среди школьников составляла 7,4%. В 2006 году этот показатель составил 14,2%, причем в 39% причиной снижения зрения была миопия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{"citationID":"Dtm7z2re","properties":{"formattedCitation":"[48]","plainCitation":"[48]","noteIndex":0},"citationItems":[{"id":961,"uris":["http://zotero.org/users/local/XMo5Fvid/items/Z8ZLEEYH"],"itemData":{"id":961,"type":"article-journal","container-title":"Материалы 5-й межд. конференции","page":"19-22","title":"Причины снижения зрения у детей 12 лет по данным республиканского декадника","author":[{"family":"Аубакирова","given":"АЖ"},{"family":"Кульжанов","given":"МК"},{"family":"Токсанбаева","given":"ГК"},{"family":"Джанабаев","given":"ЧД"}],"issued":{"date-parts":[["2006"]]}}}],"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[48]</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w:t>
      </w:r>
      <w:r w:rsidR="00DF5982">
        <w:rPr>
          <w:rFonts w:ascii="Times New Roman" w:hAnsi="Times New Roman" w:cs="Times New Roman"/>
          <w:sz w:val="28"/>
          <w:szCs w:val="28"/>
        </w:rPr>
        <w:t xml:space="preserve"> По данным Искакбаевой Д.С. в 2004</w:t>
      </w:r>
      <w:r w:rsidRPr="004804AA">
        <w:rPr>
          <w:rFonts w:ascii="Times New Roman" w:hAnsi="Times New Roman" w:cs="Times New Roman"/>
          <w:sz w:val="28"/>
          <w:szCs w:val="28"/>
        </w:rPr>
        <w:t xml:space="preserve"> году 18,1% школьников Алматы страдали от нарушений рефракции, 63,7% из них </w:t>
      </w:r>
      <w:r w:rsidR="00DF5982">
        <w:rPr>
          <w:rFonts w:ascii="Times New Roman" w:hAnsi="Times New Roman" w:cs="Times New Roman"/>
          <w:sz w:val="28"/>
          <w:szCs w:val="28"/>
        </w:rPr>
        <w:t xml:space="preserve">(12,2%) </w:t>
      </w:r>
      <w:r w:rsidRPr="004804AA">
        <w:rPr>
          <w:rFonts w:ascii="Times New Roman" w:hAnsi="Times New Roman" w:cs="Times New Roman"/>
          <w:sz w:val="28"/>
          <w:szCs w:val="28"/>
        </w:rPr>
        <w:t xml:space="preserve">были близорукими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gQCAfIT0","properties":{"formattedCitation":"[245]","plainCitation":"[245]","noteIndex":0},"citationItems":[{"id":960,"uris":["http://zotero.org/users/local/XMo5Fvid/items/NGERIK2C"],"itemData":{"id":960,"type":"thesis","event-place":"Алматы","genre":"Дис. канд. мед. наук.","number-of-pages":"95","publisher-place":"Алматы","title":"Изучение частоты близорукости у школьников г.Алматы и разработка методов ее лечения","author":[{"family":"Искакбаева","given":"ДС"}],"issued":{"date-parts":[["2004"]]}}}],"schema":"https://github.com/citation-style-language/schema/raw/master/csl-citation.json"}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[245]</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w:t>
      </w:r>
      <w:r w:rsidR="00444869">
        <w:rPr>
          <w:rFonts w:ascii="Times New Roman" w:hAnsi="Times New Roman" w:cs="Times New Roman"/>
          <w:sz w:val="28"/>
          <w:szCs w:val="28"/>
        </w:rPr>
        <w:t xml:space="preserve"> </w:t>
      </w:r>
      <w:r w:rsidR="00A829B2">
        <w:rPr>
          <w:rFonts w:ascii="Times New Roman" w:hAnsi="Times New Roman" w:cs="Times New Roman"/>
          <w:sz w:val="28"/>
          <w:szCs w:val="28"/>
        </w:rPr>
        <w:t>Обследование школьников Астаны в 2023 году показало распространенность н</w:t>
      </w:r>
      <w:r w:rsidR="000F24D6">
        <w:rPr>
          <w:rFonts w:ascii="Times New Roman" w:hAnsi="Times New Roman" w:cs="Times New Roman"/>
          <w:sz w:val="28"/>
          <w:szCs w:val="28"/>
        </w:rPr>
        <w:t>а</w:t>
      </w:r>
      <w:r w:rsidR="00A829B2">
        <w:rPr>
          <w:rFonts w:ascii="Times New Roman" w:hAnsi="Times New Roman" w:cs="Times New Roman"/>
          <w:sz w:val="28"/>
          <w:szCs w:val="28"/>
        </w:rPr>
        <w:t xml:space="preserve">рушений рефракции </w:t>
      </w:r>
      <w:r w:rsidR="00082C51">
        <w:rPr>
          <w:rFonts w:ascii="Times New Roman" w:hAnsi="Times New Roman" w:cs="Times New Roman"/>
          <w:sz w:val="28"/>
          <w:szCs w:val="28"/>
        </w:rPr>
        <w:t>40,0</w:t>
      </w:r>
      <w:r w:rsidR="00A829B2" w:rsidRPr="00A829B2">
        <w:rPr>
          <w:rFonts w:ascii="Times New Roman" w:hAnsi="Times New Roman" w:cs="Times New Roman"/>
          <w:sz w:val="28"/>
          <w:szCs w:val="28"/>
        </w:rPr>
        <w:t>%</w:t>
      </w:r>
      <w:r w:rsidR="00082C51">
        <w:rPr>
          <w:rFonts w:ascii="Times New Roman" w:hAnsi="Times New Roman" w:cs="Times New Roman"/>
          <w:sz w:val="28"/>
          <w:szCs w:val="28"/>
        </w:rPr>
        <w:t xml:space="preserve"> среди детей 9-16 лет; частота миопии в этой возрастной группе составила 36,75%</w:t>
      </w:r>
      <w:r w:rsidR="00DF5982">
        <w:rPr>
          <w:rFonts w:ascii="Times New Roman" w:hAnsi="Times New Roman" w:cs="Times New Roman"/>
          <w:sz w:val="28"/>
          <w:szCs w:val="28"/>
        </w:rPr>
        <w:t>, что превышает показатели 2004 года более чем в 3 раза</w:t>
      </w:r>
      <w:r w:rsidR="00082C51">
        <w:rPr>
          <w:rFonts w:ascii="Times New Roman" w:hAnsi="Times New Roman" w:cs="Times New Roman"/>
          <w:sz w:val="28"/>
          <w:szCs w:val="28"/>
        </w:rPr>
        <w:t xml:space="preserve">. </w:t>
      </w:r>
      <w:r w:rsidR="00082C51" w:rsidRPr="00E81FA1">
        <w:rPr>
          <w:rFonts w:ascii="Times New Roman" w:hAnsi="Times New Roman" w:cs="Times New Roman"/>
          <w:sz w:val="28"/>
          <w:szCs w:val="28"/>
        </w:rPr>
        <w:t xml:space="preserve">[250] </w:t>
      </w:r>
      <w:r w:rsidRPr="00E81FA1">
        <w:rPr>
          <w:rFonts w:ascii="Times New Roman" w:hAnsi="Times New Roman" w:cs="Times New Roman"/>
          <w:sz w:val="28"/>
          <w:szCs w:val="28"/>
        </w:rPr>
        <w:t>Однако</w:t>
      </w:r>
      <w:r w:rsidRPr="004804AA">
        <w:rPr>
          <w:rFonts w:ascii="Times New Roman" w:hAnsi="Times New Roman" w:cs="Times New Roman"/>
          <w:sz w:val="28"/>
          <w:szCs w:val="28"/>
        </w:rPr>
        <w:t>, сравнение результатов этих исследований имеет ряд объективных ограничений, в связи с различием методологии исследований и классификации разных видов нарушения рефракции, в том числе миопии в этих исследованиях. Так рефракция в ряде работ определялась без учета сферического эквивалента, часть исследований не включала циклоплегическую рефракцию, имела место непрезентативная выборка участников, варьируют и пороговые значения для разных видов рефракционных ошибок, что в свою очередь значительно меняет показатели распространенности.</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 xml:space="preserve">Например, в качестве верхнего порога миопии в разных работах используют диапазон значений от (-) 1,0D - 0,5D и т. д. Кроме того, до сих пор нет единого подхода в определении </w:t>
      </w:r>
      <w:bookmarkStart w:id="57" w:name="_Hlk100574789"/>
      <w:r w:rsidRPr="004804AA">
        <w:rPr>
          <w:rFonts w:ascii="Times New Roman" w:hAnsi="Times New Roman" w:cs="Times New Roman"/>
          <w:sz w:val="28"/>
          <w:szCs w:val="28"/>
        </w:rPr>
        <w:t>псевдомиопии, предмиопии, спазма аккомодации и привычно-избыточного напряжения аккомодации</w:t>
      </w:r>
      <w:bookmarkEnd w:id="57"/>
      <w:r w:rsidRPr="004804AA">
        <w:rPr>
          <w:rFonts w:ascii="Times New Roman" w:hAnsi="Times New Roman" w:cs="Times New Roman"/>
          <w:sz w:val="28"/>
          <w:szCs w:val="28"/>
        </w:rPr>
        <w:t>. В связи с этим на данный момент невозможно оценить истинную динамику нарушений рефракции и, в частности, миопии среди школьников в Казахстане. Подобные расхождения характерны и для международных исследований, в связи с чем в 2007 году ВОЗ был принят единый протокол и руководство для исследований распространенности нарушений зрения школьников по причине нарушений рефракции (</w:t>
      </w:r>
      <w:r w:rsidRPr="004804AA">
        <w:rPr>
          <w:rFonts w:ascii="Times New Roman" w:hAnsi="Times New Roman" w:cs="Times New Roman"/>
          <w:sz w:val="28"/>
          <w:szCs w:val="28"/>
          <w:lang w:val="en-US"/>
        </w:rPr>
        <w:t>RESC</w:t>
      </w:r>
      <w:r w:rsidRPr="004804AA">
        <w:rPr>
          <w:rFonts w:ascii="Times New Roman" w:hAnsi="Times New Roman" w:cs="Times New Roman"/>
          <w:sz w:val="28"/>
          <w:szCs w:val="28"/>
        </w:rPr>
        <w:t xml:space="preserve">). </w:t>
      </w:r>
    </w:p>
    <w:p w14:paraId="5243FCB3" w14:textId="155F1814"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В первой части нашего исследования мы представили оценки распространенности миопии, дальнозоркости и астигматизма среди детей средних школ Алматы. Данная работа разрабатывалось с учетом рекомендаций протокола </w:t>
      </w:r>
      <w:r w:rsidRPr="004804AA">
        <w:rPr>
          <w:rFonts w:ascii="Times New Roman" w:hAnsi="Times New Roman" w:cs="Times New Roman"/>
          <w:sz w:val="28"/>
          <w:szCs w:val="28"/>
          <w:lang w:val="en-US"/>
        </w:rPr>
        <w:t>RESC</w:t>
      </w:r>
      <w:r w:rsidRPr="004804AA">
        <w:rPr>
          <w:rFonts w:ascii="Times New Roman" w:hAnsi="Times New Roman" w:cs="Times New Roman"/>
          <w:sz w:val="28"/>
          <w:szCs w:val="28"/>
        </w:rPr>
        <w:t>, в частности использование рандомизированной выборки, определения циклоплегической рефракции, расчет сферического эквивалента рефракции и использование рекомендуемых пороговых значений и классификаций. По нашим данным, общая распространенность нарушений рефракции среди всех обследованных школьников составила 31,6%, из них 89,4% составляла миопическая рефракция, 10,6% - гиперметропическая. На долю астигматизма приходилось 8,8% всех нарушений рефракции. Таким образом, близорукостью страда</w:t>
      </w:r>
      <w:r w:rsidRPr="0029266D">
        <w:rPr>
          <w:rFonts w:ascii="Times New Roman" w:hAnsi="Times New Roman" w:cs="Times New Roman"/>
          <w:color w:val="000000" w:themeColor="text1"/>
          <w:sz w:val="28"/>
          <w:szCs w:val="28"/>
        </w:rPr>
        <w:t>л</w:t>
      </w:r>
      <w:r w:rsidR="00C12F72" w:rsidRPr="0029266D">
        <w:rPr>
          <w:rFonts w:ascii="Times New Roman" w:hAnsi="Times New Roman" w:cs="Times New Roman"/>
          <w:color w:val="000000" w:themeColor="text1"/>
          <w:sz w:val="28"/>
          <w:szCs w:val="28"/>
        </w:rPr>
        <w:t>и</w:t>
      </w:r>
      <w:r w:rsidRPr="004804AA">
        <w:rPr>
          <w:rFonts w:ascii="Times New Roman" w:hAnsi="Times New Roman" w:cs="Times New Roman"/>
          <w:sz w:val="28"/>
          <w:szCs w:val="28"/>
        </w:rPr>
        <w:t xml:space="preserve"> 28,3% всех обследованных детей, что соответствует уровню некоторых европейских стран, таких как Израиль, Россия </w:t>
      </w:r>
      <w:r w:rsidRPr="004804AA">
        <w:rPr>
          <w:rFonts w:ascii="Times New Roman" w:hAnsi="Times New Roman" w:cs="Times New Roman"/>
          <w:sz w:val="28"/>
          <w:szCs w:val="28"/>
        </w:rPr>
        <w:fldChar w:fldCharType="begin"/>
      </w:r>
      <w:r w:rsidR="00A00EFF">
        <w:rPr>
          <w:rFonts w:ascii="Times New Roman" w:hAnsi="Times New Roman" w:cs="Times New Roman"/>
          <w:sz w:val="28"/>
          <w:szCs w:val="28"/>
        </w:rPr>
        <w:instrText xml:space="preserve"> ADDIN ZOTERO_ITEM CSL_CITATION {"citationID":"oK7vsx13","properties":{"formattedCitation":"[105; 133]","plainCitation":"[105; 133]","noteIndex":0},"citationItems":[{"id":1373,"uris":["http://zotero.org/users/local/XMo5Fvid/items/KG6QLIK7"],"itemData":{"id":1373,"type":"article-journal","abstract":"В 2000 году среди выпускников школ частота миопии достигла 26 %, гимназий и лицеев — 50 %, при этом на долю миопии высокой степени приходилось 10–12 % всех случаев миопии. Предполагается, что реальная распространенность миопии среди школьников России может оказаться несколько выше этих значений. Проведено пилотное исследование, в котором в поперечном срезе оценивали распространенность миопии среди учащихся 1, 5 и 11-х классов, обучающихся в «обычных» общеобразовательных школах и гимназиях либо лицеях Москвы, Санкт-Петербурга, Ижевска и Иванова. Объективно в естественных условиях исследовали рефракцию у 3659 школьников. В течение всего периода обучения самым распространенным видом рефракции оставалась эмметропия. Распространенность близоруких среди учеников первого класса в среднем составила 2,4 %, среди учеников пятых классов — 19,7 %, среди учеников одиннадцатых классов — 38,6 %. В 5-х и 11-х классах близорукость встречалась чаще других рефракционных нарушений. У детей, обучающихся в гимназиях и лицеях, распространенность миопии была достоверно выше во всех возрастных группах (p &lt; 0,01). Уже в первом классе гимназий и лицеев близоруких детей было 7,5 %, в то время как в «обычных» школах лишь 1,4 %. В одиннадцатых классах гимназий и лицеев близоруких детей было 50,7 %, в «обычных» школах — 30,9 %. Это подтверждает влияние образования как аддитивного фактора на распространенность близорукости. Исследование распространенности миопии должно быть продолжено в разных регионах и разных муниципальных образованиях с целью последующей разработки рациональных программ профилактики развития и прогрессирования близорукости в школе.","container-title":"Офтальмология","DOI":"10.18008/1816-5095-2018-3-348-353","ISSN":"2500-0845","issue":"3","language":"ru","license":"Авторы, публикующие в данном журнале, соглашаются со следующим:   Авторы сохраняют за собой авторские права на работу и предоставляют журналу право первой публикации работы на условиях лицензии  Creative Commons Attribution License , которая позволяет другим распространять данную работу с обязательным сохранением ссылок на авторов оригинальной работы и оригинальную публикацию в этом журнале.  Авторы сохраняют право заключать отдельные контрактные договорённости, касающиеся не-эксклюзивного распространения версии работы в опубликованном здесь виде (например, размещение ее в институтском хранилище, публикацию в книге), со ссылкой на ее оригинальную публикацию в этом журнале.  Авторы имеют право размещать их работу в сети Интернет (например в институтском хранилище или персональном сайте) до и во время процесса рассмотрения ее данным журналом, так как это может привести к продуктивному обсуждению и большему количеству ссылок на данную работу (См.  The Effect of Open Access ).","note":"number: 3","page":"348-353","source":"www.ophthalmojournal.com","title":"Распространенность миопии у школьников некоторых регионов России","volume":"15","author":[{"family":"Проскурина","given":"О. В."},{"family":"Маркова","given":"Е. Ю."},{"family":"Бржеский","given":"В. В."},{"family":"Ефимова","given":"Е. Л."},{"family":"Ефимова","given":"М. Н."},{"family":"Хватова","given":"Н. В."},{"family":"Слышалова","given":"Н. Н."},{"family":"Егорова","given":"А. В."}],"issued":{"date-parts":[["2018",10,5]]}},"label":"page"},{"id":1349,"uris":["http://zotero.org/users/local/XMo5Fvid/items/QAMHJFT4"],"itemData":{"id":1349,"type":"article-journal","container-title":"Investigative Ophthalmology &amp; Visual Science","DOI":"10.1167/iovs.04-0260","ISSN":"1552-5783","issue":"8","journalAbbreviation":"Invest. Ophthalmol. Vis. Sci.","language":"en","note":"publisher: The Association for Research in Vision and Ophthalmology","page":"2760-2765","source":"iovs.arvojournals.org","title":"The Changing Prevalence of Myopia in Young Adults: A 13-Year Series of Population-Based Prevalence Surveys","title-short":"The Changing Prevalence of Myopia in Young Adults","volume":"46","author":[{"family":"Dayan","given":"Yosefa Bar"},{"family":"Levin","given":"Avi"},{"family":"Morad","given":"Yair"},{"family":"Grotto","given":"Itamar"},{"family":"Ben-David","given":"Rachel"},{"family":"Goldberg","given":"Avishai"},{"family":"Onn","given":"Erez"},{"family":"Avni","given":"Isaac"},{"family":"Levi","given":"Yehezkel"},{"family":"Benyamini","given":"Oren Gil"}],"issued":{"date-parts":[["2005",8,1]]}},"label":"page"}],"schema":"https://github.com/citation-style-language/schema/raw/master/csl-citation.json"} </w:instrText>
      </w:r>
      <w:r w:rsidRPr="004804AA">
        <w:rPr>
          <w:rFonts w:ascii="Times New Roman" w:hAnsi="Times New Roman" w:cs="Times New Roman"/>
          <w:sz w:val="28"/>
          <w:szCs w:val="28"/>
        </w:rPr>
        <w:fldChar w:fldCharType="separate"/>
      </w:r>
      <w:r w:rsidR="00A00EFF" w:rsidRPr="00A00EFF">
        <w:rPr>
          <w:rFonts w:ascii="Times New Roman" w:hAnsi="Times New Roman" w:cs="Times New Roman"/>
          <w:sz w:val="28"/>
        </w:rPr>
        <w:t>[105; 133]</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Средний сферический эквивалент составил -0,54±1,51</w:t>
      </w:r>
      <w:r w:rsidRPr="004804AA">
        <w:rPr>
          <w:rFonts w:ascii="Times New Roman" w:hAnsi="Times New Roman" w:cs="Times New Roman"/>
          <w:sz w:val="28"/>
          <w:szCs w:val="28"/>
          <w:lang w:val="en-US"/>
        </w:rPr>
        <w:t>D</w:t>
      </w:r>
      <w:r w:rsidRPr="004804AA">
        <w:rPr>
          <w:rFonts w:ascii="Times New Roman" w:hAnsi="Times New Roman" w:cs="Times New Roman"/>
          <w:sz w:val="28"/>
          <w:szCs w:val="28"/>
        </w:rPr>
        <w:t xml:space="preserve">. Среди учащихся гимназических школ частота всех рефракционных ошибок составила 32%; частота миопии 29,1%; среди школьников общеобразовательных школ 31,3% и 27,5%. Наиболее высокие показатели нарушения рефракции и, в частности, миопии отмечались в группе учащихся 9 классов гимназических школ: 45,0% и 42,4% соответственно. Сферический эквивалент также был минимальным в этой </w:t>
      </w:r>
      <w:r w:rsidRPr="004804AA">
        <w:rPr>
          <w:rFonts w:ascii="Times New Roman" w:hAnsi="Times New Roman" w:cs="Times New Roman"/>
          <w:sz w:val="28"/>
          <w:szCs w:val="28"/>
        </w:rPr>
        <w:lastRenderedPageBreak/>
        <w:t>когорте -1,1±1,99</w:t>
      </w:r>
      <w:r w:rsidRPr="004804AA">
        <w:rPr>
          <w:rFonts w:ascii="Times New Roman" w:hAnsi="Times New Roman" w:cs="Times New Roman"/>
          <w:sz w:val="28"/>
          <w:szCs w:val="28"/>
          <w:lang w:val="en-US"/>
        </w:rPr>
        <w:t>D</w:t>
      </w:r>
      <w:r w:rsidRPr="004804AA">
        <w:rPr>
          <w:rFonts w:ascii="Times New Roman" w:hAnsi="Times New Roman" w:cs="Times New Roman"/>
          <w:sz w:val="28"/>
          <w:szCs w:val="28"/>
        </w:rPr>
        <w:t>. Для сравнения в том же классе общеобразовательной школы частота нарушений рефракции составила 41,8%, миопии 38,9%, средний сферический эквивалент -0,84±1,70</w:t>
      </w:r>
      <w:r w:rsidRPr="004804AA">
        <w:rPr>
          <w:rFonts w:ascii="Times New Roman" w:hAnsi="Times New Roman" w:cs="Times New Roman"/>
          <w:sz w:val="28"/>
          <w:szCs w:val="28"/>
          <w:lang w:val="en-US"/>
        </w:rPr>
        <w:t>D</w:t>
      </w:r>
      <w:r w:rsidRPr="004804AA">
        <w:rPr>
          <w:rFonts w:ascii="Times New Roman" w:hAnsi="Times New Roman" w:cs="Times New Roman"/>
          <w:sz w:val="28"/>
          <w:szCs w:val="28"/>
        </w:rPr>
        <w:t>. Доля детей с близорукостью высокой степени в группе гимназистов и учащихся общеобразовательных школ составила 9,0% и 4,3% соответственно, однако, этот показатель не был статистически достоверным (ОШ 2,20; 95%; 0,85-5,67).</w:t>
      </w:r>
      <w:r w:rsidR="00444869">
        <w:rPr>
          <w:rFonts w:ascii="Times New Roman" w:hAnsi="Times New Roman" w:cs="Times New Roman"/>
          <w:sz w:val="28"/>
          <w:szCs w:val="28"/>
        </w:rPr>
        <w:t xml:space="preserve"> </w:t>
      </w:r>
    </w:p>
    <w:p w14:paraId="1542503F" w14:textId="77777777"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Таким образом, данное эпидемиологическое исследование подтвердило актуальность проблемы нарушения зрения школьников в г. Алматы и привело к необходимости второго этапа исследования, направленного на изучение вероятных факторов риска развития миопии. По результатам работы нами была подтверждена достоверность уровня обучения (класса) как фактора, повышающего риск развития миопии для 5 классов (ОШ 1,78; 95% ДИ 1,26-2,52) и для 9 классов (95% ДИ 2,32-4,83). Полученные результаты согласуются с международными данными, подтверждающими корреляцию между возрастом и миопией во втором десятилетии жизни. И наоборот, пребывание на открытом воздухе более 2 часов в день (ОШ 0,61; 95% ДИ 0,43-0,86) и регулярные занятия спортом (ОШ 0,71; 95% ДИ 0,54-0,94) достоверно являлись факторами защиты развития миопии среди школьников. Эти результаты подчеркивают важность факторов окружающей среды в развитии миопии и подтверждают необходимость баланса между рабочей нагрузкой и физической активностью. Спорт и увеличение времени пребывания на свежем воздухе — это меры, которые, как доказано, уменьшают возникновение миопии, и их легко реализовать в государственных школах и дома. Влияние гаджетов (смартфонов, компьютеров, телевизоров, планшетов, игровых консолей и т.д.) на зрение школьников в нашем исследовании не было подтверждено (ОШ 1,60; 95% ДИ 0,95-2,67), как и дополнительная зрительная нагрузка на близком расстоянии, в виде дополнительных кружков, секций и домашней работы (ОШ 1,16; 95% ДИ 0,87-1,55). Несмотря на кажущуюся очевидность, достоверность этих факторов также не является однозначной по данным международных источников и сильно варьирует в различных исследованиях. </w:t>
      </w:r>
    </w:p>
    <w:p w14:paraId="2C0D45F9" w14:textId="48291B2B"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Наше исследование не показало влияния пола на восприимчивость к близорукости (ОШ 1,09; 95% ДИ 0,91-1,30), что согласуется с проведенным в 2018 году мета-анализом </w:t>
      </w:r>
      <w:r w:rsidRPr="004804AA">
        <w:rPr>
          <w:rFonts w:ascii="Times New Roman" w:hAnsi="Times New Roman" w:cs="Times New Roman"/>
          <w:sz w:val="28"/>
          <w:szCs w:val="28"/>
        </w:rPr>
        <w:fldChar w:fldCharType="begin"/>
      </w:r>
      <w:r w:rsidR="006E34BC">
        <w:rPr>
          <w:rFonts w:ascii="Times New Roman" w:hAnsi="Times New Roman" w:cs="Times New Roman"/>
          <w:sz w:val="28"/>
          <w:szCs w:val="28"/>
        </w:rPr>
        <w:instrText xml:space="preserve"> ADDIN ZOTERO_ITEM CSL_CITATION {"citationID":"fGDuCEnx","properties":{"formattedCitation":"[2]","plainCitation":"[2]","noteIndex":0},"citationItems":[{"id":903,"uris":["http://zotero.org/users/local/XMo5Fvid/items/DW24A5RD"],"itemData":{"id":903,"type":"article-journal","abstract":"Purpose\nWe used systematic review and meta-analysis to identify and assimilate evidence quantifying blindness and visual impairment (VI) associated with myopic macular degeneration (MMD), then derived models to predict global patterns. The models were used to estimate the global prevalence of blindness and VI associated with MMD from 2000 to 2050.\n\nMethods\nThe systematic review identified 17 papers with prevalence data for MMD VI fitting our inclusion criteria. Data from six papers with age-specific data were scaled to relative age-dependent risk and meta-analysed at VI and blindness levels. We analysed variance in all MMD VI and blindness data as a proportion of high myopia against variables from the place and year of data collection, with a model based on health expenditure providing the best correlation. We used this model to estimate the prevalence and number of people with MMD VI in each country in each decade.\n\nResults\nWe included data from 17 studies comprising 137 514 participants. We estimated 10.0 million people had VI from MMD in 2015 (prevalence 0.13%, 95% CI 5.5 to 23.7 million, 0.07% to 0.34%), 3.3 million of whom were blind (0.04%, 1.8 to 7.8 million, 0.03% to 0.10%). We estimate that by 2050, without changing current interventions, VI from MMD will grow to 55.7 million people (0.57%, 29.0 to 119.7 million, 0.33% to 1.11%), 18.5 million of whom will be blind (0.19%, 9.6 to 39.7 million, 0.11% to 0.37%).\n\nConclusion\nThe burden of MMD blindness and VI will rise significantly without efforts to reduce the development and progression of myopia and improve the management of MMD.","container-title":"The British Journal of Ophthalmology","DOI":"10.1136/bjophthalmol-2017-311266","ISSN":"0007-1161","issue":"7","journalAbbreviation":"Br J Ophthalmol","note":"PMID: 29699985\nPMCID: PMC6047154","page":"855-862","source":"PubMed Central","title":"Global prevalence of visual impairment associated with myopic macular degeneration and temporal trends from 2000 through 2050: systematic review, meta-analysis and modelling","title-short":"Global prevalence of visual impairment associated with myopic macular degeneration and temporal trends from 2000 through 2050","volume":"102","author":[{"family":"Fricke","given":"Timothy R"},{"family":"Jong","given":"Monica"},{"family":"Naidoo","given":"Kovin S"},{"family":"Sankaridurg","given":"Padmaja"},{"family":"Naduvilath","given":"Thomas J"},{"family":"Ho","given":"Suit May"},{"family":"Wong","given":"Tien Yin"},{"family":"Resnikoff","given":"Serge"}],"issued":{"date-parts":[["2018",7]]}}}],"schema":"https://github.com/citation-style-language/schema/raw/master/csl-citation.json"} </w:instrText>
      </w:r>
      <w:r w:rsidRPr="004804AA">
        <w:rPr>
          <w:rFonts w:ascii="Times New Roman" w:hAnsi="Times New Roman" w:cs="Times New Roman"/>
          <w:sz w:val="28"/>
          <w:szCs w:val="28"/>
        </w:rPr>
        <w:fldChar w:fldCharType="separate"/>
      </w:r>
      <w:r w:rsidR="006E34BC" w:rsidRPr="006E34BC">
        <w:rPr>
          <w:rFonts w:ascii="Times New Roman" w:hAnsi="Times New Roman" w:cs="Times New Roman"/>
          <w:sz w:val="28"/>
        </w:rPr>
        <w:t>[2]</w:t>
      </w:r>
      <w:r w:rsidRPr="004804AA">
        <w:rPr>
          <w:rFonts w:ascii="Times New Roman" w:hAnsi="Times New Roman" w:cs="Times New Roman"/>
          <w:sz w:val="28"/>
          <w:szCs w:val="28"/>
        </w:rPr>
        <w:fldChar w:fldCharType="end"/>
      </w:r>
      <w:r w:rsidRPr="004804AA">
        <w:rPr>
          <w:rFonts w:ascii="Times New Roman" w:hAnsi="Times New Roman" w:cs="Times New Roman"/>
          <w:sz w:val="28"/>
          <w:szCs w:val="28"/>
        </w:rPr>
        <w:t xml:space="preserve">. Подобные разногласия могут </w:t>
      </w:r>
      <w:r w:rsidR="00147561" w:rsidRPr="004804AA">
        <w:rPr>
          <w:rFonts w:ascii="Times New Roman" w:hAnsi="Times New Roman" w:cs="Times New Roman"/>
          <w:sz w:val="28"/>
          <w:szCs w:val="28"/>
        </w:rPr>
        <w:t>говорить,</w:t>
      </w:r>
      <w:r w:rsidRPr="004804AA">
        <w:rPr>
          <w:rFonts w:ascii="Times New Roman" w:hAnsi="Times New Roman" w:cs="Times New Roman"/>
          <w:sz w:val="28"/>
          <w:szCs w:val="28"/>
        </w:rPr>
        <w:t xml:space="preserve"> как об отсутствии такой ассоциации, так и о культурных особенностях тех или иных регионов, например большей физической активности среди мальчиков или более усердном отношении к учебе девочек. </w:t>
      </w:r>
    </w:p>
    <w:p w14:paraId="14422712" w14:textId="5F18558B" w:rsidR="003C2773" w:rsidRPr="004804AA" w:rsidRDefault="00147561"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3C2773" w:rsidRPr="004804AA">
        <w:rPr>
          <w:rFonts w:ascii="Times New Roman" w:hAnsi="Times New Roman" w:cs="Times New Roman"/>
          <w:sz w:val="28"/>
          <w:szCs w:val="28"/>
        </w:rPr>
        <w:t>иопия</w:t>
      </w:r>
      <w:r w:rsidR="00C12F72">
        <w:rPr>
          <w:rFonts w:ascii="Times New Roman" w:hAnsi="Times New Roman" w:cs="Times New Roman"/>
          <w:sz w:val="28"/>
          <w:szCs w:val="28"/>
        </w:rPr>
        <w:t xml:space="preserve"> </w:t>
      </w:r>
      <w:r w:rsidR="00C12F72" w:rsidRPr="00ED53E2">
        <w:rPr>
          <w:rFonts w:ascii="Times New Roman" w:hAnsi="Times New Roman" w:cs="Times New Roman"/>
          <w:sz w:val="28"/>
          <w:szCs w:val="28"/>
        </w:rPr>
        <w:t>у родителей</w:t>
      </w:r>
      <w:r w:rsidR="003C2773" w:rsidRPr="00ED53E2">
        <w:rPr>
          <w:rFonts w:ascii="Times New Roman" w:hAnsi="Times New Roman" w:cs="Times New Roman"/>
          <w:sz w:val="28"/>
          <w:szCs w:val="28"/>
        </w:rPr>
        <w:t xml:space="preserve"> </w:t>
      </w:r>
      <w:r w:rsidR="003C2773" w:rsidRPr="004804AA">
        <w:rPr>
          <w:rFonts w:ascii="Times New Roman" w:hAnsi="Times New Roman" w:cs="Times New Roman"/>
          <w:sz w:val="28"/>
          <w:szCs w:val="28"/>
        </w:rPr>
        <w:t xml:space="preserve">является известным и общепризнанным фактором, увеличивающим риск развития близорукости у детей. Однако, несмотря на данные одномерного анализа (ОШ 1,50; 95% ДИ 1,08-2,09), мы также не нашли достоверного подтверждения значимости семейного анамнеза в развитии миопии в ходе анализа с учетом вмешивающихся факторов (ОШ 1,38; 95% ДИ 0,98-1,94). Вероятным объяснением такого несоответствия может быть субъективность при заполнении анкет и низкий уровень осведомленности родителей; некоторые респонденты могли принять за миопию любые аномалии </w:t>
      </w:r>
      <w:r w:rsidR="003C2773" w:rsidRPr="004804AA">
        <w:rPr>
          <w:rFonts w:ascii="Times New Roman" w:hAnsi="Times New Roman" w:cs="Times New Roman"/>
          <w:sz w:val="28"/>
          <w:szCs w:val="28"/>
        </w:rPr>
        <w:lastRenderedPageBreak/>
        <w:t xml:space="preserve">рефракции, требующие очковой коррекции, например пресбиопию или дальнозоркость членов семьи, что привело к неверной классификации и ошибочным выводам. </w:t>
      </w:r>
    </w:p>
    <w:p w14:paraId="48E18733" w14:textId="77777777"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Таким образом, выявленные факторы должны учитываться в разработке профилактических мероприятий, школьном обучении и гигиеническом воспитании школьников, например поощрение занятий спортом и активных игр на улице, развитие спортивных секций при школах, контроль влияния различных факторов риска и своевременное нивелирование негативных явлений. Стратегии предотвращения миопии могут снизить в будущем распространенность миопии высокой степени и риск развития необратимых изменений и слепоты.</w:t>
      </w:r>
      <w:r w:rsidRPr="004804AA">
        <w:rPr>
          <w:rFonts w:ascii="Times New Roman" w:hAnsi="Times New Roman" w:cs="Times New Roman"/>
          <w:color w:val="000000"/>
          <w:sz w:val="28"/>
          <w:szCs w:val="28"/>
          <w:shd w:val="clear" w:color="auto" w:fill="FFFFFF"/>
        </w:rPr>
        <w:t xml:space="preserve"> </w:t>
      </w:r>
      <w:r w:rsidRPr="004804AA">
        <w:rPr>
          <w:rFonts w:ascii="Times New Roman" w:hAnsi="Times New Roman" w:cs="Times New Roman"/>
          <w:sz w:val="28"/>
          <w:szCs w:val="28"/>
        </w:rPr>
        <w:t xml:space="preserve">Кроме того, выявленные закономерности формирования миопии у школьников, требуют поиска актуальных, достоверных и экономически оправданных методов раннего выявления подобных нарушений, в связи с чем особую популярность получают разнообразные компьютерные программы и мобильные приложения. По данным некоторых исследователей, школьный скрининг необходим в регионах, где распространенность нарушений рефракции составляет более 2%. Ранняя диагностика и соответствующая коррекция важны для общего зрительного развития, улучшения успеваемости и предотвращения нарушений обучаемости среди школьников. </w:t>
      </w:r>
    </w:p>
    <w:p w14:paraId="0F0C8912" w14:textId="2980D80E"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В связи с этим на третьем этапе исследования нами было проведено изучение эффективности использования компьютерного скрининга зрения школьников. По результатам обследования 1276 школьников, программа дистантного компьютерного скрининга показала сопоставимые данные по числу нарушений рефракции среди всех обследованных детей. Чувствительность метода составила 96,9%, специфичность 96,1%. Прогностическая ценность положительного результата в общей выборке была 92,5%; отрицательного результата 98,4%. Было обнаружена более низкая прогностическая ценность скрининга среди первоклассников, что объяснимо сложностью восприятия и выполнения задач в этой возрастной группе.</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Кроме того, было обнаружено сокращение временных затрат на скрининговый осмотр школьников по сравнению с традиционным выездным медицинским офтальмологическим осмотром в среднем в 4-5 раз в первых классах и в 6-7 раз в 5-9 классах.</w:t>
      </w:r>
      <w:r w:rsidR="00444869">
        <w:rPr>
          <w:rFonts w:ascii="Times New Roman" w:hAnsi="Times New Roman" w:cs="Times New Roman"/>
          <w:sz w:val="28"/>
          <w:szCs w:val="28"/>
        </w:rPr>
        <w:t xml:space="preserve"> </w:t>
      </w:r>
      <w:r w:rsidRPr="004804AA">
        <w:rPr>
          <w:rFonts w:ascii="Times New Roman" w:hAnsi="Times New Roman" w:cs="Times New Roman"/>
          <w:sz w:val="28"/>
          <w:szCs w:val="28"/>
        </w:rPr>
        <w:t xml:space="preserve">Полученные данные показали эффективность компьютерного скрининга и позволяет рекомендовать его для широкого внедрения в школьные программы скрининга нарушений рефракции. Мы предполагаем, что раннее обнаружение нарушений рефракции у школьников будет способствовать своевременному лечению, тем самым минимизируя их влияние на все аспекты жизни ребенка. Для этого нами была разработана программа профилактики развития и прогрессирования </w:t>
      </w:r>
      <w:r w:rsidR="00ED53E2">
        <w:rPr>
          <w:rFonts w:ascii="Times New Roman" w:hAnsi="Times New Roman" w:cs="Times New Roman"/>
          <w:sz w:val="28"/>
          <w:szCs w:val="28"/>
        </w:rPr>
        <w:t>аномалий рефракции у школьников,</w:t>
      </w:r>
      <w:r w:rsidRPr="004804AA">
        <w:rPr>
          <w:rFonts w:ascii="Times New Roman" w:hAnsi="Times New Roman" w:cs="Times New Roman"/>
          <w:sz w:val="28"/>
          <w:szCs w:val="28"/>
        </w:rPr>
        <w:t xml:space="preserve"> включающая 4 основных этапа (кабинет информатики в школе, офтальмолог районной поликлиники, кабинет охраны зрения детей и подростков, офтальмологический стационар). Ключевым звеном является проведение компьютерного скрининга, по результатам которого врачом кабинета охраны зрения составляются группы риска (списки А, </w:t>
      </w:r>
      <w:r w:rsidRPr="004804AA">
        <w:rPr>
          <w:rFonts w:ascii="Times New Roman" w:hAnsi="Times New Roman" w:cs="Times New Roman"/>
          <w:sz w:val="28"/>
          <w:szCs w:val="28"/>
          <w:lang w:val="en-US"/>
        </w:rPr>
        <w:t>B</w:t>
      </w:r>
      <w:r w:rsidRPr="004804AA">
        <w:rPr>
          <w:rFonts w:ascii="Times New Roman" w:hAnsi="Times New Roman" w:cs="Times New Roman"/>
          <w:sz w:val="28"/>
          <w:szCs w:val="28"/>
        </w:rPr>
        <w:t xml:space="preserve">, С). Выявление групп риска позволяет более целенаправленно </w:t>
      </w:r>
      <w:r w:rsidRPr="004804AA">
        <w:rPr>
          <w:rFonts w:ascii="Times New Roman" w:hAnsi="Times New Roman" w:cs="Times New Roman"/>
          <w:sz w:val="28"/>
          <w:szCs w:val="28"/>
        </w:rPr>
        <w:lastRenderedPageBreak/>
        <w:t xml:space="preserve">и адресно охватить, и работать с детьми с нарушениями рефракции. Программа предусматривает проведение медикаментозных и аппаратных методов профилактики, а также консервативных и хирургических методов лечения. Согласно программе, дети из разных списков находятся диспансерном учете, распределяются для наблюдения и коррекции в районную или городскую поликлинику или в кабинет охраны зрения. Дети, требующие лазерного, стационарного или хирургического лечения направляются в Казахский НИИ глазных болезней. Таким образом, программа охватывает все уровни оказания офтальмологической помощи детям с нарушениями рефракции. В течение учебного года программа была успешно апробирована на базе 2 средних школ г.Алматы и может рекомендоваться для широкого внедрения. </w:t>
      </w:r>
    </w:p>
    <w:p w14:paraId="6EF32D56" w14:textId="77777777" w:rsidR="003C2773" w:rsidRPr="004804AA" w:rsidRDefault="003C2773" w:rsidP="005C37DF">
      <w:pPr>
        <w:spacing w:after="0" w:line="240" w:lineRule="auto"/>
        <w:ind w:firstLine="709"/>
        <w:rPr>
          <w:rFonts w:ascii="Times New Roman" w:hAnsi="Times New Roman" w:cs="Times New Roman"/>
          <w:sz w:val="28"/>
          <w:szCs w:val="28"/>
        </w:rPr>
      </w:pPr>
    </w:p>
    <w:p w14:paraId="000619B4" w14:textId="64478F33"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На основании проведенного </w:t>
      </w:r>
      <w:r w:rsidR="004730F2">
        <w:rPr>
          <w:rFonts w:ascii="Times New Roman" w:hAnsi="Times New Roman" w:cs="Times New Roman"/>
          <w:sz w:val="28"/>
          <w:szCs w:val="28"/>
        </w:rPr>
        <w:t xml:space="preserve">выборочного </w:t>
      </w:r>
      <w:r w:rsidRPr="004804AA">
        <w:rPr>
          <w:rFonts w:ascii="Times New Roman" w:hAnsi="Times New Roman" w:cs="Times New Roman"/>
          <w:sz w:val="28"/>
          <w:szCs w:val="28"/>
        </w:rPr>
        <w:t xml:space="preserve">исследования сделаны следующие </w:t>
      </w:r>
      <w:r w:rsidRPr="004804AA">
        <w:rPr>
          <w:rFonts w:ascii="Times New Roman" w:hAnsi="Times New Roman" w:cs="Times New Roman"/>
          <w:b/>
          <w:bCs/>
          <w:sz w:val="28"/>
          <w:szCs w:val="28"/>
        </w:rPr>
        <w:t>выводы:</w:t>
      </w:r>
    </w:p>
    <w:p w14:paraId="0514C8D7" w14:textId="7970A257" w:rsidR="003C2773" w:rsidRPr="00F41992" w:rsidRDefault="003C2773" w:rsidP="00052A1C">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1. Распространенность всех нарушений рефракции среди школьников г.Алматы составляет 31,6%. В структуре нарушений рефракции частота миопии составила 89,4%, гиперметропии – 10,6%, астигматизма – 8,8%, что делает миопию лидирующей патологией. Общая распространенность миопии среди школьников составила 28,3%, что соответствует общемировым данным. </w:t>
      </w:r>
      <w:r w:rsidR="00052A1C">
        <w:rPr>
          <w:rFonts w:ascii="Times New Roman" w:hAnsi="Times New Roman" w:cs="Times New Roman"/>
          <w:sz w:val="28"/>
          <w:szCs w:val="28"/>
        </w:rPr>
        <w:t xml:space="preserve">Среди учащихся 9-х классов, миопия встречалась в 2,3 раза чаще, чем среди первоклассников (40,5% против 17,6%, </w:t>
      </w:r>
      <w:r w:rsidR="00052A1C">
        <w:rPr>
          <w:rFonts w:ascii="Times New Roman" w:hAnsi="Times New Roman" w:cs="Times New Roman"/>
          <w:sz w:val="28"/>
          <w:szCs w:val="28"/>
          <w:lang w:val="en-US"/>
        </w:rPr>
        <w:t>p</w:t>
      </w:r>
      <w:r w:rsidR="00052A1C" w:rsidRPr="00052A1C">
        <w:rPr>
          <w:rFonts w:ascii="Times New Roman" w:hAnsi="Times New Roman" w:cs="Times New Roman"/>
          <w:sz w:val="28"/>
          <w:szCs w:val="28"/>
        </w:rPr>
        <w:t xml:space="preserve"> </w:t>
      </w:r>
      <w:r w:rsidR="00052A1C">
        <w:rPr>
          <w:rFonts w:ascii="Calibri" w:hAnsi="Calibri" w:cs="Calibri"/>
          <w:sz w:val="28"/>
          <w:szCs w:val="28"/>
        </w:rPr>
        <w:t>&lt;</w:t>
      </w:r>
      <w:r w:rsidR="00052A1C">
        <w:rPr>
          <w:rFonts w:ascii="Times New Roman" w:hAnsi="Times New Roman" w:cs="Times New Roman"/>
          <w:sz w:val="28"/>
          <w:szCs w:val="28"/>
        </w:rPr>
        <w:t>0,01)</w:t>
      </w:r>
      <w:r w:rsidR="00F41992">
        <w:rPr>
          <w:rFonts w:ascii="Times New Roman" w:hAnsi="Times New Roman" w:cs="Times New Roman"/>
          <w:sz w:val="28"/>
          <w:szCs w:val="28"/>
        </w:rPr>
        <w:t>.</w:t>
      </w:r>
    </w:p>
    <w:p w14:paraId="09699E4B" w14:textId="405EE183"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2. Факторами риска развития миопии среди алматинских школьников </w:t>
      </w:r>
      <w:r w:rsidRPr="00ED53E2">
        <w:rPr>
          <w:rFonts w:ascii="Times New Roman" w:hAnsi="Times New Roman" w:cs="Times New Roman"/>
          <w:sz w:val="28"/>
          <w:szCs w:val="28"/>
        </w:rPr>
        <w:t xml:space="preserve">является </w:t>
      </w:r>
      <w:r w:rsidR="00C12F72" w:rsidRPr="00ED53E2">
        <w:rPr>
          <w:rFonts w:ascii="Times New Roman" w:hAnsi="Times New Roman" w:cs="Times New Roman"/>
          <w:sz w:val="28"/>
          <w:szCs w:val="28"/>
        </w:rPr>
        <w:t>год</w:t>
      </w:r>
      <w:r w:rsidRPr="00ED53E2">
        <w:rPr>
          <w:rFonts w:ascii="Times New Roman" w:hAnsi="Times New Roman" w:cs="Times New Roman"/>
          <w:sz w:val="28"/>
          <w:szCs w:val="28"/>
        </w:rPr>
        <w:t xml:space="preserve"> </w:t>
      </w:r>
      <w:r w:rsidRPr="004804AA">
        <w:rPr>
          <w:rFonts w:ascii="Times New Roman" w:hAnsi="Times New Roman" w:cs="Times New Roman"/>
          <w:sz w:val="28"/>
          <w:szCs w:val="28"/>
        </w:rPr>
        <w:t>обучения (класс), который повышает риск миопии в 1,78 раза для 5 класса и в 3,34 раза для 9 классов</w:t>
      </w:r>
      <w:r w:rsidR="00596C35">
        <w:rPr>
          <w:rFonts w:ascii="Times New Roman" w:hAnsi="Times New Roman" w:cs="Times New Roman"/>
          <w:sz w:val="28"/>
          <w:szCs w:val="28"/>
        </w:rPr>
        <w:t xml:space="preserve"> по сравнению с частотой миопии у первоклассников</w:t>
      </w:r>
      <w:r w:rsidRPr="004804AA">
        <w:rPr>
          <w:rFonts w:ascii="Times New Roman" w:hAnsi="Times New Roman" w:cs="Times New Roman"/>
          <w:sz w:val="28"/>
          <w:szCs w:val="28"/>
        </w:rPr>
        <w:t xml:space="preserve">. </w:t>
      </w:r>
      <w:r w:rsidR="00862A01">
        <w:rPr>
          <w:rFonts w:ascii="Times New Roman" w:hAnsi="Times New Roman" w:cs="Times New Roman"/>
          <w:sz w:val="28"/>
          <w:szCs w:val="28"/>
        </w:rPr>
        <w:t xml:space="preserve">Риск развития миопии у детей, проводящих на открытом воздухе менее 2 часов в день на </w:t>
      </w:r>
      <w:r w:rsidR="00051BEB">
        <w:rPr>
          <w:rFonts w:ascii="Times New Roman" w:hAnsi="Times New Roman" w:cs="Times New Roman"/>
          <w:sz w:val="28"/>
          <w:szCs w:val="28"/>
        </w:rPr>
        <w:t>59</w:t>
      </w:r>
      <w:r w:rsidR="00862A01">
        <w:rPr>
          <w:rFonts w:ascii="Times New Roman" w:hAnsi="Times New Roman" w:cs="Times New Roman"/>
          <w:sz w:val="28"/>
          <w:szCs w:val="28"/>
        </w:rPr>
        <w:t>% выше, чем у тех, кто гуляет</w:t>
      </w:r>
      <w:r w:rsidRPr="004804AA">
        <w:rPr>
          <w:rFonts w:ascii="Times New Roman" w:hAnsi="Times New Roman" w:cs="Times New Roman"/>
          <w:sz w:val="28"/>
          <w:szCs w:val="28"/>
        </w:rPr>
        <w:t xml:space="preserve"> более 2 часов (ОШ 0,6</w:t>
      </w:r>
      <w:r w:rsidR="00051BEB">
        <w:rPr>
          <w:rFonts w:ascii="Times New Roman" w:hAnsi="Times New Roman" w:cs="Times New Roman"/>
          <w:sz w:val="28"/>
          <w:szCs w:val="28"/>
        </w:rPr>
        <w:t>3; 95% ДИ 0,4</w:t>
      </w:r>
      <w:r w:rsidR="002206BC">
        <w:rPr>
          <w:rFonts w:ascii="Times New Roman" w:hAnsi="Times New Roman" w:cs="Times New Roman"/>
          <w:sz w:val="28"/>
          <w:szCs w:val="28"/>
        </w:rPr>
        <w:t>5</w:t>
      </w:r>
      <w:r w:rsidR="00051BEB">
        <w:rPr>
          <w:rFonts w:ascii="Times New Roman" w:hAnsi="Times New Roman" w:cs="Times New Roman"/>
          <w:sz w:val="28"/>
          <w:szCs w:val="28"/>
        </w:rPr>
        <w:t>-0,88</w:t>
      </w:r>
      <w:r w:rsidRPr="004804AA">
        <w:rPr>
          <w:rFonts w:ascii="Times New Roman" w:hAnsi="Times New Roman" w:cs="Times New Roman"/>
          <w:sz w:val="28"/>
          <w:szCs w:val="28"/>
        </w:rPr>
        <w:t xml:space="preserve">), </w:t>
      </w:r>
      <w:r w:rsidR="00862A01">
        <w:rPr>
          <w:rFonts w:ascii="Times New Roman" w:hAnsi="Times New Roman" w:cs="Times New Roman"/>
          <w:sz w:val="28"/>
          <w:szCs w:val="28"/>
        </w:rPr>
        <w:t xml:space="preserve">а </w:t>
      </w:r>
      <w:r w:rsidR="00230F88">
        <w:rPr>
          <w:rFonts w:ascii="Times New Roman" w:hAnsi="Times New Roman" w:cs="Times New Roman"/>
          <w:sz w:val="28"/>
          <w:szCs w:val="28"/>
        </w:rPr>
        <w:t>среди неспортивных детей на 4</w:t>
      </w:r>
      <w:r w:rsidR="00051BEB">
        <w:rPr>
          <w:rFonts w:ascii="Times New Roman" w:hAnsi="Times New Roman" w:cs="Times New Roman"/>
          <w:sz w:val="28"/>
          <w:szCs w:val="28"/>
        </w:rPr>
        <w:t>5</w:t>
      </w:r>
      <w:r w:rsidR="00230F88">
        <w:rPr>
          <w:rFonts w:ascii="Times New Roman" w:hAnsi="Times New Roman" w:cs="Times New Roman"/>
          <w:sz w:val="28"/>
          <w:szCs w:val="28"/>
        </w:rPr>
        <w:t xml:space="preserve">% выше, чем у детей, </w:t>
      </w:r>
      <w:r w:rsidRPr="004804AA">
        <w:rPr>
          <w:rFonts w:ascii="Times New Roman" w:hAnsi="Times New Roman" w:cs="Times New Roman"/>
          <w:sz w:val="28"/>
          <w:szCs w:val="28"/>
        </w:rPr>
        <w:t>регулярн</w:t>
      </w:r>
      <w:r w:rsidR="00230F88">
        <w:rPr>
          <w:rFonts w:ascii="Times New Roman" w:hAnsi="Times New Roman" w:cs="Times New Roman"/>
          <w:sz w:val="28"/>
          <w:szCs w:val="28"/>
        </w:rPr>
        <w:t>о</w:t>
      </w:r>
      <w:r w:rsidRPr="004804AA">
        <w:rPr>
          <w:rFonts w:ascii="Times New Roman" w:hAnsi="Times New Roman" w:cs="Times New Roman"/>
          <w:sz w:val="28"/>
          <w:szCs w:val="28"/>
        </w:rPr>
        <w:t xml:space="preserve"> зан</w:t>
      </w:r>
      <w:r w:rsidR="00230F88">
        <w:rPr>
          <w:rFonts w:ascii="Times New Roman" w:hAnsi="Times New Roman" w:cs="Times New Roman"/>
          <w:sz w:val="28"/>
          <w:szCs w:val="28"/>
        </w:rPr>
        <w:t>имающихся</w:t>
      </w:r>
      <w:r w:rsidRPr="004804AA">
        <w:rPr>
          <w:rFonts w:ascii="Times New Roman" w:hAnsi="Times New Roman" w:cs="Times New Roman"/>
          <w:sz w:val="28"/>
          <w:szCs w:val="28"/>
        </w:rPr>
        <w:t xml:space="preserve"> спортом (ОШ 0,</w:t>
      </w:r>
      <w:r w:rsidR="00051BEB">
        <w:rPr>
          <w:rFonts w:ascii="Times New Roman" w:hAnsi="Times New Roman" w:cs="Times New Roman"/>
          <w:sz w:val="28"/>
          <w:szCs w:val="28"/>
        </w:rPr>
        <w:t>69</w:t>
      </w:r>
      <w:r w:rsidRPr="004804AA">
        <w:rPr>
          <w:rFonts w:ascii="Times New Roman" w:hAnsi="Times New Roman" w:cs="Times New Roman"/>
          <w:sz w:val="28"/>
          <w:szCs w:val="28"/>
        </w:rPr>
        <w:t>; 95% ДИ 0,5</w:t>
      </w:r>
      <w:r w:rsidR="008A24D4">
        <w:rPr>
          <w:rFonts w:ascii="Times New Roman" w:hAnsi="Times New Roman" w:cs="Times New Roman"/>
          <w:sz w:val="28"/>
          <w:szCs w:val="28"/>
        </w:rPr>
        <w:t>2</w:t>
      </w:r>
      <w:r w:rsidRPr="004804AA">
        <w:rPr>
          <w:rFonts w:ascii="Times New Roman" w:hAnsi="Times New Roman" w:cs="Times New Roman"/>
          <w:sz w:val="28"/>
          <w:szCs w:val="28"/>
        </w:rPr>
        <w:t>-0,9</w:t>
      </w:r>
      <w:r w:rsidR="008A24D4">
        <w:rPr>
          <w:rFonts w:ascii="Times New Roman" w:hAnsi="Times New Roman" w:cs="Times New Roman"/>
          <w:sz w:val="28"/>
          <w:szCs w:val="28"/>
        </w:rPr>
        <w:t>3</w:t>
      </w:r>
      <w:r w:rsidRPr="004804AA">
        <w:rPr>
          <w:rFonts w:ascii="Times New Roman" w:hAnsi="Times New Roman" w:cs="Times New Roman"/>
          <w:sz w:val="28"/>
          <w:szCs w:val="28"/>
        </w:rPr>
        <w:t>).</w:t>
      </w:r>
    </w:p>
    <w:p w14:paraId="33EA62F9" w14:textId="396ABC45" w:rsidR="003C2773" w:rsidRPr="004804AA"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3. Проведенный сравнительный анализ не </w:t>
      </w:r>
      <w:r w:rsidR="00664C51">
        <w:rPr>
          <w:rFonts w:ascii="Times New Roman" w:hAnsi="Times New Roman" w:cs="Times New Roman"/>
          <w:sz w:val="28"/>
          <w:szCs w:val="28"/>
        </w:rPr>
        <w:t>показал</w:t>
      </w:r>
      <w:r w:rsidRPr="004804AA">
        <w:rPr>
          <w:rFonts w:ascii="Times New Roman" w:hAnsi="Times New Roman" w:cs="Times New Roman"/>
          <w:sz w:val="28"/>
          <w:szCs w:val="28"/>
        </w:rPr>
        <w:t xml:space="preserve"> существенных различий в выявлении нарушений рефракции между методом традиционного медосмотра и методом дистан</w:t>
      </w:r>
      <w:r w:rsidR="00C54E13">
        <w:rPr>
          <w:rFonts w:ascii="Times New Roman" w:hAnsi="Times New Roman" w:cs="Times New Roman"/>
          <w:sz w:val="28"/>
          <w:szCs w:val="28"/>
        </w:rPr>
        <w:t>тного</w:t>
      </w:r>
      <w:r w:rsidRPr="004804AA">
        <w:rPr>
          <w:rFonts w:ascii="Times New Roman" w:hAnsi="Times New Roman" w:cs="Times New Roman"/>
          <w:sz w:val="28"/>
          <w:szCs w:val="28"/>
        </w:rPr>
        <w:t xml:space="preserve"> скрининга. Чувствительность дистантного компьютерного</w:t>
      </w:r>
      <w:r w:rsidR="00C12F72">
        <w:rPr>
          <w:rFonts w:ascii="Times New Roman" w:hAnsi="Times New Roman" w:cs="Times New Roman"/>
          <w:sz w:val="28"/>
          <w:szCs w:val="28"/>
        </w:rPr>
        <w:t xml:space="preserve"> </w:t>
      </w:r>
      <w:r w:rsidR="00F227D2">
        <w:rPr>
          <w:rFonts w:ascii="Times New Roman" w:hAnsi="Times New Roman" w:cs="Times New Roman"/>
          <w:sz w:val="28"/>
          <w:szCs w:val="28"/>
        </w:rPr>
        <w:t xml:space="preserve">скрининга </w:t>
      </w:r>
      <w:r w:rsidRPr="004804AA">
        <w:rPr>
          <w:rFonts w:ascii="Times New Roman" w:hAnsi="Times New Roman" w:cs="Times New Roman"/>
          <w:sz w:val="28"/>
          <w:szCs w:val="28"/>
        </w:rPr>
        <w:t>составила 96,9%, специфичность 96,1%. Отмечалось сокращение временных затрат по сравнению с рутинным медицинским осмотром в среднем в 5 раз.</w:t>
      </w:r>
      <w:r w:rsidR="00444869">
        <w:rPr>
          <w:rFonts w:ascii="Times New Roman" w:hAnsi="Times New Roman" w:cs="Times New Roman"/>
          <w:sz w:val="28"/>
          <w:szCs w:val="28"/>
        </w:rPr>
        <w:t xml:space="preserve"> </w:t>
      </w:r>
    </w:p>
    <w:p w14:paraId="59D8DA40" w14:textId="47EA2117" w:rsidR="003C2773"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4. </w:t>
      </w:r>
      <w:r w:rsidR="0061263C">
        <w:rPr>
          <w:rFonts w:ascii="Times New Roman" w:hAnsi="Times New Roman" w:cs="Times New Roman"/>
          <w:sz w:val="28"/>
          <w:szCs w:val="28"/>
        </w:rPr>
        <w:t>Полученные данные способствовали р</w:t>
      </w:r>
      <w:r w:rsidRPr="001C5371">
        <w:rPr>
          <w:rFonts w:ascii="Times New Roman" w:hAnsi="Times New Roman" w:cs="Times New Roman"/>
          <w:sz w:val="28"/>
          <w:szCs w:val="28"/>
        </w:rPr>
        <w:t>азработ</w:t>
      </w:r>
      <w:r w:rsidR="0061263C">
        <w:rPr>
          <w:rFonts w:ascii="Times New Roman" w:hAnsi="Times New Roman" w:cs="Times New Roman"/>
          <w:sz w:val="28"/>
          <w:szCs w:val="28"/>
        </w:rPr>
        <w:t>ке</w:t>
      </w:r>
      <w:r w:rsidRPr="001C5371">
        <w:rPr>
          <w:rFonts w:ascii="Times New Roman" w:hAnsi="Times New Roman" w:cs="Times New Roman"/>
          <w:sz w:val="28"/>
          <w:szCs w:val="28"/>
        </w:rPr>
        <w:t xml:space="preserve"> поэтапная программ</w:t>
      </w:r>
      <w:r w:rsidR="0061263C">
        <w:rPr>
          <w:rFonts w:ascii="Times New Roman" w:hAnsi="Times New Roman" w:cs="Times New Roman"/>
          <w:sz w:val="28"/>
          <w:szCs w:val="28"/>
        </w:rPr>
        <w:t>ы</w:t>
      </w:r>
      <w:r w:rsidRPr="001C5371">
        <w:rPr>
          <w:rFonts w:ascii="Times New Roman" w:hAnsi="Times New Roman" w:cs="Times New Roman"/>
          <w:sz w:val="28"/>
          <w:szCs w:val="28"/>
        </w:rPr>
        <w:t xml:space="preserve"> профилактики развития и прогрессирования аномалий рефракции у школьников</w:t>
      </w:r>
      <w:r w:rsidR="0061263C">
        <w:rPr>
          <w:rFonts w:ascii="Times New Roman" w:hAnsi="Times New Roman" w:cs="Times New Roman"/>
          <w:sz w:val="28"/>
          <w:szCs w:val="28"/>
        </w:rPr>
        <w:t>. П</w:t>
      </w:r>
      <w:r w:rsidR="000F31DF">
        <w:rPr>
          <w:rFonts w:ascii="Times New Roman" w:hAnsi="Times New Roman" w:cs="Times New Roman"/>
          <w:sz w:val="28"/>
          <w:szCs w:val="28"/>
        </w:rPr>
        <w:t>рограмма</w:t>
      </w:r>
      <w:r w:rsidR="0061263C">
        <w:rPr>
          <w:rFonts w:ascii="Times New Roman" w:hAnsi="Times New Roman" w:cs="Times New Roman"/>
          <w:sz w:val="28"/>
          <w:szCs w:val="28"/>
        </w:rPr>
        <w:t xml:space="preserve"> </w:t>
      </w:r>
      <w:r w:rsidR="000F31DF">
        <w:rPr>
          <w:rFonts w:ascii="Times New Roman" w:hAnsi="Times New Roman" w:cs="Times New Roman"/>
          <w:sz w:val="28"/>
          <w:szCs w:val="28"/>
        </w:rPr>
        <w:t>включает в себя скрининговые, диагностические, диспансерные и лечебные мероприятия и позволяет проводить</w:t>
      </w:r>
      <w:r w:rsidR="00C815CD">
        <w:rPr>
          <w:rFonts w:ascii="Times New Roman" w:hAnsi="Times New Roman" w:cs="Times New Roman"/>
          <w:sz w:val="28"/>
          <w:szCs w:val="28"/>
        </w:rPr>
        <w:t xml:space="preserve"> динамическое наблюдение за детьми из группы риска развития и прогрессирования миопии</w:t>
      </w:r>
      <w:r w:rsidR="000F31DF">
        <w:rPr>
          <w:rFonts w:ascii="Times New Roman" w:hAnsi="Times New Roman" w:cs="Times New Roman"/>
          <w:sz w:val="28"/>
          <w:szCs w:val="28"/>
        </w:rPr>
        <w:t>. Благодаря четкой структуре программа обеспечивает преемственность специалистов на всех этапах, способствуя п</w:t>
      </w:r>
      <w:r w:rsidRPr="001C5371">
        <w:rPr>
          <w:rFonts w:ascii="Times New Roman" w:hAnsi="Times New Roman" w:cs="Times New Roman"/>
          <w:sz w:val="28"/>
          <w:szCs w:val="28"/>
        </w:rPr>
        <w:t>овы</w:t>
      </w:r>
      <w:r w:rsidR="000F31DF">
        <w:rPr>
          <w:rFonts w:ascii="Times New Roman" w:hAnsi="Times New Roman" w:cs="Times New Roman"/>
          <w:sz w:val="28"/>
          <w:szCs w:val="28"/>
        </w:rPr>
        <w:t>шению</w:t>
      </w:r>
      <w:r w:rsidRPr="001C5371">
        <w:rPr>
          <w:rFonts w:ascii="Times New Roman" w:hAnsi="Times New Roman" w:cs="Times New Roman"/>
          <w:sz w:val="28"/>
          <w:szCs w:val="28"/>
        </w:rPr>
        <w:t xml:space="preserve"> эффективност</w:t>
      </w:r>
      <w:r w:rsidR="000F31DF">
        <w:rPr>
          <w:rFonts w:ascii="Times New Roman" w:hAnsi="Times New Roman" w:cs="Times New Roman"/>
          <w:sz w:val="28"/>
          <w:szCs w:val="28"/>
        </w:rPr>
        <w:t>и</w:t>
      </w:r>
      <w:r w:rsidRPr="001C5371">
        <w:rPr>
          <w:rFonts w:ascii="Times New Roman" w:hAnsi="Times New Roman" w:cs="Times New Roman"/>
          <w:sz w:val="28"/>
          <w:szCs w:val="28"/>
        </w:rPr>
        <w:t xml:space="preserve"> раннего выявления</w:t>
      </w:r>
      <w:r w:rsidR="000F31DF">
        <w:rPr>
          <w:rFonts w:ascii="Times New Roman" w:hAnsi="Times New Roman" w:cs="Times New Roman"/>
          <w:sz w:val="28"/>
          <w:szCs w:val="28"/>
        </w:rPr>
        <w:t>, коррекции</w:t>
      </w:r>
      <w:r w:rsidRPr="001C5371">
        <w:rPr>
          <w:rFonts w:ascii="Times New Roman" w:hAnsi="Times New Roman" w:cs="Times New Roman"/>
          <w:sz w:val="28"/>
          <w:szCs w:val="28"/>
        </w:rPr>
        <w:t xml:space="preserve"> аномалий рефракции, </w:t>
      </w:r>
      <w:r w:rsidR="000F31DF">
        <w:rPr>
          <w:rFonts w:ascii="Times New Roman" w:hAnsi="Times New Roman" w:cs="Times New Roman"/>
          <w:sz w:val="28"/>
          <w:szCs w:val="28"/>
        </w:rPr>
        <w:t xml:space="preserve">своевременного лечения и профилактики осложнений со стороны органа зрения у детей и подростков.  </w:t>
      </w:r>
    </w:p>
    <w:p w14:paraId="4396B147" w14:textId="77777777" w:rsidR="00147561" w:rsidRDefault="00147561" w:rsidP="005C37DF">
      <w:pPr>
        <w:spacing w:after="0" w:line="240" w:lineRule="auto"/>
        <w:ind w:firstLine="709"/>
        <w:jc w:val="both"/>
        <w:rPr>
          <w:rFonts w:ascii="Times New Roman" w:hAnsi="Times New Roman" w:cs="Times New Roman"/>
          <w:b/>
          <w:bCs/>
          <w:sz w:val="28"/>
          <w:szCs w:val="28"/>
        </w:rPr>
      </w:pPr>
    </w:p>
    <w:p w14:paraId="6F39AE67" w14:textId="51714134" w:rsidR="003C2773" w:rsidRDefault="00DD3843" w:rsidP="005C37DF">
      <w:pPr>
        <w:spacing w:after="0" w:line="240" w:lineRule="auto"/>
        <w:ind w:firstLine="709"/>
        <w:jc w:val="both"/>
        <w:rPr>
          <w:rFonts w:ascii="Times New Roman" w:hAnsi="Times New Roman" w:cs="Times New Roman"/>
          <w:b/>
          <w:bCs/>
          <w:sz w:val="28"/>
          <w:szCs w:val="28"/>
        </w:rPr>
      </w:pPr>
      <w:r w:rsidRPr="00DD3843">
        <w:rPr>
          <w:rFonts w:ascii="Times New Roman" w:hAnsi="Times New Roman" w:cs="Times New Roman"/>
          <w:b/>
          <w:bCs/>
          <w:sz w:val="28"/>
          <w:szCs w:val="28"/>
        </w:rPr>
        <w:lastRenderedPageBreak/>
        <w:t>ПРАКТИЧЕСКИЕ РЕКОМЕНДАЦИИ</w:t>
      </w:r>
    </w:p>
    <w:p w14:paraId="00DF3C30" w14:textId="77777777" w:rsidR="005509CB" w:rsidRPr="00DD3843" w:rsidRDefault="005509CB" w:rsidP="005C37DF">
      <w:pPr>
        <w:spacing w:after="0" w:line="240" w:lineRule="auto"/>
        <w:ind w:firstLine="709"/>
        <w:jc w:val="both"/>
        <w:rPr>
          <w:rFonts w:ascii="Times New Roman" w:hAnsi="Times New Roman" w:cs="Times New Roman"/>
          <w:b/>
          <w:bCs/>
          <w:sz w:val="28"/>
          <w:szCs w:val="28"/>
        </w:rPr>
      </w:pPr>
    </w:p>
    <w:p w14:paraId="009B813C" w14:textId="737161B7" w:rsidR="004C3499" w:rsidRDefault="003C2773" w:rsidP="005C37DF">
      <w:pPr>
        <w:spacing w:after="0" w:line="240" w:lineRule="auto"/>
        <w:ind w:firstLine="709"/>
        <w:jc w:val="both"/>
        <w:rPr>
          <w:rFonts w:ascii="Times New Roman" w:hAnsi="Times New Roman" w:cs="Times New Roman"/>
          <w:sz w:val="28"/>
          <w:szCs w:val="28"/>
        </w:rPr>
      </w:pPr>
      <w:r w:rsidRPr="004804AA">
        <w:rPr>
          <w:rFonts w:ascii="Times New Roman" w:hAnsi="Times New Roman" w:cs="Times New Roman"/>
          <w:sz w:val="28"/>
          <w:szCs w:val="28"/>
        </w:rPr>
        <w:t xml:space="preserve">Учитывая междисциплинарный характер проблемы, </w:t>
      </w:r>
      <w:r w:rsidR="001F6B06">
        <w:rPr>
          <w:rFonts w:ascii="Times New Roman" w:hAnsi="Times New Roman" w:cs="Times New Roman"/>
          <w:sz w:val="28"/>
          <w:szCs w:val="28"/>
        </w:rPr>
        <w:t>считаем необходимым</w:t>
      </w:r>
      <w:r w:rsidRPr="004804AA">
        <w:rPr>
          <w:rFonts w:ascii="Times New Roman" w:hAnsi="Times New Roman" w:cs="Times New Roman"/>
          <w:sz w:val="28"/>
          <w:szCs w:val="28"/>
        </w:rPr>
        <w:t xml:space="preserve"> вовлечение в сотрудничество Министерства здравоохранения РК, Министерства науки </w:t>
      </w:r>
      <w:r w:rsidR="0066116A">
        <w:rPr>
          <w:rFonts w:ascii="Times New Roman" w:hAnsi="Times New Roman" w:cs="Times New Roman"/>
          <w:sz w:val="28"/>
          <w:szCs w:val="28"/>
        </w:rPr>
        <w:t xml:space="preserve">и высшего образования </w:t>
      </w:r>
      <w:r w:rsidRPr="004804AA">
        <w:rPr>
          <w:rFonts w:ascii="Times New Roman" w:hAnsi="Times New Roman" w:cs="Times New Roman"/>
          <w:sz w:val="28"/>
          <w:szCs w:val="28"/>
        </w:rPr>
        <w:t>РК, департаментов и организаций образования, Министерств</w:t>
      </w:r>
      <w:r w:rsidR="0083072D">
        <w:rPr>
          <w:rFonts w:ascii="Times New Roman" w:hAnsi="Times New Roman" w:cs="Times New Roman"/>
          <w:sz w:val="28"/>
          <w:szCs w:val="28"/>
        </w:rPr>
        <w:t>о культуры</w:t>
      </w:r>
      <w:r w:rsidRPr="004804AA">
        <w:rPr>
          <w:rFonts w:ascii="Times New Roman" w:hAnsi="Times New Roman" w:cs="Times New Roman"/>
          <w:sz w:val="28"/>
          <w:szCs w:val="28"/>
        </w:rPr>
        <w:t xml:space="preserve"> и спорта РК</w:t>
      </w:r>
      <w:r w:rsidR="004C3499">
        <w:rPr>
          <w:rFonts w:ascii="Times New Roman" w:hAnsi="Times New Roman" w:cs="Times New Roman"/>
          <w:sz w:val="28"/>
          <w:szCs w:val="28"/>
        </w:rPr>
        <w:t>, Министерство и комитеты информации и коммуникаций</w:t>
      </w:r>
      <w:r w:rsidRPr="004804AA">
        <w:rPr>
          <w:rFonts w:ascii="Times New Roman" w:hAnsi="Times New Roman" w:cs="Times New Roman"/>
          <w:sz w:val="28"/>
          <w:szCs w:val="28"/>
        </w:rPr>
        <w:t xml:space="preserve">. </w:t>
      </w:r>
    </w:p>
    <w:p w14:paraId="0BC37AD1" w14:textId="11E02B64" w:rsidR="002E2C7B" w:rsidRDefault="004C3499" w:rsidP="002E2C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3072D">
        <w:rPr>
          <w:rFonts w:ascii="Times New Roman" w:hAnsi="Times New Roman" w:cs="Times New Roman"/>
          <w:sz w:val="28"/>
          <w:szCs w:val="28"/>
        </w:rPr>
        <w:t xml:space="preserve">Основываясь на опыте других стран, мы предлагаем </w:t>
      </w:r>
      <w:r w:rsidR="00215C39">
        <w:rPr>
          <w:rFonts w:ascii="Times New Roman" w:hAnsi="Times New Roman" w:cs="Times New Roman"/>
          <w:sz w:val="28"/>
          <w:szCs w:val="28"/>
        </w:rPr>
        <w:t xml:space="preserve">Министерству науки </w:t>
      </w:r>
      <w:r w:rsidR="00C4356C">
        <w:rPr>
          <w:rFonts w:ascii="Times New Roman" w:hAnsi="Times New Roman" w:cs="Times New Roman"/>
          <w:sz w:val="28"/>
          <w:szCs w:val="28"/>
        </w:rPr>
        <w:t xml:space="preserve">и высшего образования РК </w:t>
      </w:r>
      <w:r w:rsidR="0083072D">
        <w:rPr>
          <w:rFonts w:ascii="Times New Roman" w:hAnsi="Times New Roman" w:cs="Times New Roman"/>
          <w:sz w:val="28"/>
          <w:szCs w:val="28"/>
        </w:rPr>
        <w:t>р</w:t>
      </w:r>
      <w:r w:rsidR="003C2773" w:rsidRPr="004804AA">
        <w:rPr>
          <w:rFonts w:ascii="Times New Roman" w:hAnsi="Times New Roman" w:cs="Times New Roman"/>
          <w:sz w:val="28"/>
          <w:szCs w:val="28"/>
        </w:rPr>
        <w:t>ассмотреть варианты по</w:t>
      </w:r>
      <w:r w:rsidR="0083072D">
        <w:rPr>
          <w:rFonts w:ascii="Times New Roman" w:hAnsi="Times New Roman" w:cs="Times New Roman"/>
          <w:sz w:val="28"/>
          <w:szCs w:val="28"/>
        </w:rPr>
        <w:t>степенного дол</w:t>
      </w:r>
      <w:r w:rsidR="003C2773" w:rsidRPr="004804AA">
        <w:rPr>
          <w:rFonts w:ascii="Times New Roman" w:hAnsi="Times New Roman" w:cs="Times New Roman"/>
          <w:sz w:val="28"/>
          <w:szCs w:val="28"/>
        </w:rPr>
        <w:t xml:space="preserve">госрочного изменения государственной школьной программы в пользу </w:t>
      </w:r>
      <w:r w:rsidR="00215C39">
        <w:rPr>
          <w:rFonts w:ascii="Times New Roman" w:hAnsi="Times New Roman" w:cs="Times New Roman"/>
          <w:sz w:val="28"/>
          <w:szCs w:val="28"/>
        </w:rPr>
        <w:t xml:space="preserve">сокращения монотонной зрительной нагрузки, </w:t>
      </w:r>
      <w:r w:rsidR="002E2C7B">
        <w:rPr>
          <w:rFonts w:ascii="Times New Roman" w:hAnsi="Times New Roman" w:cs="Times New Roman"/>
          <w:sz w:val="28"/>
          <w:szCs w:val="28"/>
        </w:rPr>
        <w:t xml:space="preserve">снижения «градуса» цифровизации образовательного процесса, ограничение использования мобильных телефонов в процессе обучения. </w:t>
      </w:r>
    </w:p>
    <w:p w14:paraId="56424D13" w14:textId="7D2C7D03" w:rsidR="002E2C7B" w:rsidRDefault="002E2C7B" w:rsidP="002E2C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Департаменту образования, школам гимназического типа, школам полного дня рекомендуем </w:t>
      </w:r>
      <w:r w:rsidR="0000646E">
        <w:rPr>
          <w:rFonts w:ascii="Times New Roman" w:hAnsi="Times New Roman" w:cs="Times New Roman"/>
          <w:sz w:val="28"/>
          <w:szCs w:val="28"/>
        </w:rPr>
        <w:t xml:space="preserve">рассмотреть возможность </w:t>
      </w:r>
      <w:r w:rsidR="00215C39">
        <w:rPr>
          <w:rFonts w:ascii="Times New Roman" w:hAnsi="Times New Roman" w:cs="Times New Roman"/>
          <w:sz w:val="28"/>
          <w:szCs w:val="28"/>
        </w:rPr>
        <w:t xml:space="preserve">увеличения часов физической активности, </w:t>
      </w:r>
      <w:r w:rsidR="003C2773" w:rsidRPr="004804AA">
        <w:rPr>
          <w:rFonts w:ascii="Times New Roman" w:hAnsi="Times New Roman" w:cs="Times New Roman"/>
          <w:sz w:val="28"/>
          <w:szCs w:val="28"/>
        </w:rPr>
        <w:t>проведения части занятий на открытом воздухе, увеличения длительности перемен</w:t>
      </w:r>
      <w:r w:rsidR="00EE586F">
        <w:rPr>
          <w:rFonts w:ascii="Times New Roman" w:hAnsi="Times New Roman" w:cs="Times New Roman"/>
          <w:sz w:val="28"/>
          <w:szCs w:val="28"/>
        </w:rPr>
        <w:t>, проведение</w:t>
      </w:r>
      <w:r w:rsidR="00EE586F" w:rsidRPr="004804AA">
        <w:rPr>
          <w:rFonts w:ascii="Times New Roman" w:hAnsi="Times New Roman" w:cs="Times New Roman"/>
          <w:sz w:val="28"/>
          <w:szCs w:val="28"/>
        </w:rPr>
        <w:t xml:space="preserve"> внутришкольных спортивных </w:t>
      </w:r>
      <w:r w:rsidR="00EE586F">
        <w:rPr>
          <w:rFonts w:ascii="Times New Roman" w:hAnsi="Times New Roman" w:cs="Times New Roman"/>
          <w:sz w:val="28"/>
          <w:szCs w:val="28"/>
        </w:rPr>
        <w:t xml:space="preserve">мероприятий, в </w:t>
      </w:r>
      <w:r>
        <w:rPr>
          <w:rFonts w:ascii="Times New Roman" w:hAnsi="Times New Roman" w:cs="Times New Roman"/>
          <w:sz w:val="28"/>
          <w:szCs w:val="28"/>
        </w:rPr>
        <w:t xml:space="preserve">том числе и на открытом воздухе. </w:t>
      </w:r>
      <w:r w:rsidR="004C3499">
        <w:rPr>
          <w:rFonts w:ascii="Times New Roman" w:hAnsi="Times New Roman" w:cs="Times New Roman"/>
          <w:sz w:val="28"/>
          <w:szCs w:val="28"/>
        </w:rPr>
        <w:t xml:space="preserve">Кроме того, рекомендуем школам возобновить практику «физкультурных минуток», «зрительных зарядок» во время уроков и перемен. </w:t>
      </w:r>
    </w:p>
    <w:p w14:paraId="12E48781" w14:textId="4EAED8BD" w:rsidR="003C2773" w:rsidRPr="004804AA" w:rsidRDefault="0000646E"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15C39">
        <w:rPr>
          <w:rFonts w:ascii="Times New Roman" w:hAnsi="Times New Roman" w:cs="Times New Roman"/>
          <w:sz w:val="28"/>
          <w:szCs w:val="28"/>
        </w:rPr>
        <w:t xml:space="preserve">. </w:t>
      </w:r>
      <w:r w:rsidR="004C3499">
        <w:rPr>
          <w:rFonts w:ascii="Times New Roman" w:hAnsi="Times New Roman" w:cs="Times New Roman"/>
          <w:sz w:val="28"/>
          <w:szCs w:val="28"/>
        </w:rPr>
        <w:t>Необходимо п</w:t>
      </w:r>
      <w:r w:rsidR="003C2773" w:rsidRPr="004804AA">
        <w:rPr>
          <w:rFonts w:ascii="Times New Roman" w:hAnsi="Times New Roman" w:cs="Times New Roman"/>
          <w:sz w:val="28"/>
          <w:szCs w:val="28"/>
        </w:rPr>
        <w:t>оощрение спортивной активности учащихся, проведения спартакиад, внутри</w:t>
      </w:r>
      <w:r w:rsidR="0083072D">
        <w:rPr>
          <w:rFonts w:ascii="Times New Roman" w:hAnsi="Times New Roman" w:cs="Times New Roman"/>
          <w:sz w:val="28"/>
          <w:szCs w:val="28"/>
        </w:rPr>
        <w:t>-</w:t>
      </w:r>
      <w:r w:rsidR="003C2773" w:rsidRPr="004804AA">
        <w:rPr>
          <w:rFonts w:ascii="Times New Roman" w:hAnsi="Times New Roman" w:cs="Times New Roman"/>
          <w:sz w:val="28"/>
          <w:szCs w:val="28"/>
        </w:rPr>
        <w:t xml:space="preserve"> и межшкольных соревнований. Совместно с Министерством </w:t>
      </w:r>
      <w:r w:rsidR="0083072D">
        <w:rPr>
          <w:rFonts w:ascii="Times New Roman" w:hAnsi="Times New Roman" w:cs="Times New Roman"/>
          <w:sz w:val="28"/>
          <w:szCs w:val="28"/>
        </w:rPr>
        <w:t>культуры</w:t>
      </w:r>
      <w:r w:rsidR="00215C39">
        <w:rPr>
          <w:rFonts w:ascii="Times New Roman" w:hAnsi="Times New Roman" w:cs="Times New Roman"/>
          <w:sz w:val="28"/>
          <w:szCs w:val="28"/>
        </w:rPr>
        <w:t>, туризма</w:t>
      </w:r>
      <w:r w:rsidR="003C2773" w:rsidRPr="004804AA">
        <w:rPr>
          <w:rFonts w:ascii="Times New Roman" w:hAnsi="Times New Roman" w:cs="Times New Roman"/>
          <w:sz w:val="28"/>
          <w:szCs w:val="28"/>
        </w:rPr>
        <w:t xml:space="preserve"> и спорта </w:t>
      </w:r>
      <w:r w:rsidR="00EE586F">
        <w:rPr>
          <w:rFonts w:ascii="Times New Roman" w:hAnsi="Times New Roman" w:cs="Times New Roman"/>
          <w:sz w:val="28"/>
          <w:szCs w:val="28"/>
        </w:rPr>
        <w:t xml:space="preserve">предлагаем </w:t>
      </w:r>
      <w:r w:rsidR="003C2773" w:rsidRPr="004804AA">
        <w:rPr>
          <w:rFonts w:ascii="Times New Roman" w:hAnsi="Times New Roman" w:cs="Times New Roman"/>
          <w:sz w:val="28"/>
          <w:szCs w:val="28"/>
        </w:rPr>
        <w:t xml:space="preserve">разработать стратегию повышения престижа различных видов спорта, </w:t>
      </w:r>
      <w:r w:rsidR="00EE586F">
        <w:rPr>
          <w:rFonts w:ascii="Times New Roman" w:hAnsi="Times New Roman" w:cs="Times New Roman"/>
          <w:sz w:val="28"/>
          <w:szCs w:val="28"/>
        </w:rPr>
        <w:t xml:space="preserve">расширение сети бесплатных </w:t>
      </w:r>
      <w:r w:rsidR="00F760E2">
        <w:rPr>
          <w:rFonts w:ascii="Times New Roman" w:hAnsi="Times New Roman" w:cs="Times New Roman"/>
          <w:sz w:val="28"/>
          <w:szCs w:val="28"/>
        </w:rPr>
        <w:t xml:space="preserve">и бюджетных </w:t>
      </w:r>
      <w:r w:rsidR="00EE586F">
        <w:rPr>
          <w:rFonts w:ascii="Times New Roman" w:hAnsi="Times New Roman" w:cs="Times New Roman"/>
          <w:sz w:val="28"/>
          <w:szCs w:val="28"/>
        </w:rPr>
        <w:t xml:space="preserve">спортивных </w:t>
      </w:r>
      <w:r w:rsidR="00EE586F" w:rsidRPr="004804AA">
        <w:rPr>
          <w:rFonts w:ascii="Times New Roman" w:hAnsi="Times New Roman" w:cs="Times New Roman"/>
          <w:sz w:val="28"/>
          <w:szCs w:val="28"/>
        </w:rPr>
        <w:t>кружков</w:t>
      </w:r>
      <w:r w:rsidR="00EE586F">
        <w:rPr>
          <w:rFonts w:ascii="Times New Roman" w:hAnsi="Times New Roman" w:cs="Times New Roman"/>
          <w:sz w:val="28"/>
          <w:szCs w:val="28"/>
        </w:rPr>
        <w:t xml:space="preserve">, школ, клубов </w:t>
      </w:r>
      <w:r w:rsidR="00EE586F" w:rsidRPr="004804AA">
        <w:rPr>
          <w:rFonts w:ascii="Times New Roman" w:hAnsi="Times New Roman" w:cs="Times New Roman"/>
          <w:sz w:val="28"/>
          <w:szCs w:val="28"/>
        </w:rPr>
        <w:t>и секций</w:t>
      </w:r>
      <w:r w:rsidR="00EE586F">
        <w:rPr>
          <w:rFonts w:ascii="Times New Roman" w:hAnsi="Times New Roman" w:cs="Times New Roman"/>
          <w:sz w:val="28"/>
          <w:szCs w:val="28"/>
        </w:rPr>
        <w:t>,</w:t>
      </w:r>
      <w:r w:rsidR="00EE586F" w:rsidRPr="004804AA">
        <w:rPr>
          <w:rFonts w:ascii="Times New Roman" w:hAnsi="Times New Roman" w:cs="Times New Roman"/>
          <w:sz w:val="28"/>
          <w:szCs w:val="28"/>
        </w:rPr>
        <w:t xml:space="preserve"> </w:t>
      </w:r>
      <w:r w:rsidR="003C2773" w:rsidRPr="004804AA">
        <w:rPr>
          <w:rFonts w:ascii="Times New Roman" w:hAnsi="Times New Roman" w:cs="Times New Roman"/>
          <w:sz w:val="28"/>
          <w:szCs w:val="28"/>
        </w:rPr>
        <w:t xml:space="preserve">открытие туристических баз, </w:t>
      </w:r>
      <w:r w:rsidR="00EE586F">
        <w:rPr>
          <w:rFonts w:ascii="Times New Roman" w:hAnsi="Times New Roman" w:cs="Times New Roman"/>
          <w:sz w:val="28"/>
          <w:szCs w:val="28"/>
        </w:rPr>
        <w:t>организаци</w:t>
      </w:r>
      <w:r w:rsidR="006A636C">
        <w:rPr>
          <w:rFonts w:ascii="Times New Roman" w:hAnsi="Times New Roman" w:cs="Times New Roman"/>
          <w:sz w:val="28"/>
          <w:szCs w:val="28"/>
        </w:rPr>
        <w:t>ю</w:t>
      </w:r>
      <w:r w:rsidR="00EE586F">
        <w:rPr>
          <w:rFonts w:ascii="Times New Roman" w:hAnsi="Times New Roman" w:cs="Times New Roman"/>
          <w:sz w:val="28"/>
          <w:szCs w:val="28"/>
        </w:rPr>
        <w:t xml:space="preserve"> </w:t>
      </w:r>
      <w:r w:rsidR="003C2773" w:rsidRPr="004804AA">
        <w:rPr>
          <w:rFonts w:ascii="Times New Roman" w:hAnsi="Times New Roman" w:cs="Times New Roman"/>
          <w:sz w:val="28"/>
          <w:szCs w:val="28"/>
        </w:rPr>
        <w:t>велодорожек,</w:t>
      </w:r>
      <w:r w:rsidR="00EE586F">
        <w:rPr>
          <w:rFonts w:ascii="Times New Roman" w:hAnsi="Times New Roman" w:cs="Times New Roman"/>
          <w:sz w:val="28"/>
          <w:szCs w:val="28"/>
        </w:rPr>
        <w:t xml:space="preserve"> спортивных площадок,</w:t>
      </w:r>
      <w:r w:rsidR="003C2773" w:rsidRPr="004804AA">
        <w:rPr>
          <w:rFonts w:ascii="Times New Roman" w:hAnsi="Times New Roman" w:cs="Times New Roman"/>
          <w:sz w:val="28"/>
          <w:szCs w:val="28"/>
        </w:rPr>
        <w:t xml:space="preserve"> </w:t>
      </w:r>
      <w:r w:rsidR="006A636C">
        <w:rPr>
          <w:rFonts w:ascii="Times New Roman" w:hAnsi="Times New Roman" w:cs="Times New Roman"/>
          <w:sz w:val="28"/>
          <w:szCs w:val="28"/>
        </w:rPr>
        <w:t xml:space="preserve">ворк-аутов, </w:t>
      </w:r>
      <w:r w:rsidR="003C2773" w:rsidRPr="004804AA">
        <w:rPr>
          <w:rFonts w:ascii="Times New Roman" w:hAnsi="Times New Roman" w:cs="Times New Roman"/>
          <w:sz w:val="28"/>
          <w:szCs w:val="28"/>
        </w:rPr>
        <w:t>открытых катков. Развитие и поощрение семейных занят</w:t>
      </w:r>
      <w:r w:rsidR="00991797">
        <w:rPr>
          <w:rFonts w:ascii="Times New Roman" w:hAnsi="Times New Roman" w:cs="Times New Roman"/>
          <w:sz w:val="28"/>
          <w:szCs w:val="28"/>
        </w:rPr>
        <w:t>ий спортом, спортивного туризма, пропаганда здорового образа жизни</w:t>
      </w:r>
      <w:r w:rsidR="003C2773" w:rsidRPr="004804AA">
        <w:rPr>
          <w:rFonts w:ascii="Times New Roman" w:hAnsi="Times New Roman" w:cs="Times New Roman"/>
          <w:sz w:val="28"/>
          <w:szCs w:val="28"/>
        </w:rPr>
        <w:t>.</w:t>
      </w:r>
      <w:r w:rsidR="00444869">
        <w:rPr>
          <w:rFonts w:ascii="Times New Roman" w:hAnsi="Times New Roman" w:cs="Times New Roman"/>
          <w:sz w:val="28"/>
          <w:szCs w:val="28"/>
        </w:rPr>
        <w:t xml:space="preserve"> </w:t>
      </w:r>
    </w:p>
    <w:p w14:paraId="33115472" w14:textId="19A77C52" w:rsidR="004C3499" w:rsidRDefault="0000646E"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C2773" w:rsidRPr="004804AA">
        <w:rPr>
          <w:rFonts w:ascii="Times New Roman" w:hAnsi="Times New Roman" w:cs="Times New Roman"/>
          <w:sz w:val="28"/>
          <w:szCs w:val="28"/>
        </w:rPr>
        <w:t xml:space="preserve">. </w:t>
      </w:r>
      <w:r w:rsidR="00DC1DFB">
        <w:rPr>
          <w:rFonts w:ascii="Times New Roman" w:hAnsi="Times New Roman" w:cs="Times New Roman"/>
          <w:sz w:val="28"/>
          <w:szCs w:val="28"/>
        </w:rPr>
        <w:t>Считаем н</w:t>
      </w:r>
      <w:r w:rsidR="003C2773" w:rsidRPr="004804AA">
        <w:rPr>
          <w:rFonts w:ascii="Times New Roman" w:hAnsi="Times New Roman" w:cs="Times New Roman"/>
          <w:sz w:val="28"/>
          <w:szCs w:val="28"/>
        </w:rPr>
        <w:t>еобходим</w:t>
      </w:r>
      <w:r w:rsidR="00DC1DFB">
        <w:rPr>
          <w:rFonts w:ascii="Times New Roman" w:hAnsi="Times New Roman" w:cs="Times New Roman"/>
          <w:sz w:val="28"/>
          <w:szCs w:val="28"/>
        </w:rPr>
        <w:t>ым</w:t>
      </w:r>
      <w:r w:rsidR="003C2773" w:rsidRPr="004804AA">
        <w:rPr>
          <w:rFonts w:ascii="Times New Roman" w:hAnsi="Times New Roman" w:cs="Times New Roman"/>
          <w:sz w:val="28"/>
          <w:szCs w:val="28"/>
        </w:rPr>
        <w:t xml:space="preserve"> пров</w:t>
      </w:r>
      <w:r w:rsidR="00DC1DFB">
        <w:rPr>
          <w:rFonts w:ascii="Times New Roman" w:hAnsi="Times New Roman" w:cs="Times New Roman"/>
          <w:sz w:val="28"/>
          <w:szCs w:val="28"/>
        </w:rPr>
        <w:t>едение</w:t>
      </w:r>
      <w:r w:rsidR="003C2773" w:rsidRPr="004804AA">
        <w:rPr>
          <w:rFonts w:ascii="Times New Roman" w:hAnsi="Times New Roman" w:cs="Times New Roman"/>
          <w:sz w:val="28"/>
          <w:szCs w:val="28"/>
        </w:rPr>
        <w:t xml:space="preserve"> широк</w:t>
      </w:r>
      <w:r w:rsidR="00DC1DFB">
        <w:rPr>
          <w:rFonts w:ascii="Times New Roman" w:hAnsi="Times New Roman" w:cs="Times New Roman"/>
          <w:sz w:val="28"/>
          <w:szCs w:val="28"/>
        </w:rPr>
        <w:t>ой</w:t>
      </w:r>
      <w:r w:rsidR="003C2773" w:rsidRPr="004804AA">
        <w:rPr>
          <w:rFonts w:ascii="Times New Roman" w:hAnsi="Times New Roman" w:cs="Times New Roman"/>
          <w:sz w:val="28"/>
          <w:szCs w:val="28"/>
        </w:rPr>
        <w:t xml:space="preserve"> просветительск</w:t>
      </w:r>
      <w:r w:rsidR="00DC1DFB">
        <w:rPr>
          <w:rFonts w:ascii="Times New Roman" w:hAnsi="Times New Roman" w:cs="Times New Roman"/>
          <w:sz w:val="28"/>
          <w:szCs w:val="28"/>
        </w:rPr>
        <w:t>ой</w:t>
      </w:r>
      <w:r w:rsidR="003C2773" w:rsidRPr="004804AA">
        <w:rPr>
          <w:rFonts w:ascii="Times New Roman" w:hAnsi="Times New Roman" w:cs="Times New Roman"/>
          <w:sz w:val="28"/>
          <w:szCs w:val="28"/>
        </w:rPr>
        <w:t xml:space="preserve"> работ</w:t>
      </w:r>
      <w:r w:rsidR="00DC1DFB">
        <w:rPr>
          <w:rFonts w:ascii="Times New Roman" w:hAnsi="Times New Roman" w:cs="Times New Roman"/>
          <w:sz w:val="28"/>
          <w:szCs w:val="28"/>
        </w:rPr>
        <w:t>ы</w:t>
      </w:r>
      <w:r w:rsidR="003C2773" w:rsidRPr="004804AA">
        <w:rPr>
          <w:rFonts w:ascii="Times New Roman" w:hAnsi="Times New Roman" w:cs="Times New Roman"/>
          <w:sz w:val="28"/>
          <w:szCs w:val="28"/>
        </w:rPr>
        <w:t xml:space="preserve"> среди населения о </w:t>
      </w:r>
      <w:r w:rsidR="00DC1DFB">
        <w:rPr>
          <w:rFonts w:ascii="Times New Roman" w:hAnsi="Times New Roman" w:cs="Times New Roman"/>
          <w:sz w:val="28"/>
          <w:szCs w:val="28"/>
        </w:rPr>
        <w:t xml:space="preserve">гигиене зрения, </w:t>
      </w:r>
      <w:r w:rsidR="003C2773" w:rsidRPr="004804AA">
        <w:rPr>
          <w:rFonts w:ascii="Times New Roman" w:hAnsi="Times New Roman" w:cs="Times New Roman"/>
          <w:sz w:val="28"/>
          <w:szCs w:val="28"/>
        </w:rPr>
        <w:t xml:space="preserve">мерах профилактики развития нарушений рефракции, в особенности миопии, о факторах риска развития миопии. </w:t>
      </w:r>
      <w:r w:rsidR="004C3499">
        <w:rPr>
          <w:rFonts w:ascii="Times New Roman" w:hAnsi="Times New Roman" w:cs="Times New Roman"/>
          <w:sz w:val="28"/>
          <w:szCs w:val="28"/>
        </w:rPr>
        <w:t xml:space="preserve">Совместно с комитетами информации и коммуникаций предлагаем выпуск серии телепередач о зрении, интервью и репортажи в рамках информационных и развлекательных программ. </w:t>
      </w:r>
      <w:r w:rsidR="003C2773" w:rsidRPr="004804AA">
        <w:rPr>
          <w:rFonts w:ascii="Times New Roman" w:hAnsi="Times New Roman" w:cs="Times New Roman"/>
          <w:sz w:val="28"/>
          <w:szCs w:val="28"/>
        </w:rPr>
        <w:t xml:space="preserve">Особое внимание должно уделяться </w:t>
      </w:r>
      <w:r w:rsidR="004C3499">
        <w:rPr>
          <w:rFonts w:ascii="Times New Roman" w:hAnsi="Times New Roman" w:cs="Times New Roman"/>
          <w:sz w:val="28"/>
          <w:szCs w:val="28"/>
        </w:rPr>
        <w:t xml:space="preserve">социальным </w:t>
      </w:r>
      <w:r w:rsidR="002E2C7B">
        <w:rPr>
          <w:rFonts w:ascii="Times New Roman" w:hAnsi="Times New Roman" w:cs="Times New Roman"/>
          <w:sz w:val="28"/>
          <w:szCs w:val="28"/>
        </w:rPr>
        <w:t>интернет-</w:t>
      </w:r>
      <w:r w:rsidR="004C3499">
        <w:rPr>
          <w:rFonts w:ascii="Times New Roman" w:hAnsi="Times New Roman" w:cs="Times New Roman"/>
          <w:sz w:val="28"/>
          <w:szCs w:val="28"/>
        </w:rPr>
        <w:t xml:space="preserve">сетям, </w:t>
      </w:r>
      <w:r w:rsidR="002E2C7B">
        <w:rPr>
          <w:rFonts w:ascii="Times New Roman" w:hAnsi="Times New Roman" w:cs="Times New Roman"/>
          <w:sz w:val="28"/>
          <w:szCs w:val="28"/>
        </w:rPr>
        <w:t xml:space="preserve">сотрудничеству с </w:t>
      </w:r>
      <w:r w:rsidR="004C3499">
        <w:rPr>
          <w:rFonts w:ascii="Times New Roman" w:hAnsi="Times New Roman" w:cs="Times New Roman"/>
          <w:sz w:val="28"/>
          <w:szCs w:val="28"/>
        </w:rPr>
        <w:t>популярным</w:t>
      </w:r>
      <w:r w:rsidR="002E2C7B">
        <w:rPr>
          <w:rFonts w:ascii="Times New Roman" w:hAnsi="Times New Roman" w:cs="Times New Roman"/>
          <w:sz w:val="28"/>
          <w:szCs w:val="28"/>
        </w:rPr>
        <w:t>и блогерами.</w:t>
      </w:r>
    </w:p>
    <w:p w14:paraId="642F0A7F" w14:textId="7C1DB553" w:rsidR="003C2773" w:rsidRPr="00686E02" w:rsidRDefault="0000646E"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E2C7B">
        <w:rPr>
          <w:rFonts w:ascii="Times New Roman" w:hAnsi="Times New Roman" w:cs="Times New Roman"/>
          <w:sz w:val="28"/>
          <w:szCs w:val="28"/>
        </w:rPr>
        <w:t xml:space="preserve">. Департаментам здравоохранения и организациям общественного здравоохранения рекомендуем усилить </w:t>
      </w:r>
      <w:r w:rsidR="003C2773" w:rsidRPr="004804AA">
        <w:rPr>
          <w:rFonts w:ascii="Times New Roman" w:hAnsi="Times New Roman" w:cs="Times New Roman"/>
          <w:sz w:val="28"/>
          <w:szCs w:val="28"/>
        </w:rPr>
        <w:t>работ</w:t>
      </w:r>
      <w:r w:rsidR="002E2C7B">
        <w:rPr>
          <w:rFonts w:ascii="Times New Roman" w:hAnsi="Times New Roman" w:cs="Times New Roman"/>
          <w:sz w:val="28"/>
          <w:szCs w:val="28"/>
        </w:rPr>
        <w:t>у</w:t>
      </w:r>
      <w:r w:rsidR="003C2773" w:rsidRPr="004804AA">
        <w:rPr>
          <w:rFonts w:ascii="Times New Roman" w:hAnsi="Times New Roman" w:cs="Times New Roman"/>
          <w:sz w:val="28"/>
          <w:szCs w:val="28"/>
        </w:rPr>
        <w:t xml:space="preserve"> с родителями на уровне детских поликлиник, детских дошкольных учреждений, школ. Для реализации этого пункта рекомендуется разработать программу обучения учителей, воспитателей детских садов и других педагогических кадров. Проведение просветительской работы с детьми в школах, классах, введение уроков, посвященных здоровью, здоровому образу жизни.</w:t>
      </w:r>
    </w:p>
    <w:p w14:paraId="7BB29189" w14:textId="76D3C72C" w:rsidR="003C2773" w:rsidRPr="004804AA" w:rsidRDefault="0000646E" w:rsidP="005C37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C2773" w:rsidRPr="004804AA">
        <w:rPr>
          <w:rFonts w:ascii="Times New Roman" w:hAnsi="Times New Roman" w:cs="Times New Roman"/>
          <w:sz w:val="28"/>
          <w:szCs w:val="28"/>
        </w:rPr>
        <w:t xml:space="preserve">. </w:t>
      </w:r>
      <w:r>
        <w:rPr>
          <w:rFonts w:ascii="Times New Roman" w:hAnsi="Times New Roman" w:cs="Times New Roman"/>
          <w:sz w:val="28"/>
          <w:szCs w:val="28"/>
        </w:rPr>
        <w:t>Департаментам здравоохранения п</w:t>
      </w:r>
      <w:r w:rsidR="00DC1DFB">
        <w:rPr>
          <w:rFonts w:ascii="Times New Roman" w:hAnsi="Times New Roman" w:cs="Times New Roman"/>
          <w:sz w:val="28"/>
          <w:szCs w:val="28"/>
        </w:rPr>
        <w:t>редлагаем р</w:t>
      </w:r>
      <w:r w:rsidR="003C2773" w:rsidRPr="004804AA">
        <w:rPr>
          <w:rFonts w:ascii="Times New Roman" w:hAnsi="Times New Roman" w:cs="Times New Roman"/>
          <w:sz w:val="28"/>
          <w:szCs w:val="28"/>
        </w:rPr>
        <w:t>ассмотреть возможность открытия кабинетов охраны зрения детей в</w:t>
      </w:r>
      <w:r w:rsidR="00DC1DFB">
        <w:rPr>
          <w:rFonts w:ascii="Times New Roman" w:hAnsi="Times New Roman" w:cs="Times New Roman"/>
          <w:sz w:val="28"/>
          <w:szCs w:val="28"/>
        </w:rPr>
        <w:t>о всех</w:t>
      </w:r>
      <w:r w:rsidR="003C2773" w:rsidRPr="004804AA">
        <w:rPr>
          <w:rFonts w:ascii="Times New Roman" w:hAnsi="Times New Roman" w:cs="Times New Roman"/>
          <w:sz w:val="28"/>
          <w:szCs w:val="28"/>
        </w:rPr>
        <w:t xml:space="preserve"> городах и районных центрах </w:t>
      </w:r>
      <w:r w:rsidR="003C2773" w:rsidRPr="004804AA">
        <w:rPr>
          <w:rFonts w:ascii="Times New Roman" w:hAnsi="Times New Roman" w:cs="Times New Roman"/>
          <w:sz w:val="28"/>
          <w:szCs w:val="28"/>
        </w:rPr>
        <w:lastRenderedPageBreak/>
        <w:t xml:space="preserve">РК. Разработать программы привлечения врачей-офтальмологов для работы в кабинетах охраны зрения детей, </w:t>
      </w:r>
      <w:r w:rsidR="00DC1DFB">
        <w:rPr>
          <w:rFonts w:ascii="Times New Roman" w:hAnsi="Times New Roman" w:cs="Times New Roman"/>
          <w:sz w:val="28"/>
          <w:szCs w:val="28"/>
        </w:rPr>
        <w:t>о</w:t>
      </w:r>
      <w:r w:rsidR="003C2773" w:rsidRPr="004804AA">
        <w:rPr>
          <w:rFonts w:ascii="Times New Roman" w:hAnsi="Times New Roman" w:cs="Times New Roman"/>
          <w:sz w:val="28"/>
          <w:szCs w:val="28"/>
        </w:rPr>
        <w:t>бучение врачей</w:t>
      </w:r>
      <w:r w:rsidR="00DC1DFB">
        <w:rPr>
          <w:rFonts w:ascii="Times New Roman" w:hAnsi="Times New Roman" w:cs="Times New Roman"/>
          <w:sz w:val="28"/>
          <w:szCs w:val="28"/>
        </w:rPr>
        <w:t>-</w:t>
      </w:r>
      <w:r w:rsidR="003C2773" w:rsidRPr="004804AA">
        <w:rPr>
          <w:rFonts w:ascii="Times New Roman" w:hAnsi="Times New Roman" w:cs="Times New Roman"/>
          <w:sz w:val="28"/>
          <w:szCs w:val="28"/>
        </w:rPr>
        <w:t>оптометристов для работы в кабинетах охраны зрения</w:t>
      </w:r>
      <w:r w:rsidR="00DC1DFB">
        <w:rPr>
          <w:rFonts w:ascii="Times New Roman" w:hAnsi="Times New Roman" w:cs="Times New Roman"/>
          <w:sz w:val="28"/>
          <w:szCs w:val="28"/>
        </w:rPr>
        <w:t xml:space="preserve">. </w:t>
      </w:r>
      <w:r w:rsidR="00686E02">
        <w:rPr>
          <w:rFonts w:ascii="Times New Roman" w:hAnsi="Times New Roman" w:cs="Times New Roman"/>
          <w:sz w:val="28"/>
          <w:szCs w:val="28"/>
        </w:rPr>
        <w:t>С целью у</w:t>
      </w:r>
      <w:r w:rsidR="00686E02" w:rsidRPr="004804AA">
        <w:rPr>
          <w:rFonts w:ascii="Times New Roman" w:hAnsi="Times New Roman" w:cs="Times New Roman"/>
          <w:sz w:val="28"/>
          <w:szCs w:val="28"/>
        </w:rPr>
        <w:t>величени</w:t>
      </w:r>
      <w:r w:rsidR="00686E02">
        <w:rPr>
          <w:rFonts w:ascii="Times New Roman" w:hAnsi="Times New Roman" w:cs="Times New Roman"/>
          <w:sz w:val="28"/>
          <w:szCs w:val="28"/>
        </w:rPr>
        <w:t>я</w:t>
      </w:r>
      <w:r w:rsidR="00686E02" w:rsidRPr="004804AA">
        <w:rPr>
          <w:rFonts w:ascii="Times New Roman" w:hAnsi="Times New Roman" w:cs="Times New Roman"/>
          <w:sz w:val="28"/>
          <w:szCs w:val="28"/>
        </w:rPr>
        <w:t xml:space="preserve"> числа детских офтальмологов в регионах</w:t>
      </w:r>
      <w:r w:rsidR="00DC1DFB">
        <w:rPr>
          <w:rFonts w:ascii="Times New Roman" w:hAnsi="Times New Roman" w:cs="Times New Roman"/>
          <w:sz w:val="28"/>
          <w:szCs w:val="28"/>
        </w:rPr>
        <w:t xml:space="preserve"> возможно расширить </w:t>
      </w:r>
      <w:r w:rsidR="00907EA2">
        <w:rPr>
          <w:rFonts w:ascii="Times New Roman" w:hAnsi="Times New Roman" w:cs="Times New Roman"/>
          <w:sz w:val="28"/>
          <w:szCs w:val="28"/>
        </w:rPr>
        <w:t xml:space="preserve">программу </w:t>
      </w:r>
      <w:r w:rsidR="00907EA2" w:rsidRPr="004804AA">
        <w:rPr>
          <w:rFonts w:ascii="Times New Roman" w:hAnsi="Times New Roman" w:cs="Times New Roman"/>
          <w:sz w:val="28"/>
          <w:szCs w:val="28"/>
        </w:rPr>
        <w:t>целево</w:t>
      </w:r>
      <w:r w:rsidR="00907EA2">
        <w:rPr>
          <w:rFonts w:ascii="Times New Roman" w:hAnsi="Times New Roman" w:cs="Times New Roman"/>
          <w:sz w:val="28"/>
          <w:szCs w:val="28"/>
        </w:rPr>
        <w:t>го</w:t>
      </w:r>
      <w:r w:rsidR="00907EA2" w:rsidRPr="004804AA">
        <w:rPr>
          <w:rFonts w:ascii="Times New Roman" w:hAnsi="Times New Roman" w:cs="Times New Roman"/>
          <w:sz w:val="28"/>
          <w:szCs w:val="28"/>
        </w:rPr>
        <w:t xml:space="preserve"> обучени</w:t>
      </w:r>
      <w:r w:rsidR="00907EA2">
        <w:rPr>
          <w:rFonts w:ascii="Times New Roman" w:hAnsi="Times New Roman" w:cs="Times New Roman"/>
          <w:sz w:val="28"/>
          <w:szCs w:val="28"/>
        </w:rPr>
        <w:t>я</w:t>
      </w:r>
      <w:r w:rsidR="00907EA2" w:rsidRPr="004804AA">
        <w:rPr>
          <w:rFonts w:ascii="Times New Roman" w:hAnsi="Times New Roman" w:cs="Times New Roman"/>
          <w:sz w:val="28"/>
          <w:szCs w:val="28"/>
        </w:rPr>
        <w:t xml:space="preserve"> в резидентуре</w:t>
      </w:r>
      <w:r w:rsidR="003C2773" w:rsidRPr="004804AA">
        <w:rPr>
          <w:rFonts w:ascii="Times New Roman" w:hAnsi="Times New Roman" w:cs="Times New Roman"/>
          <w:sz w:val="28"/>
          <w:szCs w:val="28"/>
        </w:rPr>
        <w:t>.</w:t>
      </w:r>
    </w:p>
    <w:p w14:paraId="29B975E4" w14:textId="6A76E4E8" w:rsidR="0000646E" w:rsidRDefault="0000646E" w:rsidP="00006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C2773" w:rsidRPr="004804AA">
        <w:rPr>
          <w:rFonts w:ascii="Times New Roman" w:hAnsi="Times New Roman" w:cs="Times New Roman"/>
          <w:sz w:val="28"/>
          <w:szCs w:val="28"/>
        </w:rPr>
        <w:t xml:space="preserve">. </w:t>
      </w:r>
      <w:r w:rsidR="00B35545">
        <w:rPr>
          <w:rFonts w:ascii="Times New Roman" w:hAnsi="Times New Roman" w:cs="Times New Roman"/>
          <w:sz w:val="28"/>
          <w:szCs w:val="28"/>
        </w:rPr>
        <w:t xml:space="preserve">Считаем целесообразным </w:t>
      </w:r>
      <w:r w:rsidR="004417E9">
        <w:rPr>
          <w:rFonts w:ascii="Times New Roman" w:hAnsi="Times New Roman" w:cs="Times New Roman"/>
          <w:sz w:val="28"/>
          <w:szCs w:val="28"/>
        </w:rPr>
        <w:t>у</w:t>
      </w:r>
      <w:r w:rsidR="003C2773" w:rsidRPr="004804AA">
        <w:rPr>
          <w:rFonts w:ascii="Times New Roman" w:hAnsi="Times New Roman" w:cs="Times New Roman"/>
          <w:sz w:val="28"/>
          <w:szCs w:val="28"/>
        </w:rPr>
        <w:t>велич</w:t>
      </w:r>
      <w:r w:rsidR="00B35545">
        <w:rPr>
          <w:rFonts w:ascii="Times New Roman" w:hAnsi="Times New Roman" w:cs="Times New Roman"/>
          <w:sz w:val="28"/>
          <w:szCs w:val="28"/>
        </w:rPr>
        <w:t>ение</w:t>
      </w:r>
      <w:r w:rsidR="003C2773" w:rsidRPr="004804AA">
        <w:rPr>
          <w:rFonts w:ascii="Times New Roman" w:hAnsi="Times New Roman" w:cs="Times New Roman"/>
          <w:sz w:val="28"/>
          <w:szCs w:val="28"/>
        </w:rPr>
        <w:t xml:space="preserve"> </w:t>
      </w:r>
      <w:r w:rsidR="00B35545">
        <w:rPr>
          <w:rFonts w:ascii="Times New Roman" w:hAnsi="Times New Roman" w:cs="Times New Roman"/>
          <w:sz w:val="28"/>
          <w:szCs w:val="28"/>
        </w:rPr>
        <w:t>частоты</w:t>
      </w:r>
      <w:r w:rsidR="003C2773" w:rsidRPr="004804AA">
        <w:rPr>
          <w:rFonts w:ascii="Times New Roman" w:hAnsi="Times New Roman" w:cs="Times New Roman"/>
          <w:sz w:val="28"/>
          <w:szCs w:val="28"/>
        </w:rPr>
        <w:t xml:space="preserve"> скрининговых осмотров школьников до 2 раз в</w:t>
      </w:r>
      <w:r w:rsidR="009059B6">
        <w:rPr>
          <w:rFonts w:ascii="Times New Roman" w:hAnsi="Times New Roman" w:cs="Times New Roman"/>
          <w:sz w:val="28"/>
          <w:szCs w:val="28"/>
        </w:rPr>
        <w:t xml:space="preserve"> </w:t>
      </w:r>
      <w:r w:rsidR="003C2773" w:rsidRPr="004804AA">
        <w:rPr>
          <w:rFonts w:ascii="Times New Roman" w:hAnsi="Times New Roman" w:cs="Times New Roman"/>
          <w:sz w:val="28"/>
          <w:szCs w:val="28"/>
        </w:rPr>
        <w:t>год (в начале и конце учебного года).</w:t>
      </w:r>
      <w:r w:rsidR="00444869">
        <w:rPr>
          <w:rFonts w:ascii="Times New Roman" w:hAnsi="Times New Roman" w:cs="Times New Roman"/>
          <w:sz w:val="28"/>
          <w:szCs w:val="28"/>
        </w:rPr>
        <w:t xml:space="preserve"> </w:t>
      </w:r>
      <w:r>
        <w:rPr>
          <w:rFonts w:ascii="Times New Roman" w:hAnsi="Times New Roman" w:cs="Times New Roman"/>
          <w:sz w:val="28"/>
          <w:szCs w:val="28"/>
        </w:rPr>
        <w:t>Рекомендуем Министерству здравоохранения р</w:t>
      </w:r>
      <w:r w:rsidR="003C2773" w:rsidRPr="004804AA">
        <w:rPr>
          <w:rFonts w:ascii="Times New Roman" w:hAnsi="Times New Roman" w:cs="Times New Roman"/>
          <w:sz w:val="28"/>
          <w:szCs w:val="28"/>
        </w:rPr>
        <w:t xml:space="preserve">ассмотреть </w:t>
      </w:r>
      <w:r>
        <w:rPr>
          <w:rFonts w:ascii="Times New Roman" w:hAnsi="Times New Roman" w:cs="Times New Roman"/>
          <w:sz w:val="28"/>
          <w:szCs w:val="28"/>
        </w:rPr>
        <w:t xml:space="preserve">широкое </w:t>
      </w:r>
      <w:r w:rsidR="003C2773" w:rsidRPr="004804AA">
        <w:rPr>
          <w:rFonts w:ascii="Times New Roman" w:hAnsi="Times New Roman" w:cs="Times New Roman"/>
          <w:sz w:val="28"/>
          <w:szCs w:val="28"/>
        </w:rPr>
        <w:t>внедрение программ</w:t>
      </w:r>
      <w:r>
        <w:rPr>
          <w:rFonts w:ascii="Times New Roman" w:hAnsi="Times New Roman" w:cs="Times New Roman"/>
          <w:sz w:val="28"/>
          <w:szCs w:val="28"/>
        </w:rPr>
        <w:t>ы</w:t>
      </w:r>
      <w:r w:rsidR="003C2773" w:rsidRPr="004804AA">
        <w:rPr>
          <w:rFonts w:ascii="Times New Roman" w:hAnsi="Times New Roman" w:cs="Times New Roman"/>
          <w:sz w:val="28"/>
          <w:szCs w:val="28"/>
        </w:rPr>
        <w:t xml:space="preserve"> дистантного компьютерного скрининга в средние школы Казахстана с целью раннего выявления детей с нарушениями рефракции</w:t>
      </w:r>
      <w:r>
        <w:rPr>
          <w:rFonts w:ascii="Times New Roman" w:hAnsi="Times New Roman" w:cs="Times New Roman"/>
          <w:sz w:val="28"/>
          <w:szCs w:val="28"/>
        </w:rPr>
        <w:t xml:space="preserve">. </w:t>
      </w:r>
      <w:r w:rsidR="00545237">
        <w:rPr>
          <w:rFonts w:ascii="Times New Roman" w:hAnsi="Times New Roman" w:cs="Times New Roman"/>
          <w:sz w:val="28"/>
          <w:szCs w:val="28"/>
        </w:rPr>
        <w:t xml:space="preserve">Учитывая компактность и экономичность, </w:t>
      </w:r>
      <w:r w:rsidR="00545237" w:rsidRPr="00545237">
        <w:rPr>
          <w:rFonts w:ascii="Times New Roman" w:hAnsi="Times New Roman" w:cs="Times New Roman"/>
          <w:sz w:val="28"/>
          <w:szCs w:val="28"/>
        </w:rPr>
        <w:t>дистан</w:t>
      </w:r>
      <w:r w:rsidR="00545237">
        <w:rPr>
          <w:rFonts w:ascii="Times New Roman" w:hAnsi="Times New Roman" w:cs="Times New Roman"/>
          <w:sz w:val="28"/>
          <w:szCs w:val="28"/>
        </w:rPr>
        <w:t xml:space="preserve">тный компьютерный скрининг открывает возможности </w:t>
      </w:r>
      <w:r w:rsidR="00545237" w:rsidRPr="00545237">
        <w:rPr>
          <w:rFonts w:ascii="Times New Roman" w:hAnsi="Times New Roman" w:cs="Times New Roman"/>
          <w:sz w:val="28"/>
          <w:szCs w:val="28"/>
        </w:rPr>
        <w:t>для широкого применения</w:t>
      </w:r>
      <w:r w:rsidR="00545237">
        <w:rPr>
          <w:rFonts w:ascii="Times New Roman" w:hAnsi="Times New Roman" w:cs="Times New Roman"/>
          <w:sz w:val="28"/>
          <w:szCs w:val="28"/>
        </w:rPr>
        <w:t xml:space="preserve"> на территории всей республики. Рекомендуем внедрить этот метод в отдаленных регионах, в особенности в регионах, страдающих</w:t>
      </w:r>
      <w:r>
        <w:rPr>
          <w:rFonts w:ascii="Times New Roman" w:hAnsi="Times New Roman" w:cs="Times New Roman"/>
          <w:sz w:val="28"/>
          <w:szCs w:val="28"/>
        </w:rPr>
        <w:t xml:space="preserve"> от дефицита кадровых ресурсов. </w:t>
      </w:r>
      <w:r w:rsidRPr="004804AA">
        <w:rPr>
          <w:rFonts w:ascii="Times New Roman" w:hAnsi="Times New Roman" w:cs="Times New Roman"/>
          <w:sz w:val="28"/>
          <w:szCs w:val="28"/>
        </w:rPr>
        <w:t>Для реализации этого этапа необходимо оснащение кабинетов информатики компьютерами в соответствии требуемым параметрам</w:t>
      </w:r>
      <w:r>
        <w:rPr>
          <w:rFonts w:ascii="Times New Roman" w:hAnsi="Times New Roman" w:cs="Times New Roman"/>
          <w:sz w:val="28"/>
          <w:szCs w:val="28"/>
        </w:rPr>
        <w:t xml:space="preserve"> и</w:t>
      </w:r>
      <w:r w:rsidRPr="004804AA">
        <w:rPr>
          <w:rFonts w:ascii="Times New Roman" w:hAnsi="Times New Roman" w:cs="Times New Roman"/>
          <w:sz w:val="28"/>
          <w:szCs w:val="28"/>
        </w:rPr>
        <w:t xml:space="preserve"> проведение 2-3 дневного обучения учителей информатики проведению диста</w:t>
      </w:r>
      <w:r>
        <w:rPr>
          <w:rFonts w:ascii="Times New Roman" w:hAnsi="Times New Roman" w:cs="Times New Roman"/>
          <w:sz w:val="28"/>
          <w:szCs w:val="28"/>
        </w:rPr>
        <w:t xml:space="preserve">нтного компьютерного скрининга. </w:t>
      </w:r>
    </w:p>
    <w:p w14:paraId="65B06914" w14:textId="4AEC68A2" w:rsidR="006E34BC" w:rsidRPr="0000646E" w:rsidRDefault="00545237" w:rsidP="00006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н</w:t>
      </w:r>
      <w:r w:rsidR="00A25A81">
        <w:rPr>
          <w:rFonts w:ascii="Times New Roman" w:hAnsi="Times New Roman" w:cs="Times New Roman"/>
          <w:sz w:val="28"/>
          <w:szCs w:val="28"/>
        </w:rPr>
        <w:t>ами предлагается р</w:t>
      </w:r>
      <w:r w:rsidR="003C2773" w:rsidRPr="004804AA">
        <w:rPr>
          <w:rFonts w:ascii="Times New Roman" w:hAnsi="Times New Roman" w:cs="Times New Roman"/>
          <w:sz w:val="28"/>
          <w:szCs w:val="28"/>
        </w:rPr>
        <w:t>ассмотре</w:t>
      </w:r>
      <w:r w:rsidR="00A25A81">
        <w:rPr>
          <w:rFonts w:ascii="Times New Roman" w:hAnsi="Times New Roman" w:cs="Times New Roman"/>
          <w:sz w:val="28"/>
          <w:szCs w:val="28"/>
        </w:rPr>
        <w:t>ние</w:t>
      </w:r>
      <w:r w:rsidR="003C2773" w:rsidRPr="004804AA">
        <w:rPr>
          <w:rFonts w:ascii="Times New Roman" w:hAnsi="Times New Roman" w:cs="Times New Roman"/>
          <w:sz w:val="28"/>
          <w:szCs w:val="28"/>
        </w:rPr>
        <w:t xml:space="preserve"> возможност</w:t>
      </w:r>
      <w:r w:rsidR="00A25A81">
        <w:rPr>
          <w:rFonts w:ascii="Times New Roman" w:hAnsi="Times New Roman" w:cs="Times New Roman"/>
          <w:sz w:val="28"/>
          <w:szCs w:val="28"/>
        </w:rPr>
        <w:t>и</w:t>
      </w:r>
      <w:r w:rsidR="003C2773" w:rsidRPr="004804AA">
        <w:rPr>
          <w:rFonts w:ascii="Times New Roman" w:hAnsi="Times New Roman" w:cs="Times New Roman"/>
          <w:sz w:val="28"/>
          <w:szCs w:val="28"/>
        </w:rPr>
        <w:t xml:space="preserve"> включения Программы профилактики развития и прогрессирования аномалий рефракции у школьников в </w:t>
      </w:r>
      <w:r w:rsidR="00686E02" w:rsidRPr="008F22B4">
        <w:rPr>
          <w:rFonts w:ascii="Times New Roman" w:hAnsi="Times New Roman" w:cs="Times New Roman"/>
          <w:sz w:val="28"/>
          <w:szCs w:val="28"/>
        </w:rPr>
        <w:t>Г</w:t>
      </w:r>
      <w:r w:rsidR="003C2773" w:rsidRPr="004804AA">
        <w:rPr>
          <w:rFonts w:ascii="Times New Roman" w:hAnsi="Times New Roman" w:cs="Times New Roman"/>
          <w:sz w:val="28"/>
          <w:szCs w:val="28"/>
        </w:rPr>
        <w:t>осударственную программу скрининга.</w:t>
      </w:r>
      <w:r w:rsidR="006E34BC">
        <w:rPr>
          <w:rFonts w:ascii="Times New Roman" w:eastAsiaTheme="minorHAnsi" w:hAnsi="Times New Roman" w:cs="Times New Roman"/>
          <w:sz w:val="28"/>
          <w:szCs w:val="28"/>
          <w:lang w:eastAsia="en-US"/>
        </w:rPr>
        <w:br w:type="page"/>
      </w:r>
    </w:p>
    <w:p w14:paraId="5FCF4347" w14:textId="5A761253" w:rsidR="006E34BC" w:rsidRPr="005165CC" w:rsidRDefault="005509CB" w:rsidP="005C37DF">
      <w:pPr>
        <w:spacing w:after="0" w:line="240" w:lineRule="auto"/>
        <w:ind w:firstLine="709"/>
        <w:jc w:val="both"/>
        <w:rPr>
          <w:rFonts w:ascii="Times New Roman" w:eastAsiaTheme="minorHAnsi" w:hAnsi="Times New Roman" w:cs="Times New Roman"/>
          <w:b/>
          <w:bCs/>
          <w:sz w:val="28"/>
          <w:szCs w:val="28"/>
          <w:lang w:val="en-US" w:eastAsia="en-US"/>
        </w:rPr>
      </w:pPr>
      <w:r w:rsidRPr="006E34BC">
        <w:rPr>
          <w:rFonts w:ascii="Times New Roman" w:eastAsiaTheme="minorHAnsi" w:hAnsi="Times New Roman" w:cs="Times New Roman"/>
          <w:b/>
          <w:bCs/>
          <w:sz w:val="28"/>
          <w:szCs w:val="28"/>
          <w:lang w:eastAsia="en-US"/>
        </w:rPr>
        <w:lastRenderedPageBreak/>
        <w:t>СПИСОК</w:t>
      </w:r>
      <w:r w:rsidRPr="00DE3215">
        <w:rPr>
          <w:rFonts w:ascii="Times New Roman" w:eastAsiaTheme="minorHAnsi" w:hAnsi="Times New Roman" w:cs="Times New Roman"/>
          <w:b/>
          <w:bCs/>
          <w:sz w:val="28"/>
          <w:szCs w:val="28"/>
          <w:lang w:val="en-US" w:eastAsia="en-US"/>
        </w:rPr>
        <w:t xml:space="preserve"> </w:t>
      </w:r>
      <w:r w:rsidRPr="006E34BC">
        <w:rPr>
          <w:rFonts w:ascii="Times New Roman" w:eastAsiaTheme="minorHAnsi" w:hAnsi="Times New Roman" w:cs="Times New Roman"/>
          <w:b/>
          <w:bCs/>
          <w:sz w:val="28"/>
          <w:szCs w:val="28"/>
          <w:lang w:eastAsia="en-US"/>
        </w:rPr>
        <w:t>ИСПОЛЬЗОВАННЫХ</w:t>
      </w:r>
      <w:r w:rsidRPr="00DE3215">
        <w:rPr>
          <w:rFonts w:ascii="Times New Roman" w:eastAsiaTheme="minorHAnsi" w:hAnsi="Times New Roman" w:cs="Times New Roman"/>
          <w:b/>
          <w:bCs/>
          <w:sz w:val="28"/>
          <w:szCs w:val="28"/>
          <w:lang w:val="en-US" w:eastAsia="en-US"/>
        </w:rPr>
        <w:t xml:space="preserve"> </w:t>
      </w:r>
      <w:r w:rsidRPr="006E34BC">
        <w:rPr>
          <w:rFonts w:ascii="Times New Roman" w:eastAsiaTheme="minorHAnsi" w:hAnsi="Times New Roman" w:cs="Times New Roman"/>
          <w:b/>
          <w:bCs/>
          <w:sz w:val="28"/>
          <w:szCs w:val="28"/>
          <w:lang w:eastAsia="en-US"/>
        </w:rPr>
        <w:t>ИСТОЧНИКОВ</w:t>
      </w:r>
    </w:p>
    <w:p w14:paraId="1FD78DD9" w14:textId="77777777" w:rsidR="009815A9" w:rsidRPr="005165CC" w:rsidRDefault="009815A9" w:rsidP="005C37DF">
      <w:pPr>
        <w:spacing w:after="0" w:line="240" w:lineRule="auto"/>
        <w:ind w:firstLine="709"/>
        <w:jc w:val="both"/>
        <w:rPr>
          <w:rFonts w:ascii="Times New Roman" w:eastAsiaTheme="minorHAnsi" w:hAnsi="Times New Roman" w:cs="Times New Roman"/>
          <w:b/>
          <w:bCs/>
          <w:sz w:val="28"/>
          <w:szCs w:val="28"/>
          <w:lang w:val="en-US" w:eastAsia="en-US"/>
        </w:rPr>
      </w:pPr>
    </w:p>
    <w:p w14:paraId="20C37FD8" w14:textId="77777777" w:rsidR="00B818AC" w:rsidRPr="005165CC" w:rsidRDefault="00B818AC" w:rsidP="00B818AC">
      <w:pPr>
        <w:spacing w:after="0" w:line="240" w:lineRule="auto"/>
        <w:jc w:val="center"/>
        <w:rPr>
          <w:rFonts w:ascii="Times New Roman" w:eastAsiaTheme="minorHAnsi" w:hAnsi="Times New Roman" w:cs="Times New Roman"/>
          <w:b/>
          <w:bCs/>
          <w:sz w:val="28"/>
          <w:szCs w:val="28"/>
          <w:lang w:val="en-US" w:eastAsia="en-US"/>
        </w:rPr>
      </w:pPr>
    </w:p>
    <w:p w14:paraId="798AF0F0"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 World report on vision. – Geneva: World Health Organization, 2019. – 214 p.</w:t>
      </w:r>
    </w:p>
    <w:p w14:paraId="624A1EB2"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2. Fricke T.R., et al. Global prevalence of visual impairment associated with myopic macular degeneration and temporal trends from 2000 through 2050: systematic review, meta-analysis and modelling // The British Journal of Ophthalmology. – 2018. – Vol. 102. – № 7. – P. 855–862.</w:t>
      </w:r>
    </w:p>
    <w:p w14:paraId="5088881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3. Resnikoff S., et al. Global magnitude of visual impairment caused by uncorrected refractive errors in 2004 // Bulletin of the World Health Organization. – 2008. – Vol. 86. – № 1. – P. 63–70.</w:t>
      </w:r>
    </w:p>
    <w:p w14:paraId="20D932F2"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4. Ohno-Matsui K., et al. Updates of pathologic myopia // Progress in Retinal and Eye Research. – 2016. – Vol. 52. – P. 156–187.</w:t>
      </w:r>
    </w:p>
    <w:p w14:paraId="478432E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5. Holden B.A., Fricke T.R., Wilson D.A., et al. Global Prevalence of Myopia and High Myopia and Temporal Trends from 2000 through 2050 // Ophthalmology. – 2016. – Vol. 123. – № 5. – P. 1036–1042. – doi:10.1016/j.ophtha.2016.01.006.</w:t>
      </w:r>
    </w:p>
    <w:p w14:paraId="35A26CB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6. Lim D.H., et al. The high prevalence of myopia in Korean children with influence of parental refractive errors: The 2008–2012 Korean National Health and Nutrition Examination Survey // PLoS ONE. – 2018. – Vol. 13. – № 11. – P. e0207690.</w:t>
      </w:r>
    </w:p>
    <w:p w14:paraId="333262C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7. Verhoeven V.J.M., et al. Visual consequences of refractive errors in the general population // Ophthalmology. – 2015. – Vol. 122. – № 1. – P. 101–109.</w:t>
      </w:r>
    </w:p>
    <w:p w14:paraId="2F05520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8. Ojaimi E., et al. Methods for a population-based study of myopia and other eye conditions in school children: the Sydney Myopia Study // Ophthalmic Epidemiology. – 2005. – Vol. 12. – № 1. – P. 59–69.</w:t>
      </w:r>
    </w:p>
    <w:p w14:paraId="7A27A9A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9. Flitcroft D.I. The complex interactions of retinal, optical and environmental factors in myopia aetiology // Progress in Retinal and Eye Research. – 2012. – Vol. 31. – № 6. – P. 622–660.</w:t>
      </w:r>
    </w:p>
    <w:p w14:paraId="5EA576B0"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10. The complications of myopia: a review and meta-analysis / L.M. Wong, C.M.G. Cheung, K. Ohno-Matsui, N. Chen, I.G. Morgan, T.Y. Wong // Investigative Ophthalmology &amp; Visual Science. – 2020. – Vol. 61. – № 4. – P. 6. – doi:10.1167/iovs.61.4.6.</w:t>
      </w:r>
    </w:p>
    <w:p w14:paraId="0CC72F28"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11. Dolgin E. The myopia boom // Nature. – 2015. – Vol. 519. – № 7543. – P. 276–278.</w:t>
      </w:r>
    </w:p>
    <w:p w14:paraId="5068D69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12. Morgan I.G., et al. The epidemics of myopia: Aetiology and prevention // Progress in Retinal and Eye Research. – 2018. – Vol. 62. – P. 134–149.</w:t>
      </w:r>
    </w:p>
    <w:p w14:paraId="60FE310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13. Jan C., et al. Association of visual acuity with educational outcomes: a prospective cohort study // The British Journal of Ophthalmology. – 2019. – Vol. 103. – № 11. – P. 1666–1671.</w:t>
      </w:r>
    </w:p>
    <w:p w14:paraId="12AAE9C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14. Smith T.S.T., et al. Potential lost productivity resulting from the global burden of uncorrected refractive error // Bulletin of the World Health Organization. – 2009. – Vol. 87. – № 6. – P. 431–437.</w:t>
      </w:r>
    </w:p>
    <w:p w14:paraId="41D6444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15.</w:t>
      </w:r>
      <w:r w:rsidRPr="00D2321A">
        <w:rPr>
          <w:rFonts w:ascii="Times New Roman" w:hAnsi="Times New Roman" w:cs="Times New Roman"/>
          <w:sz w:val="28"/>
          <w:szCs w:val="28"/>
          <w:lang w:val="en-US"/>
        </w:rPr>
        <w:t xml:space="preserve"> The association between visual impairment, educational outcomes, and mental health: insights from eyeglasses usage among junior high school students in rural China / X. Pang [et al.] // Scientific Reports. – 2024. – Vol. 14. – Article number: 24244. – URL: https://www.nature.com/articles/s41598-024-72119-2</w:t>
      </w:r>
    </w:p>
    <w:p w14:paraId="5406A70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16.</w:t>
      </w:r>
      <w:r w:rsidRPr="00D2321A">
        <w:rPr>
          <w:rFonts w:ascii="Times New Roman" w:hAnsi="Times New Roman" w:cs="Times New Roman"/>
          <w:sz w:val="28"/>
          <w:szCs w:val="28"/>
          <w:lang w:val="en-US"/>
        </w:rPr>
        <w:t xml:space="preserve"> Refractive error magnitude and variability: Relation to age / E.L. Irving [et al.] // Journal of Optometry. – 2019. – Vol. 12. – Refractive error magnitude and variability. – № 1. – P. 55–63.</w:t>
      </w:r>
    </w:p>
    <w:p w14:paraId="1E433ADF"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17.</w:t>
      </w:r>
      <w:r w:rsidRPr="00D2321A">
        <w:rPr>
          <w:rFonts w:ascii="Times New Roman" w:hAnsi="Times New Roman" w:cs="Times New Roman"/>
          <w:sz w:val="28"/>
          <w:szCs w:val="28"/>
          <w:lang w:val="en-US"/>
        </w:rPr>
        <w:t xml:space="preserve"> Association between Depression and Functional Vision Loss in Persons 20 Years of Age or Older in the United States, NHANES 2005–2008 / X. Zhang [et al.] // JAMA Ophthalmology. – 2013. – Vol. 131. – № 5. – P. 573–581.</w:t>
      </w:r>
    </w:p>
    <w:p w14:paraId="143649B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w:t>
      </w:r>
      <w:r w:rsidRPr="00D2321A">
        <w:rPr>
          <w:rFonts w:ascii="Times New Roman" w:hAnsi="Times New Roman" w:cs="Times New Roman"/>
          <w:sz w:val="28"/>
          <w:szCs w:val="28"/>
          <w:lang w:val="en-US"/>
        </w:rPr>
        <w:t xml:space="preserve"> Potential Lost Productivity Resulting from the Global Burden of Myopia: Systematic Review, Meta-analysis, and Modeling / K.S. Naidoo [et al.] // Ophthalmology. – 2019. – Vol. 126. – Potential Lost Productivity Resulting from the Global Burden of Myopia. – № 3. – P. 338–346.</w:t>
      </w:r>
    </w:p>
    <w:p w14:paraId="01B7B18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w:t>
      </w:r>
      <w:r w:rsidRPr="00D2321A">
        <w:rPr>
          <w:rFonts w:ascii="Times New Roman" w:hAnsi="Times New Roman" w:cs="Times New Roman"/>
          <w:sz w:val="28"/>
          <w:szCs w:val="28"/>
          <w:lang w:val="en-US"/>
        </w:rPr>
        <w:t xml:space="preserve"> Association of Parental Myopia with Higher Risk of Myopia among Multiethnic Children before School Age / X. Jiang [et al.] // JAMA Ophthalmology. – 2020. – Vol. 138. – № 5. – P. 501–509.</w:t>
      </w:r>
    </w:p>
    <w:p w14:paraId="7F214D2B" w14:textId="77777777" w:rsidR="00072DF2" w:rsidRPr="00072DF2" w:rsidRDefault="00072DF2" w:rsidP="00072DF2">
      <w:pPr>
        <w:spacing w:after="60" w:line="240" w:lineRule="auto"/>
        <w:jc w:val="both"/>
        <w:rPr>
          <w:rFonts w:ascii="Times New Roman" w:hAnsi="Times New Roman" w:cs="Times New Roman"/>
          <w:sz w:val="28"/>
          <w:szCs w:val="28"/>
        </w:rPr>
      </w:pPr>
      <w:r w:rsidRPr="00A0541A">
        <w:rPr>
          <w:rFonts w:ascii="Times New Roman" w:hAnsi="Times New Roman" w:cs="Times New Roman"/>
          <w:bCs/>
          <w:sz w:val="28"/>
          <w:szCs w:val="28"/>
        </w:rPr>
        <w:t>20.</w:t>
      </w:r>
      <w:r w:rsidRPr="00A0541A">
        <w:rPr>
          <w:rFonts w:ascii="Times New Roman" w:hAnsi="Times New Roman" w:cs="Times New Roman"/>
          <w:sz w:val="28"/>
          <w:szCs w:val="28"/>
        </w:rPr>
        <w:t xml:space="preserve"> Алдашева Н.А., Искакбаева Д.С., Бахытбек Р.Б., Умбеталиева С.Е., Ерболулы М., Мукажанова А.С.</w:t>
      </w:r>
      <w:r>
        <w:rPr>
          <w:rFonts w:ascii="Times New Roman" w:hAnsi="Times New Roman" w:cs="Times New Roman"/>
          <w:sz w:val="28"/>
          <w:szCs w:val="28"/>
        </w:rPr>
        <w:t xml:space="preserve"> </w:t>
      </w:r>
      <w:r w:rsidRPr="00A0541A">
        <w:rPr>
          <w:rFonts w:ascii="Times New Roman" w:hAnsi="Times New Roman" w:cs="Times New Roman"/>
          <w:sz w:val="28"/>
          <w:szCs w:val="28"/>
        </w:rPr>
        <w:t xml:space="preserve">Структура аномалий рефракции у школьников // Точка зрения. </w:t>
      </w:r>
      <w:r w:rsidRPr="00072DF2">
        <w:rPr>
          <w:rFonts w:ascii="Times New Roman" w:hAnsi="Times New Roman" w:cs="Times New Roman"/>
          <w:sz w:val="28"/>
          <w:szCs w:val="28"/>
        </w:rPr>
        <w:t xml:space="preserve">Восток – Запад. – 2019. – № 3. – С. 24–26. </w:t>
      </w:r>
    </w:p>
    <w:p w14:paraId="3B9A6A60" w14:textId="77777777" w:rsidR="00072DF2" w:rsidRPr="00072DF2" w:rsidRDefault="00072DF2" w:rsidP="00072DF2">
      <w:pPr>
        <w:spacing w:after="60" w:line="240" w:lineRule="auto"/>
        <w:jc w:val="both"/>
        <w:rPr>
          <w:rFonts w:ascii="Times New Roman" w:eastAsia="Times New Roman" w:hAnsi="Times New Roman" w:cs="Times New Roman"/>
          <w:sz w:val="28"/>
          <w:szCs w:val="28"/>
        </w:rPr>
      </w:pPr>
      <w:r w:rsidRPr="00E215A8">
        <w:rPr>
          <w:rFonts w:ascii="Times New Roman" w:eastAsia="Times New Roman" w:hAnsi="Times New Roman" w:cs="Times New Roman"/>
          <w:bCs/>
          <w:sz w:val="28"/>
          <w:szCs w:val="28"/>
        </w:rPr>
        <w:t>21.</w:t>
      </w:r>
      <w:r w:rsidRPr="00E215A8">
        <w:rPr>
          <w:rFonts w:ascii="Times New Roman" w:eastAsia="Times New Roman" w:hAnsi="Times New Roman" w:cs="Times New Roman"/>
          <w:sz w:val="28"/>
          <w:szCs w:val="28"/>
        </w:rPr>
        <w:t xml:space="preserve"> Турдалиева Б. С., Аимбетова Г. Е., Абдукаюмова У. А., Байсугурова В. Ю., Мусаева Б. А.</w:t>
      </w:r>
      <w:r>
        <w:rPr>
          <w:rFonts w:ascii="Times New Roman" w:eastAsia="Times New Roman" w:hAnsi="Times New Roman" w:cs="Times New Roman"/>
          <w:sz w:val="28"/>
          <w:szCs w:val="28"/>
        </w:rPr>
        <w:t xml:space="preserve"> </w:t>
      </w:r>
      <w:r w:rsidRPr="00E215A8">
        <w:rPr>
          <w:rFonts w:ascii="Times New Roman" w:eastAsia="Times New Roman" w:hAnsi="Times New Roman" w:cs="Times New Roman"/>
          <w:sz w:val="28"/>
          <w:szCs w:val="28"/>
        </w:rPr>
        <w:t xml:space="preserve">Здоровье детей и подростков Республики Казахстан: проблемы и пути решения // Доклад о положении детей в Республике Казахстан. – 2020. – С. 53–56. </w:t>
      </w:r>
    </w:p>
    <w:p w14:paraId="2DEFCA1B" w14:textId="77777777" w:rsidR="00072DF2" w:rsidRPr="00072DF2" w:rsidRDefault="00072DF2" w:rsidP="00072DF2">
      <w:pPr>
        <w:spacing w:after="60" w:line="240" w:lineRule="auto"/>
        <w:jc w:val="both"/>
        <w:rPr>
          <w:rFonts w:ascii="Times New Roman" w:eastAsia="Times New Roman" w:hAnsi="Times New Roman" w:cs="Times New Roman"/>
          <w:bCs/>
          <w:sz w:val="28"/>
          <w:szCs w:val="28"/>
        </w:rPr>
      </w:pPr>
      <w:r w:rsidRPr="00072DF2">
        <w:rPr>
          <w:rFonts w:ascii="Times New Roman" w:eastAsia="Times New Roman" w:hAnsi="Times New Roman" w:cs="Times New Roman"/>
          <w:bCs/>
          <w:sz w:val="28"/>
          <w:szCs w:val="28"/>
        </w:rPr>
        <w:t>22. Искакбаева Д. Изучение частоты близорукости у школьников г. Алматы и разработка методов её лечения : дис. ... канд. мед. наук. – Алматы, 2004. – 95 с.</w:t>
      </w:r>
    </w:p>
    <w:p w14:paraId="6329307E"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23.</w:t>
      </w:r>
      <w:r w:rsidRPr="00D2321A">
        <w:rPr>
          <w:rFonts w:ascii="Times New Roman" w:eastAsia="Times New Roman" w:hAnsi="Times New Roman" w:cs="Times New Roman"/>
          <w:sz w:val="28"/>
          <w:szCs w:val="28"/>
          <w:lang w:val="en-US"/>
        </w:rPr>
        <w:t xml:space="preserve"> Component dependent risk factors for ocular parameters in Singapore Chinese children / S.-M. Saw [et al.] // Ophthalmology. – 2002. – Vol. 109. – № 11. – P. 2065–2071.</w:t>
      </w:r>
    </w:p>
    <w:p w14:paraId="3E3644F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24.</w:t>
      </w:r>
      <w:r w:rsidRPr="00D2321A">
        <w:rPr>
          <w:rFonts w:ascii="Times New Roman" w:eastAsia="Times New Roman" w:hAnsi="Times New Roman" w:cs="Times New Roman"/>
          <w:sz w:val="28"/>
          <w:szCs w:val="28"/>
          <w:lang w:val="en-US"/>
        </w:rPr>
        <w:t xml:space="preserve"> Effect of Education on Myopia: Evidence from the United Kingdom ROSLA 1972 Reform / D. Plotnikov [et al.] // Investigative Ophthalmology &amp; Visual Science. – 2020. – Vol. 61. – № 11. – P. 7.</w:t>
      </w:r>
    </w:p>
    <w:p w14:paraId="42FF8BFF"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25.</w:t>
      </w:r>
      <w:r w:rsidRPr="00D2321A">
        <w:rPr>
          <w:rFonts w:ascii="Times New Roman" w:eastAsia="Times New Roman" w:hAnsi="Times New Roman" w:cs="Times New Roman"/>
          <w:sz w:val="28"/>
          <w:szCs w:val="28"/>
          <w:lang w:val="en-US"/>
        </w:rPr>
        <w:t xml:space="preserve"> Environmental factors explain socioeconomic prevalence differences in myopia in 6-year-old children / J.W.L. Tideman [et al.] // The British Journal of Ophthalmology. – 2018. – Vol. 102. – № 2. – P. 243–247.</w:t>
      </w:r>
    </w:p>
    <w:p w14:paraId="60AA833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26.</w:t>
      </w:r>
      <w:r w:rsidRPr="00D2321A">
        <w:rPr>
          <w:rFonts w:ascii="Times New Roman" w:eastAsia="Times New Roman" w:hAnsi="Times New Roman" w:cs="Times New Roman"/>
          <w:sz w:val="28"/>
          <w:szCs w:val="28"/>
          <w:lang w:val="en-US"/>
        </w:rPr>
        <w:t xml:space="preserve"> Epidemic of pathologic myopia: what can laboratory studies and epidemiology tell us / I.G. Morgan, M. He, K.A. Rose // Retina (Philadelphia, Pa.). – 2017. – Vol. 37. – № 5. – P. 989–997.</w:t>
      </w:r>
    </w:p>
    <w:p w14:paraId="0877A23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27.</w:t>
      </w:r>
      <w:r w:rsidRPr="00D2321A">
        <w:rPr>
          <w:rFonts w:ascii="Times New Roman" w:eastAsia="Times New Roman" w:hAnsi="Times New Roman" w:cs="Times New Roman"/>
          <w:sz w:val="28"/>
          <w:szCs w:val="28"/>
          <w:lang w:val="en-US"/>
        </w:rPr>
        <w:t xml:space="preserve"> Factors associated with high myopia after 7 years of follow-up in the Correction of Myopia Evaluation Trial (COMET) Cohort / J. Gwiazda [et al.] // Ophthalmic Epidemiology. – 2007. – Vol. 14. – № 4. – P. 230–237.</w:t>
      </w:r>
    </w:p>
    <w:p w14:paraId="70966F9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28.</w:t>
      </w:r>
      <w:r w:rsidRPr="00D2321A">
        <w:rPr>
          <w:rFonts w:ascii="Times New Roman" w:eastAsia="Times New Roman" w:hAnsi="Times New Roman" w:cs="Times New Roman"/>
          <w:sz w:val="28"/>
          <w:szCs w:val="28"/>
          <w:lang w:val="en-US"/>
        </w:rPr>
        <w:t xml:space="preserve"> Family history, near work, outdoor activity, and myopia in Singapore Chinese preschool children / W. Low [et al.] // The British Journal of Ophthalmology. – 2010. – Vol. 94. – № 8. – P. 1012–1016.</w:t>
      </w:r>
    </w:p>
    <w:p w14:paraId="5643F7B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29.</w:t>
      </w:r>
      <w:r w:rsidRPr="00D2321A">
        <w:rPr>
          <w:rFonts w:ascii="Times New Roman" w:eastAsia="Times New Roman" w:hAnsi="Times New Roman" w:cs="Times New Roman"/>
          <w:sz w:val="28"/>
          <w:szCs w:val="28"/>
          <w:lang w:val="en-US"/>
        </w:rPr>
        <w:t xml:space="preserve"> Increasing prevalence of myopia in Europe and the impact of education / K.M. Williams [et al.] // Ophthalmology. – 2015. – Vol. 122. – № 7. – P. 1489–1497.</w:t>
      </w:r>
    </w:p>
    <w:p w14:paraId="08838EC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30.</w:t>
      </w:r>
      <w:r w:rsidRPr="00D2321A">
        <w:rPr>
          <w:rFonts w:ascii="Times New Roman" w:eastAsia="Times New Roman" w:hAnsi="Times New Roman" w:cs="Times New Roman"/>
          <w:sz w:val="28"/>
          <w:szCs w:val="28"/>
          <w:lang w:val="en-US"/>
        </w:rPr>
        <w:t xml:space="preserve"> Methods for a population-based study of the prevalence of and risk factors for age-related maculopathy and macular degeneration in elderly European populations: the EUREYE study / C. Augood [et al.] // Ophthalmic Epidemiology. – 2004. – Vol. 11. – № 2. – P. 117–129.</w:t>
      </w:r>
    </w:p>
    <w:p w14:paraId="3A09844B"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31.</w:t>
      </w:r>
      <w:r w:rsidRPr="00D2321A">
        <w:rPr>
          <w:rFonts w:ascii="Times New Roman" w:eastAsia="Times New Roman" w:hAnsi="Times New Roman" w:cs="Times New Roman"/>
          <w:sz w:val="28"/>
          <w:szCs w:val="28"/>
          <w:lang w:val="en-US"/>
        </w:rPr>
        <w:t xml:space="preserve"> Myopia prevalence and risk factors in children / C. Theophanous [et al.] // Clinical Ophthalmology (Auckland, N.Z.). – 2018. – Vol. 12. – P. 1581–1587.</w:t>
      </w:r>
    </w:p>
    <w:p w14:paraId="1A2511D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32.</w:t>
      </w:r>
      <w:r w:rsidRPr="00D2321A">
        <w:rPr>
          <w:rFonts w:ascii="Times New Roman" w:eastAsia="Times New Roman" w:hAnsi="Times New Roman" w:cs="Times New Roman"/>
          <w:sz w:val="28"/>
          <w:szCs w:val="28"/>
          <w:lang w:val="en-US"/>
        </w:rPr>
        <w:t xml:space="preserve"> A randomized trial of the effects of rigid contact lenses on myopia progression / J.J. Walline [et al.] // Archives of Ophthalmology. – 2004. – Vol. 122. – № 12. – P. 1760–1766.</w:t>
      </w:r>
    </w:p>
    <w:p w14:paraId="1B29D10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33.</w:t>
      </w:r>
      <w:r w:rsidRPr="00D2321A">
        <w:rPr>
          <w:rFonts w:ascii="Times New Roman" w:eastAsia="Times New Roman" w:hAnsi="Times New Roman" w:cs="Times New Roman"/>
          <w:sz w:val="28"/>
          <w:szCs w:val="28"/>
          <w:lang w:val="en-US"/>
        </w:rPr>
        <w:t xml:space="preserve"> Prevalence, incidence, and progression of myopia of school children in Hong Kong / D.S.P. Fan [et al.] // Investigative Ophthalmology &amp; Visual Science. – 2004. – Vol. 45. – № 4. – P. 1071–1075.</w:t>
      </w:r>
    </w:p>
    <w:p w14:paraId="2E44B94F"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34.</w:t>
      </w:r>
      <w:r w:rsidRPr="00D2321A">
        <w:rPr>
          <w:rFonts w:ascii="Times New Roman" w:eastAsia="Times New Roman" w:hAnsi="Times New Roman" w:cs="Times New Roman"/>
          <w:sz w:val="28"/>
          <w:szCs w:val="28"/>
          <w:lang w:val="en-US"/>
        </w:rPr>
        <w:t xml:space="preserve"> Pilot study of a novel classroom designed to prevent myopia by increasing children’s exposure to outdoor light / Z. Zhou [et al.] // PLoS ONE. – 2017. – Vol. 12. – № 7. – P. e0181772.</w:t>
      </w:r>
    </w:p>
    <w:p w14:paraId="1D85D54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35.</w:t>
      </w:r>
      <w:r w:rsidRPr="00D2321A">
        <w:rPr>
          <w:rFonts w:ascii="Times New Roman" w:eastAsia="Times New Roman" w:hAnsi="Times New Roman" w:cs="Times New Roman"/>
          <w:sz w:val="28"/>
          <w:szCs w:val="28"/>
          <w:lang w:val="en-US"/>
        </w:rPr>
        <w:t xml:space="preserve"> New cases of myopia in children / R.N. Kleinstein [et al.] // Archives of Ophthalmology (Chicago, Ill.: 1960). – 2012. – Vol. 130. – № 10. – P. 1274–1279.</w:t>
      </w:r>
    </w:p>
    <w:p w14:paraId="3253ECDF"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36.</w:t>
      </w:r>
      <w:r w:rsidRPr="00D2321A">
        <w:rPr>
          <w:rFonts w:ascii="Times New Roman" w:hAnsi="Times New Roman" w:cs="Times New Roman"/>
          <w:sz w:val="28"/>
          <w:szCs w:val="28"/>
          <w:lang w:val="en-US"/>
        </w:rPr>
        <w:t xml:space="preserve"> Childhood ethnic differences in ametropia and ocular biometry: the Aston Eye Study / N.S. Logan [et al.] // Ophthalmic &amp; Physiological Optics: The Journal of the British College of Ophthalmic Opticians (Optometrists). – 2011. – Vol. 31. – № 5. – P. 550–558.</w:t>
      </w:r>
    </w:p>
    <w:p w14:paraId="58B2E5F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37.</w:t>
      </w:r>
      <w:r w:rsidRPr="00D2321A">
        <w:rPr>
          <w:rFonts w:ascii="Times New Roman" w:hAnsi="Times New Roman" w:cs="Times New Roman"/>
          <w:sz w:val="28"/>
          <w:szCs w:val="28"/>
          <w:lang w:val="en-US"/>
        </w:rPr>
        <w:t xml:space="preserve"> Castanes M.S. Major review: The underutilization of vision screening (for amblyopia, optical anomalies and strabismus) among preschool age children // Binocular Vision &amp; Strabismus Quarterly. – 2003. – Vol. 18. – № 4. – P. 217–232.</w:t>
      </w:r>
    </w:p>
    <w:p w14:paraId="622C8B4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38.</w:t>
      </w:r>
      <w:r w:rsidRPr="00D2321A">
        <w:rPr>
          <w:rFonts w:ascii="Times New Roman" w:hAnsi="Times New Roman" w:cs="Times New Roman"/>
          <w:sz w:val="28"/>
          <w:szCs w:val="28"/>
          <w:lang w:val="en-US"/>
        </w:rPr>
        <w:t xml:space="preserve"> School-based approaches to the correction of refractive error in children / A. Sharma [et al.] // Survey of Ophthalmology. – 2012. – Vol. 57. – № 3. – P. 272–283.</w:t>
      </w:r>
    </w:p>
    <w:p w14:paraId="61E8AB4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39.</w:t>
      </w:r>
      <w:r w:rsidRPr="00D2321A">
        <w:rPr>
          <w:rFonts w:ascii="Times New Roman" w:hAnsi="Times New Roman" w:cs="Times New Roman"/>
          <w:sz w:val="28"/>
          <w:szCs w:val="28"/>
          <w:lang w:val="en-US"/>
        </w:rPr>
        <w:t xml:space="preserve"> Screening for refractive error and fitting with spectacles in rural and urban India: cost-effectiveness / K.D. Frick, L. Riva-Clement, M.B. Shankar // Ophthalmic Epidemiology. – 2009. – Vol. 16. – № 6. – P. 378–387.</w:t>
      </w:r>
    </w:p>
    <w:p w14:paraId="36001711" w14:textId="77777777" w:rsidR="00072DF2" w:rsidRPr="00D2321A" w:rsidRDefault="00072DF2" w:rsidP="00072DF2">
      <w:pPr>
        <w:spacing w:after="60" w:line="240" w:lineRule="auto"/>
        <w:jc w:val="both"/>
        <w:rPr>
          <w:rFonts w:ascii="Times New Roman" w:hAnsi="Times New Roman" w:cs="Times New Roman"/>
          <w:sz w:val="28"/>
          <w:szCs w:val="28"/>
        </w:rPr>
      </w:pPr>
      <w:r w:rsidRPr="00D2321A">
        <w:rPr>
          <w:rFonts w:ascii="Times New Roman" w:hAnsi="Times New Roman" w:cs="Times New Roman"/>
          <w:bCs/>
          <w:sz w:val="28"/>
          <w:szCs w:val="28"/>
        </w:rPr>
        <w:t>40.</w:t>
      </w:r>
      <w:r w:rsidRPr="00D2321A">
        <w:rPr>
          <w:rFonts w:ascii="Times New Roman" w:hAnsi="Times New Roman" w:cs="Times New Roman"/>
          <w:sz w:val="28"/>
          <w:szCs w:val="28"/>
        </w:rPr>
        <w:t xml:space="preserve"> Черных В.В., Плисов И.Л., Чернышевский А.Л. Дистантное скрининговое обследование зрения школьников как метод диспансеризации // Офтальмохирургия. – 2015. – № 3. – С. 75–79.</w:t>
      </w:r>
    </w:p>
    <w:p w14:paraId="3C81B135"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41.</w:t>
      </w:r>
      <w:r w:rsidRPr="00D2321A">
        <w:rPr>
          <w:rFonts w:ascii="Times New Roman" w:hAnsi="Times New Roman" w:cs="Times New Roman"/>
          <w:sz w:val="28"/>
          <w:szCs w:val="28"/>
          <w:lang w:val="en-US"/>
        </w:rPr>
        <w:t xml:space="preserve"> P</w:t>
      </w:r>
      <w:r>
        <w:rPr>
          <w:rFonts w:ascii="Times New Roman" w:hAnsi="Times New Roman" w:cs="Times New Roman"/>
          <w:sz w:val="28"/>
          <w:szCs w:val="28"/>
          <w:lang w:val="en-US"/>
        </w:rPr>
        <w:t xml:space="preserve">ediatric photoscreeners in high </w:t>
      </w:r>
      <w:r w:rsidRPr="00D2321A">
        <w:rPr>
          <w:rFonts w:ascii="Times New Roman" w:hAnsi="Times New Roman" w:cs="Times New Roman"/>
          <w:sz w:val="28"/>
          <w:szCs w:val="28"/>
          <w:lang w:val="en-US"/>
        </w:rPr>
        <w:t>risk patients 2012: a comparison study of Plusoptix, Iscreen and SPOT / R.W. Arnold [et al.] // Binocular Vision &amp; Strabology Quarterly, Simms-Romano’s. – 2013. – Vol. 28. – № 1. – P. 20–28.</w:t>
      </w:r>
    </w:p>
    <w:p w14:paraId="56780369"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42.</w:t>
      </w:r>
      <w:r w:rsidRPr="00D2321A">
        <w:rPr>
          <w:rFonts w:ascii="Times New Roman" w:hAnsi="Times New Roman" w:cs="Times New Roman"/>
          <w:sz w:val="28"/>
          <w:szCs w:val="28"/>
          <w:lang w:val="en-US"/>
        </w:rPr>
        <w:t xml:space="preserve"> The Positive Predictive Value of Smartphone Photoscreening in Pediatric Practices / R.W. Arnold [et al.] // Journal of Pediatric Ophthalmology and Strabismus. – 2018. – Vol. 55. – № 6. – P. 393–396.</w:t>
      </w:r>
    </w:p>
    <w:p w14:paraId="5527C615"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43.</w:t>
      </w:r>
      <w:r w:rsidRPr="00D2321A">
        <w:rPr>
          <w:rFonts w:ascii="Times New Roman" w:hAnsi="Times New Roman" w:cs="Times New Roman"/>
          <w:sz w:val="28"/>
          <w:szCs w:val="28"/>
          <w:lang w:val="en-US"/>
        </w:rPr>
        <w:t xml:space="preserve"> Validation of Peek Acuity application in pediatric screening programs in Paraguay / B. de Venecia [et al.] // International Journal of Ophthalmology. – 2018. – Vol. 11. – № 8. – P. 1384–1389.</w:t>
      </w:r>
    </w:p>
    <w:p w14:paraId="71E705E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44.</w:t>
      </w:r>
      <w:r w:rsidRPr="00D2321A">
        <w:rPr>
          <w:rFonts w:ascii="Times New Roman" w:hAnsi="Times New Roman" w:cs="Times New Roman"/>
          <w:sz w:val="28"/>
          <w:szCs w:val="28"/>
          <w:lang w:val="en-US"/>
        </w:rPr>
        <w:t xml:space="preserve"> Evaluation of ‘vision screening’ program for three to six-year-old children in the Republic of Iran / R. Khandekar, N. Parast, A. Arabi // Indian Journal of Ophthalmology. – 2009. – Vol. 57. – № 6. – P. 437–442.</w:t>
      </w:r>
    </w:p>
    <w:p w14:paraId="46D9FC1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45.</w:t>
      </w:r>
      <w:r w:rsidRPr="00D2321A">
        <w:rPr>
          <w:rFonts w:ascii="Times New Roman" w:hAnsi="Times New Roman" w:cs="Times New Roman"/>
          <w:sz w:val="28"/>
          <w:szCs w:val="28"/>
          <w:lang w:val="en-US"/>
        </w:rPr>
        <w:t xml:space="preserve"> The PlusoptiX Photoscreener and the Retinomax Autorefractor as Community-based Screening Devices for Preschool Children / M. Kinori [et al.] // Current Eye Research. – 2018. – Vol. 43. – № 5. – P. 654–658.</w:t>
      </w:r>
    </w:p>
    <w:p w14:paraId="33A9707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46.</w:t>
      </w:r>
      <w:r w:rsidRPr="00D2321A">
        <w:rPr>
          <w:rFonts w:ascii="Times New Roman" w:hAnsi="Times New Roman" w:cs="Times New Roman"/>
          <w:sz w:val="28"/>
          <w:szCs w:val="28"/>
          <w:lang w:val="en-US"/>
        </w:rPr>
        <w:t xml:space="preserve"> Levitt A.H., Martin S.J., Arnold R.W. Performance of Glow Fixation GoCheck Kids and 2WIN Photoscreeners and Retinomax to Uncover Hyperopia // Clinical Ophthalmology (Auckland, N.Z.). – 2020. – Vol. 14. – P. 2237–2244.</w:t>
      </w:r>
    </w:p>
    <w:p w14:paraId="064BC10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47.</w:t>
      </w:r>
      <w:r w:rsidRPr="00D2321A">
        <w:rPr>
          <w:rFonts w:ascii="Times New Roman" w:hAnsi="Times New Roman" w:cs="Times New Roman"/>
          <w:sz w:val="28"/>
          <w:szCs w:val="28"/>
          <w:lang w:val="en-US"/>
        </w:rPr>
        <w:t xml:space="preserve"> Mathers M., Keyes M., Wright M. A review of the evidence on the effectiveness of children’s vision screening // Child: Care, Health and Development. – 2010. – Vol. 36. – № 6. – P. 756–780.</w:t>
      </w:r>
    </w:p>
    <w:p w14:paraId="2339B7F6" w14:textId="77777777" w:rsidR="00072DF2" w:rsidRPr="00D2321A" w:rsidRDefault="00072DF2" w:rsidP="00072DF2">
      <w:pPr>
        <w:spacing w:after="60" w:line="240" w:lineRule="auto"/>
        <w:jc w:val="both"/>
        <w:rPr>
          <w:rFonts w:ascii="Times New Roman" w:hAnsi="Times New Roman" w:cs="Times New Roman"/>
          <w:sz w:val="28"/>
          <w:szCs w:val="28"/>
        </w:rPr>
      </w:pPr>
      <w:r w:rsidRPr="00D2321A">
        <w:rPr>
          <w:rFonts w:ascii="Times New Roman" w:hAnsi="Times New Roman" w:cs="Times New Roman"/>
          <w:bCs/>
          <w:sz w:val="28"/>
          <w:szCs w:val="28"/>
        </w:rPr>
        <w:t>48.</w:t>
      </w:r>
      <w:r w:rsidRPr="00D2321A">
        <w:rPr>
          <w:rFonts w:ascii="Times New Roman" w:hAnsi="Times New Roman" w:cs="Times New Roman"/>
          <w:sz w:val="28"/>
          <w:szCs w:val="28"/>
        </w:rPr>
        <w:t xml:space="preserve"> Причины снижения зрения у детей 12 лет по данным республиканского декадника / А. Аубакирова [и др.] // Материалы 5-й межд. конференции. – 2006. – С. 19–22.</w:t>
      </w:r>
    </w:p>
    <w:p w14:paraId="78532098" w14:textId="77777777" w:rsidR="00072DF2" w:rsidRPr="00D2321A" w:rsidRDefault="00072DF2" w:rsidP="00072DF2">
      <w:pPr>
        <w:spacing w:after="60" w:line="240" w:lineRule="auto"/>
        <w:jc w:val="both"/>
        <w:rPr>
          <w:rFonts w:ascii="Times New Roman" w:hAnsi="Times New Roman" w:cs="Times New Roman"/>
          <w:sz w:val="28"/>
          <w:szCs w:val="28"/>
        </w:rPr>
      </w:pPr>
      <w:r w:rsidRPr="00D2321A">
        <w:rPr>
          <w:rFonts w:ascii="Times New Roman" w:hAnsi="Times New Roman" w:cs="Times New Roman"/>
          <w:bCs/>
          <w:sz w:val="28"/>
          <w:szCs w:val="28"/>
        </w:rPr>
        <w:t>49.</w:t>
      </w:r>
      <w:r w:rsidRPr="00D2321A">
        <w:rPr>
          <w:rFonts w:ascii="Times New Roman" w:hAnsi="Times New Roman" w:cs="Times New Roman"/>
          <w:sz w:val="28"/>
          <w:szCs w:val="28"/>
        </w:rPr>
        <w:t xml:space="preserve"> Аубакирова А.Ж., Кенжебаева К.С., Искакбаева Д.С. Клинико-статистическая характеристика миопии у школьников г. Алматы и особенности её лечения. – 2001. – № 4. – С. 8–10.</w:t>
      </w:r>
    </w:p>
    <w:p w14:paraId="28166B52" w14:textId="77777777" w:rsidR="00072DF2" w:rsidRPr="00D2321A" w:rsidRDefault="00072DF2" w:rsidP="00072DF2">
      <w:pPr>
        <w:spacing w:after="60" w:line="240" w:lineRule="auto"/>
        <w:jc w:val="both"/>
        <w:rPr>
          <w:rFonts w:ascii="Times New Roman" w:hAnsi="Times New Roman" w:cs="Times New Roman"/>
          <w:sz w:val="28"/>
          <w:szCs w:val="28"/>
        </w:rPr>
      </w:pPr>
      <w:r w:rsidRPr="00D2321A">
        <w:rPr>
          <w:rFonts w:ascii="Times New Roman" w:hAnsi="Times New Roman" w:cs="Times New Roman"/>
          <w:bCs/>
          <w:sz w:val="28"/>
          <w:szCs w:val="28"/>
        </w:rPr>
        <w:t>50.</w:t>
      </w:r>
      <w:r w:rsidRPr="00D2321A">
        <w:rPr>
          <w:rFonts w:ascii="Times New Roman" w:hAnsi="Times New Roman" w:cs="Times New Roman"/>
          <w:sz w:val="28"/>
          <w:szCs w:val="28"/>
        </w:rPr>
        <w:t xml:space="preserve"> Аубакирова А., Токсамбаева Г., Аужанова Р. Эффективность профилактики и лечения близорукости у детей в условиях школы // Қазақстан Офтальмологиялық журналы. – 2010. – С. 12–14.</w:t>
      </w:r>
    </w:p>
    <w:p w14:paraId="7F1FE54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rPr>
        <w:t>51.</w:t>
      </w:r>
      <w:r w:rsidRPr="00D2321A">
        <w:rPr>
          <w:rFonts w:ascii="Times New Roman" w:hAnsi="Times New Roman" w:cs="Times New Roman"/>
          <w:sz w:val="28"/>
          <w:szCs w:val="28"/>
        </w:rPr>
        <w:t xml:space="preserve"> Ботабекова Т.К., Кулкаева Г.У., Бурибаева Ж.К., Абдрахимова Д.Б. Офтальмология Казахстана в реализации глобального плана ВОЗ на 2014–2019 гг. </w:t>
      </w:r>
      <w:r w:rsidRPr="00D2321A">
        <w:rPr>
          <w:rFonts w:ascii="Times New Roman" w:hAnsi="Times New Roman" w:cs="Times New Roman"/>
          <w:sz w:val="28"/>
          <w:szCs w:val="28"/>
          <w:lang w:val="en-US"/>
        </w:rPr>
        <w:t>«</w:t>
      </w:r>
      <w:r w:rsidRPr="00D2321A">
        <w:rPr>
          <w:rFonts w:ascii="Times New Roman" w:hAnsi="Times New Roman" w:cs="Times New Roman"/>
          <w:sz w:val="28"/>
          <w:szCs w:val="28"/>
        </w:rPr>
        <w:t>Всеобщий</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доступ</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к</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здоровью</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глаз</w:t>
      </w:r>
      <w:r w:rsidRPr="00D2321A">
        <w:rPr>
          <w:rFonts w:ascii="Times New Roman" w:hAnsi="Times New Roman" w:cs="Times New Roman"/>
          <w:sz w:val="28"/>
          <w:szCs w:val="28"/>
          <w:lang w:val="en-US"/>
        </w:rPr>
        <w:t xml:space="preserve">». – 2013. – № 9. – </w:t>
      </w:r>
      <w:r w:rsidRPr="00D2321A">
        <w:rPr>
          <w:rFonts w:ascii="Times New Roman" w:hAnsi="Times New Roman" w:cs="Times New Roman"/>
          <w:sz w:val="28"/>
          <w:szCs w:val="28"/>
        </w:rPr>
        <w:t>С</w:t>
      </w:r>
      <w:r w:rsidRPr="00D2321A">
        <w:rPr>
          <w:rFonts w:ascii="Times New Roman" w:hAnsi="Times New Roman" w:cs="Times New Roman"/>
          <w:sz w:val="28"/>
          <w:szCs w:val="28"/>
          <w:lang w:val="en-US"/>
        </w:rPr>
        <w:t>. 10–15.</w:t>
      </w:r>
    </w:p>
    <w:p w14:paraId="05AADED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52.</w:t>
      </w:r>
      <w:r w:rsidRPr="00D2321A">
        <w:rPr>
          <w:rFonts w:ascii="Times New Roman" w:hAnsi="Times New Roman" w:cs="Times New Roman"/>
          <w:sz w:val="28"/>
          <w:szCs w:val="28"/>
          <w:lang w:val="en-US"/>
        </w:rPr>
        <w:t xml:space="preserve"> How does visual impairment affect performance on tasks of everyday life? The SEE Project. Salisbury Eye Evaluation / S.K. West [et al.] // Archives of Ophthalmology (Chicago, Ill.: 1960). – 2002. – Vol. 120. – № 6. – P. 774–780.</w:t>
      </w:r>
    </w:p>
    <w:p w14:paraId="0734554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53.</w:t>
      </w:r>
      <w:r w:rsidRPr="00D2321A">
        <w:rPr>
          <w:rFonts w:ascii="Times New Roman" w:hAnsi="Times New Roman" w:cs="Times New Roman"/>
          <w:sz w:val="28"/>
          <w:szCs w:val="28"/>
          <w:lang w:val="en-US"/>
        </w:rPr>
        <w:t xml:space="preserve"> Function and visual impairment in a population-based study of older adults. The SEE project. Salisbury Eye Evaluation / S.K. West [et al.] // Investigative Ophthalmology &amp; Visual Science. – 1997. – Vol. 38. – № 1. – P. 72–82.</w:t>
      </w:r>
    </w:p>
    <w:p w14:paraId="7DB90100"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54.</w:t>
      </w:r>
      <w:r w:rsidRPr="00D2321A">
        <w:rPr>
          <w:rFonts w:ascii="Times New Roman" w:hAnsi="Times New Roman" w:cs="Times New Roman"/>
          <w:sz w:val="28"/>
          <w:szCs w:val="28"/>
          <w:lang w:val="en-US"/>
        </w:rPr>
        <w:t xml:space="preserve"> Weih L.M., Hassell J.B., Keeffe J. Assessment of the impact of vision impairment // Investigative Ophthalmology &amp; Visual Science. – 2002. – Vol. 43. – № 4. – P. 927–935.</w:t>
      </w:r>
    </w:p>
    <w:p w14:paraId="3D68464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55.</w:t>
      </w:r>
      <w:r w:rsidRPr="00D2321A">
        <w:rPr>
          <w:rFonts w:ascii="Times New Roman" w:hAnsi="Times New Roman" w:cs="Times New Roman"/>
          <w:sz w:val="28"/>
          <w:szCs w:val="28"/>
          <w:lang w:val="en-US"/>
        </w:rPr>
        <w:t xml:space="preserve"> Lamoureux E.L., Hassell J.B., Keeffe J.E. The determinants of participation in activities of daily living in people with impaired vision // American Journal of Ophthalmology. – 2004. – Vol. 137. – № 2. – P. 265–270.</w:t>
      </w:r>
    </w:p>
    <w:p w14:paraId="645CCD3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56.</w:t>
      </w:r>
      <w:r w:rsidRPr="00D2321A">
        <w:rPr>
          <w:rFonts w:ascii="Times New Roman" w:hAnsi="Times New Roman" w:cs="Times New Roman"/>
          <w:sz w:val="28"/>
          <w:szCs w:val="28"/>
          <w:lang w:val="en-US"/>
        </w:rPr>
        <w:t xml:space="preserve"> Goldstand S., Koslowe K.C., Parush S. Vision, visual-information processing, and academic performance among seventh-grade schoolchildren: a more significant relationship than we thought? // The American Journal of Occupational Therapy. – 2005. – Vol. 59. – № 4. – P. 377–389.</w:t>
      </w:r>
    </w:p>
    <w:p w14:paraId="57396C07"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58.</w:t>
      </w:r>
      <w:r w:rsidRPr="00D2321A">
        <w:rPr>
          <w:rFonts w:ascii="Times New Roman" w:hAnsi="Times New Roman" w:cs="Times New Roman"/>
          <w:sz w:val="28"/>
          <w:szCs w:val="28"/>
          <w:lang w:val="en-US"/>
        </w:rPr>
        <w:t xml:space="preserve"> Parent, Teacher, and Student Perspectives on How Corrective Lenses Improve Child Wellbeing and School Function / R.N. Dudovitz [et al.] // Maternal and Child Health Journal. – 2016. – Vol. 20. – № 5. – P. 974–983.</w:t>
      </w:r>
    </w:p>
    <w:p w14:paraId="50F2397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59.</w:t>
      </w:r>
      <w:r w:rsidRPr="00D2321A">
        <w:rPr>
          <w:rFonts w:ascii="Times New Roman" w:hAnsi="Times New Roman" w:cs="Times New Roman"/>
          <w:sz w:val="28"/>
          <w:szCs w:val="28"/>
          <w:lang w:val="en-US"/>
        </w:rPr>
        <w:t xml:space="preserve"> A review on the epidemiology of myopia in school children worldwide / A. Grzybowski [et al.] // BMC Ophthalmology. – 2020. – Vol. 20. – № 1. – P. 27.</w:t>
      </w:r>
    </w:p>
    <w:p w14:paraId="77933370"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60.</w:t>
      </w:r>
      <w:r w:rsidRPr="00D2321A">
        <w:rPr>
          <w:rFonts w:ascii="Times New Roman" w:hAnsi="Times New Roman" w:cs="Times New Roman"/>
          <w:sz w:val="28"/>
          <w:szCs w:val="28"/>
          <w:lang w:val="en-US"/>
        </w:rPr>
        <w:t xml:space="preserve"> World Health Organization. World Health Report 2004. Changing History. – Geneva: World Health Organization, 2004.</w:t>
      </w:r>
    </w:p>
    <w:p w14:paraId="65294C2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61.</w:t>
      </w:r>
      <w:r w:rsidRPr="00D2321A">
        <w:rPr>
          <w:rFonts w:ascii="Times New Roman" w:hAnsi="Times New Roman" w:cs="Times New Roman"/>
          <w:sz w:val="28"/>
          <w:szCs w:val="28"/>
          <w:lang w:val="en-US"/>
        </w:rPr>
        <w:t xml:space="preserve"> World Health Organization. The global burden of disease: 2004 update. – Geneva: WHO, 2008. – 146 p. – ISBN 978-92-4-156371-0..</w:t>
      </w:r>
    </w:p>
    <w:p w14:paraId="7C5AF60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62.</w:t>
      </w:r>
      <w:r w:rsidRPr="00D2321A">
        <w:rPr>
          <w:rFonts w:ascii="Times New Roman" w:hAnsi="Times New Roman" w:cs="Times New Roman"/>
          <w:sz w:val="28"/>
          <w:szCs w:val="28"/>
          <w:lang w:val="en-US"/>
        </w:rPr>
        <w:t xml:space="preserve"> World Health Organization. Classification of Diseases (ICD). – URL: </w:t>
      </w:r>
      <w:hyperlink r:id="rId37" w:tgtFrame="_new" w:history="1">
        <w:r w:rsidRPr="00D2321A">
          <w:rPr>
            <w:rFonts w:ascii="Times New Roman" w:hAnsi="Times New Roman" w:cs="Times New Roman"/>
            <w:color w:val="0563C1" w:themeColor="hyperlink"/>
            <w:sz w:val="28"/>
            <w:szCs w:val="28"/>
            <w:u w:val="single"/>
            <w:lang w:val="en-US"/>
          </w:rPr>
          <w:t>https://www.who.int/standards/classifications/classification-of-diseases</w:t>
        </w:r>
      </w:hyperlink>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дата</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обращения</w:t>
      </w:r>
      <w:r w:rsidRPr="00D2321A">
        <w:rPr>
          <w:rFonts w:ascii="Times New Roman" w:hAnsi="Times New Roman" w:cs="Times New Roman"/>
          <w:sz w:val="28"/>
          <w:szCs w:val="28"/>
          <w:lang w:val="en-US"/>
        </w:rPr>
        <w:t>: 11.04.2021).</w:t>
      </w:r>
    </w:p>
    <w:p w14:paraId="489DCC3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63.</w:t>
      </w:r>
      <w:r w:rsidRPr="00D2321A">
        <w:rPr>
          <w:rFonts w:ascii="Times New Roman" w:hAnsi="Times New Roman" w:cs="Times New Roman"/>
          <w:sz w:val="28"/>
          <w:szCs w:val="28"/>
          <w:lang w:val="en-US"/>
        </w:rPr>
        <w:t xml:space="preserve"> Dandona L., Dandona R. Revision of visual impairment definitions in the International Statistical Classification of Diseases // BMC Medicine. – 2006. – Vol. 4. – P. 7.</w:t>
      </w:r>
    </w:p>
    <w:p w14:paraId="68B0AAC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64.</w:t>
      </w:r>
      <w:r w:rsidRPr="00D2321A">
        <w:rPr>
          <w:rFonts w:ascii="Times New Roman" w:hAnsi="Times New Roman" w:cs="Times New Roman"/>
          <w:sz w:val="28"/>
          <w:szCs w:val="28"/>
          <w:lang w:val="en-US"/>
        </w:rPr>
        <w:t xml:space="preserve"> Dandona L., Dandona R. What is the global burden of visual impairment? // BMC Medicine. – 2006. – Vol. 4. – P. 6.</w:t>
      </w:r>
    </w:p>
    <w:p w14:paraId="5C958397"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65.</w:t>
      </w:r>
      <w:r w:rsidRPr="00D2321A">
        <w:rPr>
          <w:rFonts w:ascii="Times New Roman" w:hAnsi="Times New Roman" w:cs="Times New Roman"/>
          <w:sz w:val="28"/>
          <w:szCs w:val="28"/>
          <w:lang w:val="en-US"/>
        </w:rPr>
        <w:t xml:space="preserve"> Burden of moderate visual impairment in an urban population in southern India / L. Dandona [et al.] // Ophthalmology. – 1999. – Vol. 106. – № 3. – P. 497–504.</w:t>
      </w:r>
    </w:p>
    <w:p w14:paraId="6EE6212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66.</w:t>
      </w:r>
      <w:r w:rsidRPr="00D2321A">
        <w:rPr>
          <w:rFonts w:ascii="Times New Roman" w:hAnsi="Times New Roman" w:cs="Times New Roman"/>
          <w:sz w:val="28"/>
          <w:szCs w:val="28"/>
          <w:lang w:val="en-US"/>
        </w:rPr>
        <w:t xml:space="preserve"> Pascolini D., Mariotti S.P. Global estimates of visual impairment: 2010 // British Journal of Ophthalmology. – 2012. – Vol. 96. – № 5. – P. 614–618.</w:t>
      </w:r>
    </w:p>
    <w:p w14:paraId="0D91D0B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67.</w:t>
      </w:r>
      <w:r w:rsidRPr="00D2321A">
        <w:rPr>
          <w:rFonts w:ascii="Times New Roman" w:hAnsi="Times New Roman" w:cs="Times New Roman"/>
          <w:sz w:val="28"/>
          <w:szCs w:val="28"/>
          <w:lang w:val="en-US"/>
        </w:rPr>
        <w:t xml:space="preserve"> Causes of vision loss worldwide, 1990–2010: a systematic analysis / R.R.A. Bourne [et al.] // The Lancet. Global Health. – 2013. – Vol. 1. – № 6. – P. e339–e349.</w:t>
      </w:r>
    </w:p>
    <w:p w14:paraId="2E00111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68.</w:t>
      </w:r>
      <w:r w:rsidRPr="00D2321A">
        <w:rPr>
          <w:rFonts w:ascii="Times New Roman" w:hAnsi="Times New Roman" w:cs="Times New Roman"/>
          <w:sz w:val="28"/>
          <w:szCs w:val="28"/>
          <w:lang w:val="en-US"/>
        </w:rPr>
        <w:t xml:space="preserve"> Global magnitude of visual impairment caused by uncorrected refractive errors in 2004 / S. Resnikoff [et al.] // Bulletin of the World Health Organization. – 2008. – Vol. 86. – № 1. – P. 63–70.</w:t>
      </w:r>
    </w:p>
    <w:p w14:paraId="539D2DD9"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69.</w:t>
      </w:r>
      <w:r w:rsidRPr="00D2321A">
        <w:rPr>
          <w:rFonts w:ascii="Times New Roman" w:hAnsi="Times New Roman" w:cs="Times New Roman"/>
          <w:sz w:val="28"/>
          <w:szCs w:val="28"/>
          <w:lang w:val="en-US"/>
        </w:rPr>
        <w:t xml:space="preserve"> Holden B.A. [et al.] Towards better estimates of uncorrected presbyopia // Bulletin of the World Health Organization. – 2015. – Vol. 93. – № 10. – P. 667.</w:t>
      </w:r>
    </w:p>
    <w:p w14:paraId="4FF4AD08"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70.</w:t>
      </w:r>
      <w:r w:rsidRPr="00D2321A">
        <w:rPr>
          <w:rFonts w:ascii="Times New Roman" w:hAnsi="Times New Roman" w:cs="Times New Roman"/>
          <w:sz w:val="28"/>
          <w:szCs w:val="28"/>
          <w:lang w:val="en-US"/>
        </w:rPr>
        <w:t xml:space="preserve"> New Systematic Review Methodology for Visual Impairment and Blindness for the 2010 Global Burden of Disease Study / R. Bourne [et al.] // Ophthalmic Epidemiology. – 2013. – Vol. 20. – № 1. – P. 33.</w:t>
      </w:r>
    </w:p>
    <w:p w14:paraId="789EE58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71.</w:t>
      </w:r>
      <w:r w:rsidRPr="00D2321A">
        <w:rPr>
          <w:rFonts w:ascii="Times New Roman" w:hAnsi="Times New Roman" w:cs="Times New Roman"/>
          <w:sz w:val="28"/>
          <w:szCs w:val="28"/>
          <w:lang w:val="en-US"/>
        </w:rPr>
        <w:t xml:space="preserve"> Uncorrected refractive error: the major and most easily avoidable cause of vision loss // Community Eye Health. – 2007. – Vol. 20. – № 63. – P. 37–39.</w:t>
      </w:r>
    </w:p>
    <w:p w14:paraId="02D8027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72.</w:t>
      </w:r>
      <w:r w:rsidRPr="00D2321A">
        <w:rPr>
          <w:rFonts w:ascii="Times New Roman" w:hAnsi="Times New Roman" w:cs="Times New Roman"/>
          <w:sz w:val="28"/>
          <w:szCs w:val="28"/>
          <w:lang w:val="en-US"/>
        </w:rPr>
        <w:t xml:space="preserve"> Global Burden of Visual Impairment and Blindness / R. Bourne [et al.] // Archives of Ophthalmology. – 2012. – Vol. 130. – № 5. – P. 645–647.</w:t>
      </w:r>
    </w:p>
    <w:p w14:paraId="33E2B53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73.</w:t>
      </w:r>
      <w:r w:rsidRPr="00D2321A">
        <w:rPr>
          <w:rFonts w:ascii="Times New Roman" w:hAnsi="Times New Roman" w:cs="Times New Roman"/>
          <w:sz w:val="28"/>
          <w:szCs w:val="28"/>
          <w:lang w:val="en-US"/>
        </w:rPr>
        <w:t xml:space="preserve"> Naidoo K, Govender P, Holden B. The uncorrected refractive error challenge. Community Eye Health. 2014;27(88):74-75.</w:t>
      </w:r>
    </w:p>
    <w:p w14:paraId="1B4FDF99"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74.</w:t>
      </w:r>
      <w:r w:rsidRPr="00D2321A">
        <w:rPr>
          <w:rFonts w:ascii="Times New Roman" w:hAnsi="Times New Roman" w:cs="Times New Roman"/>
          <w:sz w:val="28"/>
          <w:szCs w:val="28"/>
          <w:lang w:val="en-US"/>
        </w:rPr>
        <w:t xml:space="preserve"> Visual impairment, uncorrected refractive error, and objectively measured balance in the United States / J.R. Willis [et al.] // JAMA Ophthalmology. – 2013. – Vol. 131. – № 8. – P. 1049–1056.</w:t>
      </w:r>
    </w:p>
    <w:p w14:paraId="6241B36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75.</w:t>
      </w:r>
      <w:r w:rsidRPr="00D2321A">
        <w:rPr>
          <w:rFonts w:ascii="Times New Roman" w:hAnsi="Times New Roman" w:cs="Times New Roman"/>
          <w:sz w:val="28"/>
          <w:szCs w:val="28"/>
          <w:lang w:val="en-US"/>
        </w:rPr>
        <w:t xml:space="preserve"> Vu H.T.V. [et al.] Impact of unilateral and bilateral vision loss on quality of life // The British Journal of Ophthalmology. – 2005. – Vol. 89. – № 3. – P. 360–363.</w:t>
      </w:r>
    </w:p>
    <w:p w14:paraId="0D8CEA9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76.</w:t>
      </w:r>
      <w:r w:rsidRPr="00D2321A">
        <w:rPr>
          <w:rFonts w:ascii="Times New Roman" w:hAnsi="Times New Roman" w:cs="Times New Roman"/>
          <w:sz w:val="28"/>
          <w:szCs w:val="28"/>
          <w:lang w:val="en-US"/>
        </w:rPr>
        <w:t xml:space="preserve"> Ball K. [et al.] Driving avoidance and functional impairment in older drivers // Accident Analysis and Prevention. – 1998. – Vol. 30. – № 3. – P. 313–322.</w:t>
      </w:r>
    </w:p>
    <w:p w14:paraId="72113B3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77.</w:t>
      </w:r>
      <w:r w:rsidRPr="00D2321A">
        <w:rPr>
          <w:rFonts w:ascii="Times New Roman" w:hAnsi="Times New Roman" w:cs="Times New Roman"/>
          <w:sz w:val="28"/>
          <w:szCs w:val="28"/>
          <w:lang w:val="en-US"/>
        </w:rPr>
        <w:t xml:space="preserve"> Keeffe J.E. [et al.] Vision impairment and older drivers: who’s driving? // The British Journal of Ophthalmology. – 2002. – Vol. 86. – № 10. – P. 1118–1121.</w:t>
      </w:r>
    </w:p>
    <w:p w14:paraId="1A1A617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78.</w:t>
      </w:r>
      <w:r w:rsidRPr="00D2321A">
        <w:rPr>
          <w:rFonts w:ascii="Times New Roman" w:hAnsi="Times New Roman" w:cs="Times New Roman"/>
          <w:sz w:val="28"/>
          <w:szCs w:val="28"/>
          <w:lang w:val="en-US"/>
        </w:rPr>
        <w:t xml:space="preserve"> Magnitude, temporal trends, and projections of the global prevalence of blindness and distance and near vision impairment: a systematic review and meta-analysis / R.R.A. Bourne [et al.] // The Lancet. Global Health. – 2017. – Vol. 5. – № 9. – P. e888–e897.</w:t>
      </w:r>
    </w:p>
    <w:p w14:paraId="0119BEA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79.</w:t>
      </w:r>
      <w:r w:rsidRPr="00D2321A">
        <w:rPr>
          <w:rFonts w:ascii="Times New Roman" w:hAnsi="Times New Roman" w:cs="Times New Roman"/>
          <w:sz w:val="28"/>
          <w:szCs w:val="28"/>
          <w:lang w:val="en-US"/>
        </w:rPr>
        <w:t xml:space="preserve"> Vitale S. [et al.] Costs of refractive correction of distance vision impairment in the United States, 1999–2002 // Ophthalmology. – 2006. – Vol. 113. – № 12. – P. 2163–2170.</w:t>
      </w:r>
    </w:p>
    <w:p w14:paraId="53B44E95"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80.</w:t>
      </w:r>
      <w:r w:rsidRPr="00D2321A">
        <w:rPr>
          <w:rFonts w:ascii="Times New Roman" w:hAnsi="Times New Roman" w:cs="Times New Roman"/>
          <w:sz w:val="28"/>
          <w:szCs w:val="28"/>
          <w:lang w:val="en-US"/>
        </w:rPr>
        <w:t xml:space="preserve"> GBD 2019 Blindness and Vision Impairment Collaborators, Vision Loss Expert Group of the Global Burden of Disease Study. Trends in prevalence of blindness and distance and near vision impairment over 30 years // The Lancet. Global Health. – 2020.</w:t>
      </w:r>
    </w:p>
    <w:p w14:paraId="4737874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81.</w:t>
      </w:r>
      <w:r w:rsidRPr="00D2321A">
        <w:rPr>
          <w:rFonts w:ascii="Times New Roman" w:eastAsia="Times New Roman" w:hAnsi="Times New Roman" w:cs="Times New Roman"/>
          <w:sz w:val="28"/>
          <w:szCs w:val="28"/>
          <w:lang w:val="en-US"/>
        </w:rPr>
        <w:t xml:space="preserve"> Sharma P. The pursuit of stereopsis // Journal of AAPOS. – 2018. – Vol. 22, № 1. – P. 2.e1–2.e5.</w:t>
      </w:r>
    </w:p>
    <w:p w14:paraId="384D188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82.</w:t>
      </w:r>
      <w:r w:rsidRPr="00D2321A">
        <w:rPr>
          <w:rFonts w:ascii="Times New Roman" w:eastAsia="Times New Roman" w:hAnsi="Times New Roman" w:cs="Times New Roman"/>
          <w:sz w:val="28"/>
          <w:szCs w:val="28"/>
          <w:lang w:val="en-US"/>
        </w:rPr>
        <w:t xml:space="preserve"> Fielder A.R., Moseley M.J. Does stereopsis matter in humans? // Eye. – 1996. – Vol. 10 (Pt 2). – P. 233–238.</w:t>
      </w:r>
    </w:p>
    <w:p w14:paraId="00B3420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83.</w:t>
      </w:r>
      <w:r w:rsidRPr="00D2321A">
        <w:rPr>
          <w:rFonts w:ascii="Times New Roman" w:eastAsia="Times New Roman" w:hAnsi="Times New Roman" w:cs="Times New Roman"/>
          <w:sz w:val="28"/>
          <w:szCs w:val="28"/>
          <w:lang w:val="en-US"/>
        </w:rPr>
        <w:t xml:space="preserve"> Singh P., Sah S., Rawat S.S., et al. Effect of induced anisometropia on stereopsis and surgical tasks in a simulated environment // Indian Journal of Ophthalmology. – 2021. – Vol. 69, № 3. – P. 568–572.</w:t>
      </w:r>
    </w:p>
    <w:p w14:paraId="77F7A1A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84.</w:t>
      </w:r>
      <w:r w:rsidRPr="00D2321A">
        <w:rPr>
          <w:rFonts w:ascii="Times New Roman" w:eastAsia="Times New Roman" w:hAnsi="Times New Roman" w:cs="Times New Roman"/>
          <w:sz w:val="28"/>
          <w:szCs w:val="28"/>
          <w:lang w:val="en-US"/>
        </w:rPr>
        <w:t xml:space="preserve"> Vu H.T.V., Keeffe J.E., McCarty C.A., Taylor H.R. Impact of unilateral and bilateral vision loss on quality of life // The British Journal of Ophthalmology. – 2005. – Vol. 89, № 3. – P. 360–363.</w:t>
      </w:r>
    </w:p>
    <w:p w14:paraId="7200C76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85.</w:t>
      </w:r>
      <w:r w:rsidRPr="00D2321A">
        <w:rPr>
          <w:rFonts w:ascii="Times New Roman" w:eastAsia="Times New Roman" w:hAnsi="Times New Roman" w:cs="Times New Roman"/>
          <w:sz w:val="28"/>
          <w:szCs w:val="28"/>
          <w:lang w:val="en-US"/>
        </w:rPr>
        <w:t xml:space="preserve"> McConnell R.A., Wishart P.K., Wells J.A., et al. A survey of the visual acuity of Brisbane drivers // The Medical Journal of Australia. – 1991. – Vol. 155, № 2. – P. 107–111.</w:t>
      </w:r>
    </w:p>
    <w:p w14:paraId="22EF847B"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86.</w:t>
      </w:r>
      <w:r w:rsidRPr="00D2321A">
        <w:rPr>
          <w:rFonts w:ascii="Times New Roman" w:eastAsia="Times New Roman" w:hAnsi="Times New Roman" w:cs="Times New Roman"/>
          <w:sz w:val="28"/>
          <w:szCs w:val="28"/>
          <w:lang w:val="en-US"/>
        </w:rPr>
        <w:t xml:space="preserve"> Vitale S., Cotch M.F., Sperduto R.D. Prevalence of visual impairment in the United States // JAMA. – 2006. – Vol. 295, № 18. – P. 2158–2163.</w:t>
      </w:r>
    </w:p>
    <w:p w14:paraId="59BA1B1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87.</w:t>
      </w:r>
      <w:r w:rsidRPr="00D2321A">
        <w:rPr>
          <w:rFonts w:ascii="Times New Roman" w:eastAsia="Times New Roman" w:hAnsi="Times New Roman" w:cs="Times New Roman"/>
          <w:sz w:val="28"/>
          <w:szCs w:val="28"/>
          <w:lang w:val="en-US"/>
        </w:rPr>
        <w:t xml:space="preserve"> Kempen J.H., Mitchell P., Lee K.E., et al. The prevalence of refractive errors among adults in the United States, Western Europe, and Australia // Archives of Ophthalmology. – 2004. – Vol. 122, № 4. – P. 495–505.</w:t>
      </w:r>
    </w:p>
    <w:p w14:paraId="53AEAC0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88.</w:t>
      </w:r>
      <w:r w:rsidRPr="00D2321A">
        <w:rPr>
          <w:rFonts w:ascii="Times New Roman" w:eastAsia="Times New Roman" w:hAnsi="Times New Roman" w:cs="Times New Roman"/>
          <w:sz w:val="28"/>
          <w:szCs w:val="28"/>
          <w:lang w:val="en-US"/>
        </w:rPr>
        <w:t xml:space="preserve"> Williams K.M., Bertelsen G., Cumberland P., et al. Prevalence of refractive error in Europe: the European Eye Epidemiology (E(3)) Consortium // European Journal of Epidemiology. – 2015. – Vol. 30, № 4. – P. 305–315.</w:t>
      </w:r>
    </w:p>
    <w:p w14:paraId="6F0A84D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89.</w:t>
      </w:r>
      <w:r w:rsidRPr="00D2321A">
        <w:rPr>
          <w:rFonts w:ascii="Times New Roman" w:eastAsia="Times New Roman" w:hAnsi="Times New Roman" w:cs="Times New Roman"/>
          <w:sz w:val="28"/>
          <w:szCs w:val="28"/>
          <w:lang w:val="en-US"/>
        </w:rPr>
        <w:t xml:space="preserve"> Resnikoff S., Pascolini D., Mariotti S.P., Pokharel G.P. Global magnitude of visual impairment caused by uncorrected refractive errors in 2004 // Bulletin of the World Health Organization. – 2008. – Vol. 86. – № 1. – P. 63–70.</w:t>
      </w:r>
    </w:p>
    <w:p w14:paraId="01975FC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90.</w:t>
      </w:r>
      <w:r w:rsidRPr="00D2321A">
        <w:rPr>
          <w:rFonts w:ascii="Times New Roman" w:eastAsia="Times New Roman" w:hAnsi="Times New Roman" w:cs="Times New Roman"/>
          <w:sz w:val="28"/>
          <w:szCs w:val="28"/>
          <w:lang w:val="en-US"/>
        </w:rPr>
        <w:t xml:space="preserve"> Holden B.A. The Impact of Myopia and High Myopia: Report of the Joint World Health Organization–Brien Holden Vision Institute Global Scientific Meeting on Myopia. – Sydney: University of New South Wales, 2015. – P. 5.</w:t>
      </w:r>
    </w:p>
    <w:p w14:paraId="27426BA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91.</w:t>
      </w:r>
      <w:r w:rsidRPr="00D2321A">
        <w:rPr>
          <w:rFonts w:ascii="Times New Roman" w:eastAsia="Times New Roman" w:hAnsi="Times New Roman" w:cs="Times New Roman"/>
          <w:sz w:val="28"/>
          <w:szCs w:val="28"/>
          <w:lang w:val="en-US"/>
        </w:rPr>
        <w:t xml:space="preserve"> Verlee D.L. Ophthalmic survey in the Solomon Islands // American Journal of Ophthalmology. – 1968. – Vol. 66, № 2. – P. 304–319.</w:t>
      </w:r>
    </w:p>
    <w:p w14:paraId="3A29948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92.</w:t>
      </w:r>
      <w:r w:rsidRPr="00D2321A">
        <w:rPr>
          <w:rFonts w:ascii="Times New Roman" w:eastAsia="Times New Roman" w:hAnsi="Times New Roman" w:cs="Times New Roman"/>
          <w:sz w:val="28"/>
          <w:szCs w:val="28"/>
          <w:lang w:val="en-US"/>
        </w:rPr>
        <w:t xml:space="preserve"> Jung S.-K., Lee J.H., Kakizaki H., Jee D. Prevalence of myopia and its association with body stature and educational level in 19-year-old male conscripts in Seoul, South Korea // Investigative Ophthalmology &amp; Visual Science. – 2012. – Vol. 53, № 9. – P. 5579–5583.</w:t>
      </w:r>
    </w:p>
    <w:p w14:paraId="6833EBB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93.</w:t>
      </w:r>
      <w:r w:rsidRPr="00D2321A">
        <w:rPr>
          <w:rFonts w:ascii="Times New Roman" w:eastAsia="Times New Roman" w:hAnsi="Times New Roman" w:cs="Times New Roman"/>
          <w:sz w:val="28"/>
          <w:szCs w:val="28"/>
          <w:lang w:val="en-US"/>
        </w:rPr>
        <w:t xml:space="preserve"> Katz J., Tielsch J.M., Sommer A. Prevalence and risk factors for refractive errors in an adult inner city population // Investigative Ophthalmology &amp; Visual Science. – 1997. – Vol. 38, № 2. – P. 334–340.</w:t>
      </w:r>
    </w:p>
    <w:p w14:paraId="2AE7174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94.</w:t>
      </w:r>
      <w:r w:rsidRPr="00D2321A">
        <w:rPr>
          <w:rFonts w:ascii="Times New Roman" w:eastAsia="Times New Roman" w:hAnsi="Times New Roman" w:cs="Times New Roman"/>
          <w:sz w:val="28"/>
          <w:szCs w:val="28"/>
          <w:lang w:val="en-US"/>
        </w:rPr>
        <w:t xml:space="preserve"> Sperduto R.D., Seigel D.G., Roberts J., Rowland M. Prevalence of myopia in the United States // Archives of Ophthalmology. – 1983. – Vol. 101, № 3. – P. 405–407.</w:t>
      </w:r>
    </w:p>
    <w:p w14:paraId="7E7527C1"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95.</w:t>
      </w:r>
      <w:r w:rsidRPr="00D2321A">
        <w:rPr>
          <w:rFonts w:ascii="Times New Roman" w:eastAsia="Times New Roman" w:hAnsi="Times New Roman" w:cs="Times New Roman"/>
          <w:sz w:val="28"/>
          <w:szCs w:val="28"/>
          <w:lang w:val="en-US"/>
        </w:rPr>
        <w:t xml:space="preserve"> Eckert K.A., Carter M.J., Lansingh V.C., et al. A simple method for estimating the economic cost of productivity loss due to blindness and moderate to severe visual impairment // Ophthalmic Epidemiology. – 2015. – Vol. 22, № 5. – P. 349–355.</w:t>
      </w:r>
    </w:p>
    <w:p w14:paraId="6F8307F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96.</w:t>
      </w:r>
      <w:r w:rsidRPr="00D2321A">
        <w:rPr>
          <w:rFonts w:ascii="Times New Roman" w:eastAsia="Times New Roman" w:hAnsi="Times New Roman" w:cs="Times New Roman"/>
          <w:sz w:val="28"/>
          <w:szCs w:val="28"/>
          <w:lang w:val="en-US"/>
        </w:rPr>
        <w:t xml:space="preserve"> Flaxman S.R., Bourne R.R.A., Resnikoff S., et al. Global causes of blindness and distance vision impairment 1990–2020: a systematic review and meta-analysis // The Lancet Global Health. – 2017. – Vol. 5, № 12. – P. e1221–e1234.</w:t>
      </w:r>
    </w:p>
    <w:p w14:paraId="10D50AC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97.</w:t>
      </w:r>
      <w:r w:rsidRPr="00D2321A">
        <w:rPr>
          <w:rFonts w:ascii="Times New Roman" w:eastAsia="Times New Roman" w:hAnsi="Times New Roman" w:cs="Times New Roman"/>
          <w:sz w:val="28"/>
          <w:szCs w:val="28"/>
          <w:lang w:val="en-US"/>
        </w:rPr>
        <w:t xml:space="preserve"> Rudnicka A.R., Kapetanakis V.V., Wathern A.K., et al. Global variations and time trends in the prevalence of childhood myopia: a systematic review and quantitative meta-analysis // The British Journal of Ophthalmology. – 2016. – Vol. 100, № 7. – P. 882–890.</w:t>
      </w:r>
    </w:p>
    <w:p w14:paraId="580A9CB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98.</w:t>
      </w:r>
      <w:r w:rsidRPr="00D2321A">
        <w:rPr>
          <w:rFonts w:ascii="Times New Roman" w:eastAsia="Times New Roman" w:hAnsi="Times New Roman" w:cs="Times New Roman"/>
          <w:sz w:val="28"/>
          <w:szCs w:val="28"/>
          <w:lang w:val="en-US"/>
        </w:rPr>
        <w:t xml:space="preserve"> Nishimura M., Wu W.K., Sran S., et al. Feasibility of a school-based vision screening program to detect undiagnosed visual problems in kindergarten children in Ontario // CMAJ. – 2020. – Vol. 192, № 29. – P. E822–E831.</w:t>
      </w:r>
    </w:p>
    <w:p w14:paraId="2A2A724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99.</w:t>
      </w:r>
      <w:r w:rsidRPr="00D2321A">
        <w:rPr>
          <w:rFonts w:ascii="Times New Roman" w:eastAsia="Times New Roman" w:hAnsi="Times New Roman" w:cs="Times New Roman"/>
          <w:sz w:val="28"/>
          <w:szCs w:val="28"/>
          <w:lang w:val="en-US"/>
        </w:rPr>
        <w:t xml:space="preserve"> Drover J.R., Felius J., Cheng C.S., et al. Prevalence of amblyopia and other vision disorders in young Newfoundland and Labrador children // Canadian Journal of Ophthalmology. – 2008. – Vol. 43, № 1. – P. 89–94.</w:t>
      </w:r>
    </w:p>
    <w:p w14:paraId="396E827B"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100.</w:t>
      </w:r>
      <w:r w:rsidRPr="00D2321A">
        <w:rPr>
          <w:rFonts w:ascii="Times New Roman" w:eastAsia="Times New Roman" w:hAnsi="Times New Roman" w:cs="Times New Roman"/>
          <w:sz w:val="28"/>
          <w:szCs w:val="28"/>
          <w:lang w:val="en-US"/>
        </w:rPr>
        <w:t xml:space="preserve"> Dolgin E. The myopia boom // Nature. – 2015. – Vol. 519, № 7543. – P. 276–278.</w:t>
      </w:r>
    </w:p>
    <w:p w14:paraId="5F90721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101.</w:t>
      </w:r>
      <w:r w:rsidRPr="00D2321A">
        <w:rPr>
          <w:rFonts w:ascii="Times New Roman" w:eastAsia="Times New Roman" w:hAnsi="Times New Roman" w:cs="Times New Roman"/>
          <w:sz w:val="28"/>
          <w:szCs w:val="28"/>
          <w:lang w:val="en-US"/>
        </w:rPr>
        <w:t xml:space="preserve"> McCullough S.J. Six Year Refractive Change among White Children and Young Adults: Evidence for Significant Increase in Myopia among White UK Children / S.J. McCullough, L. O’Donoghue, K.J. Saunders // PloS One. – 2016. – Vol. 11. – № 1. – P. e0146332.</w:t>
      </w:r>
    </w:p>
    <w:p w14:paraId="43769CA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102.</w:t>
      </w:r>
      <w:r w:rsidRPr="00D2321A">
        <w:rPr>
          <w:rFonts w:ascii="Times New Roman" w:eastAsia="Times New Roman" w:hAnsi="Times New Roman" w:cs="Times New Roman"/>
          <w:sz w:val="28"/>
          <w:szCs w:val="28"/>
          <w:lang w:val="en-US"/>
        </w:rPr>
        <w:t xml:space="preserve"> Pärssinen O. The increased prevalence of myopia in Finland / O. Pärssinen // Acta Ophthalmologica. – 2012. – Vol. 90. – № 6. – P. 497–502.</w:t>
      </w:r>
    </w:p>
    <w:p w14:paraId="3865600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103.</w:t>
      </w:r>
      <w:r w:rsidRPr="00D2321A">
        <w:rPr>
          <w:rFonts w:ascii="Times New Roman" w:eastAsia="Times New Roman" w:hAnsi="Times New Roman" w:cs="Times New Roman"/>
          <w:sz w:val="28"/>
          <w:szCs w:val="28"/>
          <w:lang w:val="en-US"/>
        </w:rPr>
        <w:t xml:space="preserve"> Grandmothers’ smoking in pregnancy is associated with a reduced prevalence of early-onset myopia / C. Williams [et al.] // Scientific Reports. – 2019. – Vol. 9.</w:t>
      </w:r>
    </w:p>
    <w:p w14:paraId="2421DBD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104.</w:t>
      </w:r>
      <w:r w:rsidRPr="00D2321A">
        <w:rPr>
          <w:rFonts w:ascii="Times New Roman" w:eastAsia="Times New Roman" w:hAnsi="Times New Roman" w:cs="Times New Roman"/>
          <w:sz w:val="28"/>
          <w:szCs w:val="28"/>
          <w:lang w:val="en-US"/>
        </w:rPr>
        <w:t xml:space="preserve"> Refractive error and visual impairment in Ireland schoolchildren / S.C. Harrington [et al.] // The British Journal of Ophthalmology. – 2019. – Vol. 103. – № 8. – P. 1112–1118.</w:t>
      </w:r>
    </w:p>
    <w:p w14:paraId="41FA8A4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105.</w:t>
      </w:r>
      <w:r w:rsidRPr="00D2321A">
        <w:rPr>
          <w:rFonts w:ascii="Times New Roman" w:eastAsia="Times New Roman" w:hAnsi="Times New Roman" w:cs="Times New Roman"/>
          <w:sz w:val="28"/>
          <w:szCs w:val="28"/>
          <w:lang w:val="en-US"/>
        </w:rPr>
        <w:t xml:space="preserve"> The Changing Prevalence of Myopia in Young Adults: A 13-Year Series of Population-Based Prevalence Surveys / Y.B. Dayan [et al.] // Investigative Ophthalmology &amp; Visual Science. – 2005. – Vol. 46. – № 8. – P. 2760–2765.</w:t>
      </w:r>
    </w:p>
    <w:p w14:paraId="4397F68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106.</w:t>
      </w:r>
      <w:r w:rsidRPr="00D2321A">
        <w:rPr>
          <w:rFonts w:ascii="Times New Roman" w:eastAsia="Times New Roman" w:hAnsi="Times New Roman" w:cs="Times New Roman"/>
          <w:sz w:val="28"/>
          <w:szCs w:val="28"/>
          <w:lang w:val="en-US"/>
        </w:rPr>
        <w:t xml:space="preserve"> Rosner M. A nation-wide study of myopia prevalence in Israel. Findings in a population of 312,149 young adults / M. Rosner, M. Belkin // Metabolic, Pediatric, and Systemic Ophthalmology. – 1991. – Vol. 14. – № 2. – P. 37–41.</w:t>
      </w:r>
    </w:p>
    <w:p w14:paraId="37DA458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107.</w:t>
      </w:r>
      <w:r w:rsidRPr="00D2321A">
        <w:rPr>
          <w:rFonts w:ascii="Times New Roman" w:eastAsia="Times New Roman" w:hAnsi="Times New Roman" w:cs="Times New Roman"/>
          <w:sz w:val="28"/>
          <w:szCs w:val="28"/>
          <w:lang w:val="en-US"/>
        </w:rPr>
        <w:t xml:space="preserve"> Prevalence of uncorrected refractive errors among children aged 3–10 years in western Saudi Arabia / N.H.R. Alrahili [et al.] // Saudi Medical Journal. – 2017. – Vol. 38. – № 8. – P. 804–810.</w:t>
      </w:r>
    </w:p>
    <w:p w14:paraId="4BA94E3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108.</w:t>
      </w:r>
      <w:r w:rsidRPr="00D2321A">
        <w:rPr>
          <w:rFonts w:ascii="Times New Roman" w:eastAsia="Times New Roman" w:hAnsi="Times New Roman" w:cs="Times New Roman"/>
          <w:sz w:val="28"/>
          <w:szCs w:val="28"/>
          <w:lang w:val="en-US"/>
        </w:rPr>
        <w:t xml:space="preserve"> Visual acuity and refraction by age for children of three different ethnic groups in Paraguay / M.J. Carter [et al.] // Arquivos Brasileiros De Oftalmologia. – 2013. – Vol. 76. – № 2. – P. 94–97.</w:t>
      </w:r>
    </w:p>
    <w:p w14:paraId="392B54F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109.</w:t>
      </w:r>
      <w:r w:rsidRPr="00D2321A">
        <w:rPr>
          <w:rFonts w:ascii="Times New Roman" w:eastAsia="Times New Roman" w:hAnsi="Times New Roman" w:cs="Times New Roman"/>
          <w:sz w:val="28"/>
          <w:szCs w:val="28"/>
          <w:lang w:val="en-US"/>
        </w:rPr>
        <w:t xml:space="preserve"> Axial Length and Prevalence of Myopia among Schoolchildren in the Equatorial Region of Brazil / E. Yotsukura [et al.] // Journal of Clinical Medicine. – 2020. – Vol. 10. – № 1.</w:t>
      </w:r>
    </w:p>
    <w:p w14:paraId="4E67B3F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110.</w:t>
      </w:r>
      <w:r w:rsidRPr="00D2321A">
        <w:rPr>
          <w:rFonts w:ascii="Times New Roman" w:eastAsia="Times New Roman" w:hAnsi="Times New Roman" w:cs="Times New Roman"/>
          <w:sz w:val="28"/>
          <w:szCs w:val="28"/>
          <w:lang w:val="en-US"/>
        </w:rPr>
        <w:t xml:space="preserve"> Refractive Error Study in Children: results from La Florida, Chile / E. Maul [et al.] // American Journal of Ophthalmology. – 2000. – Vol. 129. – № 4. – P. 445–454.</w:t>
      </w:r>
    </w:p>
    <w:p w14:paraId="7B70E17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111.</w:t>
      </w:r>
      <w:r w:rsidRPr="00D2321A">
        <w:rPr>
          <w:rFonts w:ascii="Times New Roman" w:eastAsia="Times New Roman" w:hAnsi="Times New Roman" w:cs="Times New Roman"/>
          <w:sz w:val="28"/>
          <w:szCs w:val="28"/>
          <w:lang w:val="en-US"/>
        </w:rPr>
        <w:t xml:space="preserve"> High Rates of Uncorrected Vision Conditions among Schoolchildren in Rural Queensland, Australia / R.A. Cox [et al.] // Optometry and Vision Science. – 2021. – Vol. 98. – № 1. – P. 51–57.</w:t>
      </w:r>
    </w:p>
    <w:p w14:paraId="3485F23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112.</w:t>
      </w:r>
      <w:r w:rsidRPr="00D2321A">
        <w:rPr>
          <w:rFonts w:ascii="Times New Roman" w:eastAsia="Times New Roman" w:hAnsi="Times New Roman" w:cs="Times New Roman"/>
          <w:sz w:val="28"/>
          <w:szCs w:val="28"/>
          <w:lang w:val="en-US"/>
        </w:rPr>
        <w:t xml:space="preserve"> Prevalence of refractive errors and visual impairment in schoolchildren in Enugu South-East Nigeria / I.R. Ezegwui [et al.] // Nigerian Journal of Clinical Practice. – 2021. – Vol. 24. – № 3. – P. 380.</w:t>
      </w:r>
    </w:p>
    <w:p w14:paraId="11AAD29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113.</w:t>
      </w:r>
      <w:r w:rsidRPr="00D2321A">
        <w:rPr>
          <w:rFonts w:ascii="Times New Roman" w:eastAsia="Times New Roman" w:hAnsi="Times New Roman" w:cs="Times New Roman"/>
          <w:sz w:val="28"/>
          <w:szCs w:val="28"/>
          <w:lang w:val="en-US"/>
        </w:rPr>
        <w:t xml:space="preserve"> Muma S. The prevalence and causes of visual impairment among children in Kenya – the Kenya eye study / S. Muma, S. Obonyo // BMC Ophthalmology. – 2020. – Vol. 20. – № 1. – P. 399.</w:t>
      </w:r>
    </w:p>
    <w:p w14:paraId="615CFEA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114.</w:t>
      </w:r>
      <w:r w:rsidRPr="00D2321A">
        <w:rPr>
          <w:rFonts w:ascii="Times New Roman" w:eastAsia="Times New Roman" w:hAnsi="Times New Roman" w:cs="Times New Roman"/>
          <w:sz w:val="28"/>
          <w:szCs w:val="28"/>
          <w:lang w:val="en-US"/>
        </w:rPr>
        <w:t xml:space="preserve"> Refractive errors in children: analysis among preschool and schoolchildren in Tuzla city, Bosnia and Herzegovina / A. Nadarević Vodenčarević [et al.] // Medicinski Glasnik. – 2021. – Vol. 18. – № 1.</w:t>
      </w:r>
    </w:p>
    <w:p w14:paraId="47A2682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115.</w:t>
      </w:r>
      <w:r w:rsidRPr="00D2321A">
        <w:rPr>
          <w:rFonts w:ascii="Times New Roman" w:eastAsia="Times New Roman" w:hAnsi="Times New Roman" w:cs="Times New Roman"/>
          <w:sz w:val="28"/>
          <w:szCs w:val="28"/>
          <w:lang w:val="en-US"/>
        </w:rPr>
        <w:t xml:space="preserve"> The age-specific prevalence of myopia in Asia: a meta-analysis / C.-W. Pan [et al.] // Optometry and Vision Science. – 2015. – Vol. 92. – № 3. – P. 258–266.</w:t>
      </w:r>
    </w:p>
    <w:p w14:paraId="3C82299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116.</w:t>
      </w:r>
      <w:r w:rsidRPr="00D2321A">
        <w:rPr>
          <w:rFonts w:ascii="Times New Roman" w:eastAsia="Times New Roman" w:hAnsi="Times New Roman" w:cs="Times New Roman"/>
          <w:sz w:val="28"/>
          <w:szCs w:val="28"/>
          <w:lang w:val="en-US"/>
        </w:rPr>
        <w:t xml:space="preserve"> Minto H., Morjaria P., Naidoo K. Myopia: a serious condition that needs our attention // Community Eye Health. – 2019. – Vol. 32, № 105. – P. 1–3. </w:t>
      </w:r>
    </w:p>
    <w:p w14:paraId="68831B2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117.</w:t>
      </w:r>
      <w:r w:rsidRPr="00D2321A">
        <w:rPr>
          <w:rFonts w:ascii="Times New Roman" w:eastAsia="Times New Roman" w:hAnsi="Times New Roman" w:cs="Times New Roman"/>
          <w:sz w:val="28"/>
          <w:szCs w:val="28"/>
          <w:lang w:val="en-US"/>
        </w:rPr>
        <w:t xml:space="preserve"> The increasing prevalence of myopia and high myopia among high school students in Fenghua city, eastern China: a 15-year population-based survey / M. Chen [et al.] // BMC Ophthalmology. – 2018. – Vol. 18. – № 1. – P. 159.</w:t>
      </w:r>
    </w:p>
    <w:p w14:paraId="08B5FDC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118.</w:t>
      </w:r>
      <w:r w:rsidRPr="00D2321A">
        <w:rPr>
          <w:rFonts w:ascii="Times New Roman" w:eastAsia="Times New Roman" w:hAnsi="Times New Roman" w:cs="Times New Roman"/>
          <w:sz w:val="28"/>
          <w:szCs w:val="28"/>
          <w:lang w:val="en-US"/>
        </w:rPr>
        <w:t xml:space="preserve"> Study of myopia among aboriginal school children in Taiwan / L.L.-J. Lin [et al.] // Acta Ophthalmologica. – 1988. – Vol. 66. – № S185. – P. 34–36.</w:t>
      </w:r>
    </w:p>
    <w:p w14:paraId="48D5041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119.</w:t>
      </w:r>
      <w:r w:rsidRPr="00D2321A">
        <w:rPr>
          <w:rFonts w:ascii="Times New Roman" w:eastAsia="Times New Roman" w:hAnsi="Times New Roman" w:cs="Times New Roman"/>
          <w:sz w:val="28"/>
          <w:szCs w:val="28"/>
          <w:lang w:val="en-US"/>
        </w:rPr>
        <w:t xml:space="preserve"> Lin L.L.-K. Morbidity of Myopia among Schoolchildren in Taiwan / L.L.-K. Lin, Y.F. Shih // Myopia Updates II / eds. L.L.-K. Lin, Y.-F. Shih, P.T. Hung. – Tokyo: Springer Japan, 2000. – P. 7–10.</w:t>
      </w:r>
    </w:p>
    <w:p w14:paraId="2F0A056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120.</w:t>
      </w:r>
      <w:r w:rsidRPr="00D2321A">
        <w:rPr>
          <w:rFonts w:ascii="Times New Roman" w:eastAsia="Times New Roman" w:hAnsi="Times New Roman" w:cs="Times New Roman"/>
          <w:sz w:val="28"/>
          <w:szCs w:val="28"/>
          <w:lang w:val="en-US"/>
        </w:rPr>
        <w:t xml:space="preserve"> Association between time spent outdoors and myopia among junior high school students: A 3-wave panel study in China / L. Zhang [et al.] // Medicine. – 2020. – Vol. 99. – № 50. – P. e</w:t>
      </w:r>
      <w:r w:rsidRPr="00D2321A">
        <w:rPr>
          <w:rFonts w:ascii="Times New Roman" w:eastAsia="Times New Roman" w:hAnsi="Times New Roman" w:cs="Times New Roman"/>
          <w:bCs/>
          <w:sz w:val="28"/>
          <w:szCs w:val="28"/>
          <w:lang w:val="en-US"/>
        </w:rPr>
        <w:t>121.</w:t>
      </w:r>
      <w:r w:rsidRPr="00D2321A">
        <w:rPr>
          <w:rFonts w:ascii="Times New Roman" w:eastAsia="Times New Roman" w:hAnsi="Times New Roman" w:cs="Times New Roman"/>
          <w:sz w:val="28"/>
          <w:szCs w:val="28"/>
          <w:lang w:val="en-US"/>
        </w:rPr>
        <w:t xml:space="preserve"> Comparison between two autorefractor performances in large-scale vision screening in Chinese school age children / D. Wang [et al.] // International Journal of Ophthalmology. – 2020. – Vol. 13. – № 10. – P. 1660–1666.</w:t>
      </w:r>
    </w:p>
    <w:p w14:paraId="2E7DF23F"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122.</w:t>
      </w:r>
      <w:r w:rsidRPr="00D2321A">
        <w:rPr>
          <w:rFonts w:ascii="Times New Roman" w:eastAsia="Times New Roman" w:hAnsi="Times New Roman" w:cs="Times New Roman"/>
          <w:sz w:val="28"/>
          <w:szCs w:val="28"/>
          <w:lang w:val="en-US"/>
        </w:rPr>
        <w:t xml:space="preserve"> The progression of refractive error in school-age children: Shunyi district, China / J. Zhao [et al.] // American Journal of Ophthalmology. – 2002. – Vol. 134. – № 5. – P. 735–743.</w:t>
      </w:r>
    </w:p>
    <w:p w14:paraId="30C32CB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123.</w:t>
      </w:r>
      <w:r w:rsidRPr="00D2321A">
        <w:rPr>
          <w:rFonts w:ascii="Times New Roman" w:eastAsia="Times New Roman" w:hAnsi="Times New Roman" w:cs="Times New Roman"/>
          <w:sz w:val="28"/>
          <w:szCs w:val="28"/>
          <w:lang w:val="en-US"/>
        </w:rPr>
        <w:t xml:space="preserve"> Refractive error and visual impairment in urban children in southern China / M. He [et al.] // Investigative Ophthalmology &amp; Visual Science. – 2004. – Vol. 45. – № 3. – P. 793–799.</w:t>
      </w:r>
    </w:p>
    <w:p w14:paraId="4A97031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124.</w:t>
      </w:r>
      <w:r w:rsidRPr="00D2321A">
        <w:rPr>
          <w:rFonts w:ascii="Times New Roman" w:eastAsia="Times New Roman" w:hAnsi="Times New Roman" w:cs="Times New Roman"/>
          <w:sz w:val="28"/>
          <w:szCs w:val="28"/>
          <w:lang w:val="en-US"/>
        </w:rPr>
        <w:t xml:space="preserve"> Design, methodology and baseline data of a school-based cohort study in Central China: the Anyang Childhood Eye Study / S.-M. Li [et al.] // Ophthalmic Epidemiology. – 2013. – Vol. 20. – № 6. – P. 348–359.</w:t>
      </w:r>
    </w:p>
    <w:p w14:paraId="1E5E029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125.</w:t>
      </w:r>
      <w:r w:rsidRPr="00D2321A">
        <w:rPr>
          <w:rFonts w:ascii="Times New Roman" w:eastAsia="Times New Roman" w:hAnsi="Times New Roman" w:cs="Times New Roman"/>
          <w:sz w:val="28"/>
          <w:szCs w:val="28"/>
          <w:lang w:val="en-US"/>
        </w:rPr>
        <w:t xml:space="preserve"> High prevalence of myopia and high myopia in 5060 Chinese university students in Shanghai / J. Sun [et al.] // Investigative Ophthalmology &amp; Visual Science. – 2012. – Vol. 53. – № 12. – P. 7504–7509.</w:t>
      </w:r>
    </w:p>
    <w:p w14:paraId="17970D8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126.</w:t>
      </w:r>
      <w:r w:rsidRPr="00D2321A">
        <w:rPr>
          <w:rFonts w:ascii="Times New Roman" w:eastAsia="Times New Roman" w:hAnsi="Times New Roman" w:cs="Times New Roman"/>
          <w:sz w:val="28"/>
          <w:szCs w:val="28"/>
          <w:lang w:val="en-US"/>
        </w:rPr>
        <w:t xml:space="preserve"> High prevalence of myopia in children and their parents in Hong Kong Chinese Population: the Hong Kong Children Eye Study / J.C. Yam [et al.] // Acta Ophthalmologica. – 2020.</w:t>
      </w:r>
    </w:p>
    <w:p w14:paraId="18EF2C1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127.</w:t>
      </w:r>
      <w:r w:rsidRPr="00D2321A">
        <w:rPr>
          <w:rFonts w:ascii="Times New Roman" w:eastAsia="Times New Roman" w:hAnsi="Times New Roman" w:cs="Times New Roman"/>
          <w:sz w:val="28"/>
          <w:szCs w:val="28"/>
          <w:lang w:val="en-US"/>
        </w:rPr>
        <w:t xml:space="preserve"> </w:t>
      </w:r>
      <w:r w:rsidRPr="007F49B3">
        <w:rPr>
          <w:rFonts w:ascii="Times New Roman" w:eastAsia="Times New Roman" w:hAnsi="Times New Roman" w:cs="Times New Roman"/>
          <w:sz w:val="28"/>
          <w:szCs w:val="28"/>
          <w:lang w:val="en-US"/>
        </w:rPr>
        <w:t>Kamei T., Miyake M., Kido A., et al. Annual trend of myopia and high myopia in children in Japan: a nationwide claims database study // Ophthalmology Science. – 2025. – Т. 5, № 4. – С. 100729. – DOI: 10.1016/j.xops.2025.100729. – Published 2025 Feb 3.</w:t>
      </w:r>
    </w:p>
    <w:p w14:paraId="2A7A663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128.</w:t>
      </w:r>
      <w:r w:rsidRPr="00D2321A">
        <w:rPr>
          <w:rFonts w:ascii="Times New Roman" w:eastAsia="Times New Roman" w:hAnsi="Times New Roman" w:cs="Times New Roman"/>
          <w:sz w:val="28"/>
          <w:szCs w:val="28"/>
          <w:lang w:val="en-US"/>
        </w:rPr>
        <w:t xml:space="preserve"> </w:t>
      </w:r>
      <w:r w:rsidRPr="00951866">
        <w:rPr>
          <w:rFonts w:ascii="Times New Roman" w:eastAsia="Times New Roman" w:hAnsi="Times New Roman" w:cs="Times New Roman"/>
          <w:sz w:val="28"/>
          <w:szCs w:val="28"/>
          <w:lang w:val="en-US"/>
        </w:rPr>
        <w:t>Kumar V., Soni M., Rajagopal V., et al. The prevalence of refractive errors in Indian schoolchildren: a systematic review and meta-analysis // Ophthalmic Epidemiology. – Published online 25 Feb. 2025. – DOI: 10.1080/09286586.2025.2450346</w:t>
      </w:r>
      <w:r w:rsidRPr="00D2321A">
        <w:rPr>
          <w:rFonts w:ascii="Times New Roman" w:eastAsia="Times New Roman" w:hAnsi="Times New Roman" w:cs="Times New Roman"/>
          <w:sz w:val="28"/>
          <w:szCs w:val="28"/>
          <w:lang w:val="en-US"/>
        </w:rPr>
        <w:t>.</w:t>
      </w:r>
    </w:p>
    <w:p w14:paraId="34AFFDE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129.</w:t>
      </w:r>
      <w:r w:rsidRPr="00D2321A">
        <w:rPr>
          <w:rFonts w:ascii="Times New Roman" w:eastAsia="Times New Roman" w:hAnsi="Times New Roman" w:cs="Times New Roman"/>
          <w:sz w:val="28"/>
          <w:szCs w:val="28"/>
          <w:lang w:val="en-US"/>
        </w:rPr>
        <w:t xml:space="preserve"> Visual impairment and refractive error in schoolchildren in Bhutan: The findings from the Bhutan School Sight Survey (BSSS 2019) / I.P. Sharma [et al.] // PloS One. – 2020. – Vol. 15. – № 9. – P. e0239117.</w:t>
      </w:r>
    </w:p>
    <w:p w14:paraId="5EAB9FE4"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130.</w:t>
      </w:r>
      <w:r w:rsidRPr="00D2321A">
        <w:rPr>
          <w:rFonts w:ascii="Times New Roman" w:eastAsia="Times New Roman" w:hAnsi="Times New Roman" w:cs="Times New Roman"/>
          <w:sz w:val="28"/>
          <w:szCs w:val="28"/>
        </w:rPr>
        <w:t xml:space="preserve"> Нероев В.В. Организация офтальмологической помощи населению Российской Федерации / В.В. Нероев // Вестник офтальмологии. – 2014. – Т. 130. – № 6. – С. 8–12.</w:t>
      </w:r>
    </w:p>
    <w:p w14:paraId="7921D108"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131.</w:t>
      </w:r>
      <w:r w:rsidRPr="00D2321A">
        <w:rPr>
          <w:rFonts w:ascii="Times New Roman" w:eastAsia="Times New Roman" w:hAnsi="Times New Roman" w:cs="Times New Roman"/>
          <w:sz w:val="28"/>
          <w:szCs w:val="28"/>
        </w:rPr>
        <w:t xml:space="preserve"> Шиллер С.И. Медико-социальные аспекты профилактики миопии среди школьников, обучающи</w:t>
      </w:r>
      <w:r>
        <w:rPr>
          <w:rFonts w:ascii="Times New Roman" w:eastAsia="Times New Roman" w:hAnsi="Times New Roman" w:cs="Times New Roman"/>
          <w:sz w:val="28"/>
          <w:szCs w:val="28"/>
        </w:rPr>
        <w:t>хся по инновационным программам</w:t>
      </w:r>
      <w:r w:rsidRPr="00D2321A">
        <w:rPr>
          <w:rFonts w:ascii="Times New Roman" w:eastAsia="Times New Roman" w:hAnsi="Times New Roman" w:cs="Times New Roman"/>
          <w:sz w:val="28"/>
          <w:szCs w:val="28"/>
        </w:rPr>
        <w:t xml:space="preserve">: дис. ... канд. мед. </w:t>
      </w:r>
      <w:r w:rsidRPr="00D2321A">
        <w:rPr>
          <w:rFonts w:ascii="Times New Roman" w:eastAsia="Times New Roman" w:hAnsi="Times New Roman" w:cs="Times New Roman"/>
          <w:sz w:val="28"/>
          <w:szCs w:val="28"/>
        </w:rPr>
        <w:lastRenderedPageBreak/>
        <w:t>наук / С.И. Шиллер. – Казань: Казанский государственный медицинский университет, 2012.</w:t>
      </w:r>
    </w:p>
    <w:p w14:paraId="215D0CA1"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132.</w:t>
      </w:r>
      <w:r w:rsidRPr="00D2321A">
        <w:rPr>
          <w:rFonts w:ascii="Times New Roman" w:eastAsia="Times New Roman" w:hAnsi="Times New Roman" w:cs="Times New Roman"/>
          <w:sz w:val="28"/>
          <w:szCs w:val="28"/>
        </w:rPr>
        <w:t xml:space="preserve"> Либман Е.С. Слепота и инвалидность по зрению в населении России / Е.С. Либман, Е.В. Шахова // Съезд офтальмологов России. – 2005. – № 8. – С. 78–79.</w:t>
      </w:r>
    </w:p>
    <w:p w14:paraId="09BA458C"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133.</w:t>
      </w:r>
      <w:r w:rsidRPr="00D2321A">
        <w:rPr>
          <w:rFonts w:ascii="Times New Roman" w:eastAsia="Times New Roman" w:hAnsi="Times New Roman" w:cs="Times New Roman"/>
          <w:sz w:val="28"/>
          <w:szCs w:val="28"/>
        </w:rPr>
        <w:t xml:space="preserve"> Распространенность миопии у школьников некоторых регионов России / О.В. Проскурина [и др.] // Офтальмология. – 2018. – Т. 15. – № 3. – С. 348–353.</w:t>
      </w:r>
    </w:p>
    <w:p w14:paraId="4A0AC328"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134.</w:t>
      </w:r>
      <w:r w:rsidRPr="00D2321A">
        <w:rPr>
          <w:rFonts w:ascii="Times New Roman" w:eastAsia="Times New Roman" w:hAnsi="Times New Roman" w:cs="Times New Roman"/>
          <w:sz w:val="28"/>
          <w:szCs w:val="28"/>
        </w:rPr>
        <w:t xml:space="preserve"> Статистический сборник. Здоровье населения Республики Казахстан и деятельность организаций здравоохранения в 2017 г. – Астана: Комитет по статистике Министерства национальной экономики Республики Казахстан, 2018.</w:t>
      </w:r>
    </w:p>
    <w:p w14:paraId="19EDB152"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135.</w:t>
      </w:r>
      <w:r w:rsidRPr="00D2321A">
        <w:rPr>
          <w:rFonts w:ascii="Times New Roman" w:eastAsia="Times New Roman" w:hAnsi="Times New Roman" w:cs="Times New Roman"/>
          <w:sz w:val="28"/>
          <w:szCs w:val="28"/>
        </w:rPr>
        <w:t xml:space="preserve"> Аветисов Э.С. Близорукость: практическое пособие. – 2-е изд., перераб. и доп. – М.: Медицина, 2002. – 288 с.</w:t>
      </w:r>
    </w:p>
    <w:p w14:paraId="4EB85DD2"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136.</w:t>
      </w:r>
      <w:r w:rsidRPr="00D2321A">
        <w:rPr>
          <w:rFonts w:ascii="Times New Roman" w:eastAsia="Times New Roman" w:hAnsi="Times New Roman" w:cs="Times New Roman"/>
          <w:sz w:val="28"/>
          <w:szCs w:val="28"/>
        </w:rPr>
        <w:t xml:space="preserve"> Аккомодация: руководство для врачей / под ред. Л.А. Катаргиной. – М.: Апрель, 2012. – 136 с.: ил. – ISBN 978-5-905212-16-1</w:t>
      </w:r>
    </w:p>
    <w:p w14:paraId="11F422A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137.</w:t>
      </w:r>
      <w:r w:rsidRPr="00D2321A">
        <w:rPr>
          <w:rFonts w:ascii="Times New Roman" w:eastAsia="Times New Roman" w:hAnsi="Times New Roman" w:cs="Times New Roman"/>
          <w:sz w:val="28"/>
          <w:szCs w:val="28"/>
          <w:lang w:val="en-US"/>
        </w:rPr>
        <w:t xml:space="preserve"> Bear J.C. Nearwork and familial resemblances in ocular refraction: a population study in Newfoundland / J.C. Bear, A. Richler, G. Burke // Clinical Genetics. – 1981. – Vol. 19. – № 6. – P. 462–472.</w:t>
      </w:r>
    </w:p>
    <w:p w14:paraId="5DE105B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138.</w:t>
      </w:r>
      <w:r w:rsidRPr="00D2321A">
        <w:rPr>
          <w:rFonts w:ascii="Times New Roman" w:eastAsia="Times New Roman" w:hAnsi="Times New Roman" w:cs="Times New Roman"/>
          <w:sz w:val="28"/>
          <w:szCs w:val="28"/>
          <w:lang w:val="en-US"/>
        </w:rPr>
        <w:t xml:space="preserve"> Effect of Education on Myopia: Evidence from the United Kingdom ROSLA 1972 Reform / D. Plotnikov [et al.] // Investigative Ophthalmology &amp; Visual Science. – 2020. – Vol. 61. – № 11. – P. 7.</w:t>
      </w:r>
    </w:p>
    <w:p w14:paraId="1CA593D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139.</w:t>
      </w:r>
      <w:r w:rsidRPr="00D2321A">
        <w:rPr>
          <w:rFonts w:ascii="Times New Roman" w:eastAsia="Times New Roman" w:hAnsi="Times New Roman" w:cs="Times New Roman"/>
          <w:sz w:val="28"/>
          <w:szCs w:val="28"/>
          <w:lang w:val="en-US"/>
        </w:rPr>
        <w:t xml:space="preserve"> Nearwork and myopia in young children / S.M. Saw [et al.] // Lancet. – 2001. – Vol. 357. – № 9253. – P. 390.</w:t>
      </w:r>
    </w:p>
    <w:p w14:paraId="1725DF8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140.</w:t>
      </w:r>
      <w:r w:rsidRPr="00D2321A">
        <w:rPr>
          <w:rFonts w:ascii="Times New Roman" w:eastAsia="Times New Roman" w:hAnsi="Times New Roman" w:cs="Times New Roman"/>
          <w:sz w:val="28"/>
          <w:szCs w:val="28"/>
          <w:lang w:val="en-US"/>
        </w:rPr>
        <w:t xml:space="preserve"> Nearwork in early-onset myopia / S.-M. Saw [et al.] // Investigative Ophthalmology &amp; Visual Science. – 2002. – Vol. 43. – № 2. – P. 332–339.</w:t>
      </w:r>
    </w:p>
    <w:p w14:paraId="22FCDC8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141.</w:t>
      </w:r>
      <w:r w:rsidRPr="00D2321A">
        <w:rPr>
          <w:rFonts w:ascii="Times New Roman" w:eastAsia="Times New Roman" w:hAnsi="Times New Roman" w:cs="Times New Roman"/>
          <w:sz w:val="28"/>
          <w:szCs w:val="28"/>
          <w:lang w:val="en-US"/>
        </w:rPr>
        <w:t xml:space="preserve"> OECD. Does Homework Perpetuate Inequities in Education? : PISA in Focus / OECD. – Paris: OECD Publishing, 2014.</w:t>
      </w:r>
    </w:p>
    <w:p w14:paraId="59A5713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142.</w:t>
      </w:r>
      <w:r w:rsidRPr="00D2321A">
        <w:rPr>
          <w:rFonts w:ascii="Times New Roman" w:eastAsia="Times New Roman" w:hAnsi="Times New Roman" w:cs="Times New Roman"/>
          <w:sz w:val="28"/>
          <w:szCs w:val="28"/>
          <w:lang w:val="en-US"/>
        </w:rPr>
        <w:t xml:space="preserve"> Refractive status and prevalence of refractive errors in suburban school-age children / L.-H. Pi [et al.] // International Journal of Medical Sciences. – 2010. – Vol. 7. – № 6. – P. 342–353.</w:t>
      </w:r>
    </w:p>
    <w:p w14:paraId="3AF48DE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143.</w:t>
      </w:r>
      <w:r w:rsidRPr="00D2321A">
        <w:rPr>
          <w:rFonts w:ascii="Times New Roman" w:eastAsia="Times New Roman" w:hAnsi="Times New Roman" w:cs="Times New Roman"/>
          <w:sz w:val="28"/>
          <w:szCs w:val="28"/>
          <w:lang w:val="en-US"/>
        </w:rPr>
        <w:t xml:space="preserve"> Axial elongation following prolonged near work in myopes and emmetropes / E.C. Woodman [et al.] // The British Journal of Ophthalmology. – 2011. – Vol. 95. – № 5. – P. 652–656.</w:t>
      </w:r>
    </w:p>
    <w:p w14:paraId="52F5226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144.</w:t>
      </w:r>
      <w:r w:rsidRPr="00D2321A">
        <w:rPr>
          <w:rFonts w:ascii="Times New Roman" w:eastAsia="Times New Roman" w:hAnsi="Times New Roman" w:cs="Times New Roman"/>
          <w:sz w:val="28"/>
          <w:szCs w:val="28"/>
          <w:lang w:val="en-US"/>
        </w:rPr>
        <w:t xml:space="preserve"> Zylbermann R. The influence of study habits on myopia in Jewish teenagers / R. Zylbermann, D. Landau, D. Berson // Journal of Pediatric Ophthalmology and Strabismus. – 1993. – Vol. 30. – № 5. – P. 319–322.</w:t>
      </w:r>
    </w:p>
    <w:p w14:paraId="21366FF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145.</w:t>
      </w:r>
      <w:r w:rsidRPr="00D2321A">
        <w:rPr>
          <w:rFonts w:ascii="Times New Roman" w:eastAsia="Times New Roman" w:hAnsi="Times New Roman" w:cs="Times New Roman"/>
          <w:sz w:val="28"/>
          <w:szCs w:val="28"/>
          <w:lang w:val="en-US"/>
        </w:rPr>
        <w:t xml:space="preserve"> Role of near work in myopia: findings in a sample of Australian school children / J.M. Ip [et al.] // Investigative Ophthalmology &amp; Visual Science. – 2008. – Vol. 49. – № 7. – P. 2903–2910.</w:t>
      </w:r>
    </w:p>
    <w:p w14:paraId="40720B5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146.</w:t>
      </w:r>
      <w:r w:rsidRPr="00D2321A">
        <w:rPr>
          <w:rFonts w:ascii="Times New Roman" w:eastAsia="Times New Roman" w:hAnsi="Times New Roman" w:cs="Times New Roman"/>
          <w:sz w:val="28"/>
          <w:szCs w:val="28"/>
          <w:lang w:val="en-US"/>
        </w:rPr>
        <w:t xml:space="preserve"> Sorsby A. Family studies on ocular refraction and its components / A. Sorsby, G.A. Leary, G.R. Fraser // Journal of Medical Genetics. – 1966. – Vol. 3. – № 4. – P. 269–273.</w:t>
      </w:r>
    </w:p>
    <w:p w14:paraId="722982F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147.</w:t>
      </w:r>
      <w:r w:rsidRPr="00D2321A">
        <w:rPr>
          <w:rFonts w:ascii="Times New Roman" w:eastAsia="Times New Roman" w:hAnsi="Times New Roman" w:cs="Times New Roman"/>
          <w:sz w:val="28"/>
          <w:szCs w:val="28"/>
          <w:lang w:val="en-US"/>
        </w:rPr>
        <w:t xml:space="preserve"> Sorsby A., Leary G.A., Sheridan M. Refraction and its components in twins. – London: HM Stationery Office, 1962.</w:t>
      </w:r>
    </w:p>
    <w:p w14:paraId="3D92E5D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148.</w:t>
      </w:r>
      <w:r w:rsidRPr="00D2321A">
        <w:rPr>
          <w:rFonts w:ascii="Times New Roman" w:eastAsia="Times New Roman" w:hAnsi="Times New Roman" w:cs="Times New Roman"/>
          <w:sz w:val="28"/>
          <w:szCs w:val="28"/>
          <w:lang w:val="en-US"/>
        </w:rPr>
        <w:t xml:space="preserve"> Genomewide linkage scan for myopia susceptibility loci among Ashkenazi Jewish families shows evidence of linkage on chromosome 22q12 / D. Stambolian [et al.] // American Journal of Human Genetics. – 2004. – Vol. 75. – № 3. – P. 448–459.</w:t>
      </w:r>
    </w:p>
    <w:p w14:paraId="478889A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149.</w:t>
      </w:r>
      <w:r w:rsidRPr="00D2321A">
        <w:rPr>
          <w:rFonts w:ascii="Times New Roman" w:eastAsia="Times New Roman" w:hAnsi="Times New Roman" w:cs="Times New Roman"/>
          <w:sz w:val="28"/>
          <w:szCs w:val="28"/>
          <w:lang w:val="en-US"/>
        </w:rPr>
        <w:t xml:space="preserve"> Heritability estimate for refractive errors – a population-based sample of adult twins / J.M. Teikari [et al.] // Genetic Epidemiology. – 1988. – Vol. 5. – № 3. – P. 171–181.</w:t>
      </w:r>
    </w:p>
    <w:p w14:paraId="5C16958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150.</w:t>
      </w:r>
      <w:r w:rsidRPr="00D2321A">
        <w:rPr>
          <w:rFonts w:ascii="Times New Roman" w:eastAsia="Times New Roman" w:hAnsi="Times New Roman" w:cs="Times New Roman"/>
          <w:sz w:val="28"/>
          <w:szCs w:val="28"/>
          <w:lang w:val="en-US"/>
        </w:rPr>
        <w:t xml:space="preserve"> Genes and environment in refractive error: the twin eye study / C.J. Hammond [et al.] // Investigative Ophthalmology &amp; Visual Science. – 2001. – Vol. 42. – № 6. – P. 1232–1236.</w:t>
      </w:r>
    </w:p>
    <w:p w14:paraId="69723FA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151.</w:t>
      </w:r>
      <w:r w:rsidRPr="00D2321A">
        <w:rPr>
          <w:rFonts w:ascii="Times New Roman" w:eastAsia="Times New Roman" w:hAnsi="Times New Roman" w:cs="Times New Roman"/>
          <w:sz w:val="28"/>
          <w:szCs w:val="28"/>
          <w:lang w:val="en-US"/>
        </w:rPr>
        <w:t xml:space="preserve"> The importance of genes and environment for ocular refraction and its determiners: a population-based study among 20–45 year old twins / N. Lyhne [et al.] // The British Journal of Ophthalmology. – 2001. – Vol. 85. – № 12. – P. 1470–1476.</w:t>
      </w:r>
    </w:p>
    <w:p w14:paraId="5F0159B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152.</w:t>
      </w:r>
      <w:r w:rsidRPr="00D2321A">
        <w:rPr>
          <w:rFonts w:ascii="Times New Roman" w:eastAsia="Times New Roman" w:hAnsi="Times New Roman" w:cs="Times New Roman"/>
          <w:sz w:val="28"/>
          <w:szCs w:val="28"/>
          <w:lang w:val="en-US"/>
        </w:rPr>
        <w:t xml:space="preserve"> The transmission of refractive errors within Eskimo families / F.A. Young [et al.] // American Journal of Optometry and Archives of American Academy of Optometry. – 1969. – Vol. 46. – № 9. – P. 676–685.</w:t>
      </w:r>
    </w:p>
    <w:p w14:paraId="51DC809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153.</w:t>
      </w:r>
      <w:r w:rsidRPr="00D2321A">
        <w:rPr>
          <w:rFonts w:ascii="Times New Roman" w:eastAsia="Times New Roman" w:hAnsi="Times New Roman" w:cs="Times New Roman"/>
          <w:sz w:val="28"/>
          <w:szCs w:val="28"/>
          <w:lang w:val="en-US"/>
        </w:rPr>
        <w:t xml:space="preserve"> Morgan I.G. Myopia: is the nature-nurture debate finally over? / I.G. Morgan, K.A. Rose // Clinical &amp; Experimental Optometry. – 2019. – Vol. 102. – № 1. – P. 3–17.</w:t>
      </w:r>
    </w:p>
    <w:p w14:paraId="133E5EB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154.</w:t>
      </w:r>
      <w:r w:rsidRPr="00D2321A">
        <w:rPr>
          <w:rFonts w:ascii="Times New Roman" w:eastAsia="Times New Roman" w:hAnsi="Times New Roman" w:cs="Times New Roman"/>
          <w:sz w:val="28"/>
          <w:szCs w:val="28"/>
          <w:lang w:val="en-US"/>
        </w:rPr>
        <w:t xml:space="preserve"> The relationship between education levels, lifestyle, and religion regarding the prevalence of myopia in Israel / S. Armarnik [et al.] // BMC Ophthalmology. – 2021. – Vol. 21. – № 1. – P. 136.</w:t>
      </w:r>
    </w:p>
    <w:p w14:paraId="5AC4C3AF"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155.</w:t>
      </w:r>
      <w:r w:rsidRPr="00D2321A">
        <w:rPr>
          <w:rFonts w:ascii="Times New Roman" w:eastAsia="Times New Roman" w:hAnsi="Times New Roman" w:cs="Times New Roman"/>
          <w:sz w:val="28"/>
          <w:szCs w:val="28"/>
          <w:lang w:val="en-US"/>
        </w:rPr>
        <w:t xml:space="preserve"> A Cohort Study of Incident Myopia in Singaporean Children / S.-M. Saw [et al.] // Investigative Ophthalmology &amp; Visual Science. – 2006. – Vol. 47. – № 5. – P. 1839–1844.</w:t>
      </w:r>
    </w:p>
    <w:p w14:paraId="499400AB"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156.</w:t>
      </w:r>
      <w:r w:rsidRPr="00D2321A">
        <w:rPr>
          <w:rFonts w:ascii="Times New Roman" w:eastAsia="Times New Roman" w:hAnsi="Times New Roman" w:cs="Times New Roman"/>
          <w:sz w:val="28"/>
          <w:szCs w:val="28"/>
          <w:lang w:val="en-US"/>
        </w:rPr>
        <w:t xml:space="preserve"> The effect of parental history of myopia on children’s eye size / K. Zadnik [et al.] // JAMA. – 1994. – Vol. 271. – № 17. – P. 1323–1327.</w:t>
      </w:r>
    </w:p>
    <w:p w14:paraId="4DEA6FC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157.</w:t>
      </w:r>
      <w:r w:rsidRPr="00D2321A">
        <w:rPr>
          <w:rFonts w:ascii="Times New Roman" w:eastAsia="Times New Roman" w:hAnsi="Times New Roman" w:cs="Times New Roman"/>
          <w:sz w:val="28"/>
          <w:szCs w:val="28"/>
          <w:lang w:val="en-US"/>
        </w:rPr>
        <w:t xml:space="preserve"> Role of heredity in the genesis of myopia / M. Yap [et al.] // Ophthalmic &amp; Physiological Optics. – 1993. – Vol. 13. – № 3. – P. 316–319.</w:t>
      </w:r>
    </w:p>
    <w:p w14:paraId="35CEB5A1"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158.</w:t>
      </w:r>
      <w:r w:rsidRPr="00D2321A">
        <w:rPr>
          <w:rFonts w:ascii="Times New Roman" w:eastAsia="Times New Roman" w:hAnsi="Times New Roman" w:cs="Times New Roman"/>
          <w:sz w:val="28"/>
          <w:szCs w:val="28"/>
          <w:lang w:val="en-US"/>
        </w:rPr>
        <w:t xml:space="preserve"> Correlations between familial refractive error and children’s non-cycloplegic refractions / J. Hui, L. Peck, H.C. Howland // Vision Research. – 1995. – Vol. 35. – № 9. – P. 1353–1358.</w:t>
      </w:r>
    </w:p>
    <w:p w14:paraId="561AABE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159.</w:t>
      </w:r>
      <w:r w:rsidRPr="00D2321A">
        <w:rPr>
          <w:rFonts w:ascii="Times New Roman" w:eastAsia="Times New Roman" w:hAnsi="Times New Roman" w:cs="Times New Roman"/>
          <w:sz w:val="28"/>
          <w:szCs w:val="28"/>
          <w:lang w:val="en-US"/>
        </w:rPr>
        <w:t xml:space="preserve"> Parental myopia, near work, school achievement, and children’s refractive error / D.O. Mutti [et al.] // Investigative Ophthalmology &amp; Visual Science. – 2002. – Vol. 43. – № 12. – P. 3633–3640.</w:t>
      </w:r>
    </w:p>
    <w:p w14:paraId="584131D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sz w:val="28"/>
          <w:szCs w:val="28"/>
          <w:lang w:val="en-US"/>
        </w:rPr>
        <w:t>23462.</w:t>
      </w:r>
    </w:p>
    <w:p w14:paraId="5821705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160.</w:t>
      </w:r>
      <w:r w:rsidRPr="00D2321A">
        <w:rPr>
          <w:rFonts w:ascii="Times New Roman" w:eastAsia="Times New Roman" w:hAnsi="Times New Roman" w:cs="Times New Roman"/>
          <w:sz w:val="28"/>
          <w:szCs w:val="28"/>
          <w:lang w:val="en-US"/>
        </w:rPr>
        <w:t xml:space="preserve"> Zadnik K, Mutti DO, Friedman NE, Adams AJ. Initial cross-sectional results from the Orinda Longitudinal Study of Myopia. Optom Vis Sci. 1993;70(9):750-758. doi:10.1097/00006324-199309000-00012   </w:t>
      </w:r>
    </w:p>
    <w:p w14:paraId="15DFFA79"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161.</w:t>
      </w:r>
      <w:r w:rsidRPr="00D2321A">
        <w:rPr>
          <w:rFonts w:ascii="Times New Roman" w:eastAsia="Times New Roman" w:hAnsi="Times New Roman" w:cs="Times New Roman"/>
          <w:sz w:val="28"/>
          <w:szCs w:val="28"/>
          <w:lang w:val="en-US"/>
        </w:rPr>
        <w:t xml:space="preserve"> French A.N., Morgan I.G., Burlutsky G., Mitchell P., Rose K.A. Risk factors for incident myopia in Australian schoolchildren: the Sydney adolescent vascular and eye study // Ophthalmology. – 2013. – Vol. 120, № 10. – P. 2100–2108.</w:t>
      </w:r>
    </w:p>
    <w:p w14:paraId="4C98BC4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162.</w:t>
      </w:r>
      <w:r w:rsidRPr="00D2321A">
        <w:rPr>
          <w:rFonts w:ascii="Times New Roman" w:eastAsia="Times New Roman" w:hAnsi="Times New Roman" w:cs="Times New Roman"/>
          <w:sz w:val="28"/>
          <w:szCs w:val="28"/>
          <w:lang w:val="en-US"/>
        </w:rPr>
        <w:t xml:space="preserve"> Hagen L.A., Gjelle J.V., Arnegard S., et al. Emmetropia is maintained despite continued eye growth from 16 to 18 years of age // Investigative Ophthalmology &amp; Visual Science. – 2019. – Vol. 60, № 13. – P. 4178–4186.</w:t>
      </w:r>
    </w:p>
    <w:p w14:paraId="1A7B3B0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163.</w:t>
      </w:r>
      <w:r w:rsidRPr="00D2321A">
        <w:rPr>
          <w:rFonts w:ascii="Times New Roman" w:eastAsia="Times New Roman" w:hAnsi="Times New Roman" w:cs="Times New Roman"/>
          <w:sz w:val="28"/>
          <w:szCs w:val="28"/>
          <w:lang w:val="en-US"/>
        </w:rPr>
        <w:t xml:space="preserve"> Simpson C.L., Wojciechowski R., Yee S.S., et al. Exome genotyping and linkage analysis identifies two novel linked regions and replicates two others for myopia in Ashkenazi Jewish families // BMC Medical Genetics. – 2019. – Vol. 20, № 1. – P. 27.</w:t>
      </w:r>
    </w:p>
    <w:p w14:paraId="0494F3A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164.</w:t>
      </w:r>
      <w:r w:rsidRPr="00D2321A">
        <w:rPr>
          <w:rFonts w:ascii="Times New Roman" w:eastAsia="Times New Roman" w:hAnsi="Times New Roman" w:cs="Times New Roman"/>
          <w:sz w:val="28"/>
          <w:szCs w:val="28"/>
          <w:lang w:val="en-US"/>
        </w:rPr>
        <w:t xml:space="preserve"> Simpson C.L., Wojciechowski R., Bailey-Wilson J.E., et al. Genome-wide meta-analysis of myopia and hyperopia provides evidence for replication of 11 loci // PLoS One. – 2014. – Vol. 9, № 9. – P. e107110.</w:t>
      </w:r>
    </w:p>
    <w:p w14:paraId="6153512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165.</w:t>
      </w:r>
      <w:r w:rsidRPr="00D2321A">
        <w:rPr>
          <w:rFonts w:ascii="Times New Roman" w:eastAsia="Times New Roman" w:hAnsi="Times New Roman" w:cs="Times New Roman"/>
          <w:sz w:val="28"/>
          <w:szCs w:val="28"/>
          <w:lang w:val="en-US"/>
        </w:rPr>
        <w:t xml:space="preserve"> Solouki A.M., Verhoeven V.J.M., van Duijn C.M., et al. A genome-wide association study identifies a susceptibility locus for refractive errors and myopia at 15q14 // Nature Genetics. – 2010. – Vol. 42, № 10. – P. 897–901.</w:t>
      </w:r>
    </w:p>
    <w:p w14:paraId="545C89E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166.</w:t>
      </w:r>
      <w:r w:rsidRPr="00D2321A">
        <w:rPr>
          <w:rFonts w:ascii="Times New Roman" w:eastAsia="Times New Roman" w:hAnsi="Times New Roman" w:cs="Times New Roman"/>
          <w:sz w:val="28"/>
          <w:szCs w:val="28"/>
          <w:lang w:val="en-US"/>
        </w:rPr>
        <w:t xml:space="preserve"> Stambolian D., Ciner E.B., Owens R., et al. Meta-analysis of genome-wide association studies in five cohorts reveals common variants in RBFOX1, a regulator of tissue-specific splicing, associated with refractive error // Human Molecular Genetics. – 2013. – Vol. 22, № 13. – P. 2754–2764.</w:t>
      </w:r>
    </w:p>
    <w:p w14:paraId="7D2322C1"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167.</w:t>
      </w:r>
      <w:r w:rsidRPr="00D2321A">
        <w:rPr>
          <w:rFonts w:ascii="Times New Roman" w:eastAsia="Times New Roman" w:hAnsi="Times New Roman" w:cs="Times New Roman"/>
          <w:sz w:val="28"/>
          <w:szCs w:val="28"/>
          <w:lang w:val="en-US"/>
        </w:rPr>
        <w:t xml:space="preserve"> Fan Q., Wojciechowski R., Qiao Y., et al. Childhood gene-environment interactions and age-dependent effects of genetic variants associated with refractive error and myopia: The CREAM Consortium // Scientific Reports. – 2016. – Vol. 6. – P. 25853.</w:t>
      </w:r>
    </w:p>
    <w:p w14:paraId="47F93D0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168.</w:t>
      </w:r>
      <w:r w:rsidRPr="00D2321A">
        <w:rPr>
          <w:rFonts w:ascii="Times New Roman" w:eastAsia="Times New Roman" w:hAnsi="Times New Roman" w:cs="Times New Roman"/>
          <w:sz w:val="28"/>
          <w:szCs w:val="28"/>
          <w:lang w:val="en-US"/>
        </w:rPr>
        <w:t xml:space="preserve"> Cheng C.-Y., Schache M., Ikram M.K., et al. Nine loci for ocular axial length identified through genome-wide association studies, including shared loci with refractive error // American Journal of Human Genetics. – 2013. – Vol. 93, № 2. – P. 264–277.</w:t>
      </w:r>
    </w:p>
    <w:p w14:paraId="3FA6F336" w14:textId="77777777" w:rsidR="00072DF2" w:rsidRPr="00D2321A" w:rsidRDefault="00072DF2" w:rsidP="00072DF2">
      <w:pPr>
        <w:spacing w:after="60" w:line="240" w:lineRule="auto"/>
        <w:jc w:val="both"/>
        <w:rPr>
          <w:rFonts w:ascii="Times New Roman" w:eastAsia="Times New Roman" w:hAnsi="Times New Roman" w:cs="Times New Roman"/>
          <w:iCs/>
          <w:sz w:val="28"/>
          <w:szCs w:val="28"/>
          <w:lang w:val="en-US"/>
        </w:rPr>
      </w:pPr>
      <w:r w:rsidRPr="00D2321A">
        <w:rPr>
          <w:rFonts w:ascii="Times New Roman" w:eastAsia="Times New Roman" w:hAnsi="Times New Roman" w:cs="Times New Roman"/>
          <w:bCs/>
          <w:sz w:val="28"/>
          <w:szCs w:val="28"/>
          <w:lang w:val="en-US"/>
        </w:rPr>
        <w:t>169.</w:t>
      </w:r>
      <w:r w:rsidRPr="00D2321A">
        <w:rPr>
          <w:rFonts w:ascii="Times New Roman" w:eastAsia="Times New Roman" w:hAnsi="Times New Roman" w:cs="Times New Roman"/>
          <w:sz w:val="28"/>
          <w:szCs w:val="28"/>
          <w:lang w:val="en-US"/>
        </w:rPr>
        <w:t xml:space="preserve"> </w:t>
      </w:r>
      <w:r w:rsidRPr="00D2321A">
        <w:rPr>
          <w:rFonts w:ascii="Times New Roman" w:eastAsia="Times New Roman" w:hAnsi="Times New Roman" w:cs="Times New Roman"/>
          <w:iCs/>
          <w:sz w:val="28"/>
          <w:szCs w:val="28"/>
          <w:lang w:val="en-US"/>
        </w:rPr>
        <w:t>Jones L.A., Sinnott L.T., Mutti D.O., Mitchell G.L., Moeschberger M.L., Zadnik K. Parental history of myopia, sports and outdoor activities, and future myopia // Investigative Ophthalmology &amp; Visual Science. – 2007. – Vol. 48, № 8. – P. 3524–3532.</w:t>
      </w:r>
    </w:p>
    <w:p w14:paraId="02CD24E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170.</w:t>
      </w:r>
      <w:r w:rsidRPr="00D2321A">
        <w:rPr>
          <w:rFonts w:ascii="Times New Roman" w:eastAsia="Times New Roman" w:hAnsi="Times New Roman" w:cs="Times New Roman"/>
          <w:sz w:val="28"/>
          <w:szCs w:val="28"/>
          <w:lang w:val="en-US"/>
        </w:rPr>
        <w:t xml:space="preserve"> Rose K.A., Morgan I.G., Ip J., et al. Myopia, lifestyle, and schooling in students of Chinese ethnicity in Singapore and Sydney // Archives of Ophthalmology (Chicago, Ill.: 1960). – 2008. – Vol. 126, № 4. – P. 527–530.</w:t>
      </w:r>
    </w:p>
    <w:p w14:paraId="130D73EF"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171.</w:t>
      </w:r>
      <w:r w:rsidRPr="00D2321A">
        <w:rPr>
          <w:rFonts w:ascii="Times New Roman" w:eastAsia="Times New Roman" w:hAnsi="Times New Roman" w:cs="Times New Roman"/>
          <w:sz w:val="28"/>
          <w:szCs w:val="28"/>
          <w:lang w:val="en-US"/>
        </w:rPr>
        <w:t xml:space="preserve"> Rose K.A., Morgan I.G., Smith W., et al. Outdoor activity reduces the prevalence of myopia in children // Ophthalmology. – 2008. – Vol. 115, № 8. – P. 1279–1285.</w:t>
      </w:r>
    </w:p>
    <w:p w14:paraId="06254C48"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172.</w:t>
      </w:r>
      <w:r w:rsidRPr="00D2321A">
        <w:rPr>
          <w:rFonts w:ascii="Times New Roman" w:eastAsia="Times New Roman" w:hAnsi="Times New Roman" w:cs="Times New Roman"/>
          <w:sz w:val="28"/>
          <w:szCs w:val="28"/>
          <w:lang w:val="en-US"/>
        </w:rPr>
        <w:t xml:space="preserve"> Guggenheim J.A., Northstone K., McMahon G., et al. Time outdoors and physical activity as predictors of incident myopia in childhood: a prospective cohort study // Investigative Ophthalmology &amp; Visual Science. – 2012. – Vol. 53, № 6. – P. 2856–2865.</w:t>
      </w:r>
    </w:p>
    <w:p w14:paraId="5FEC0FF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173.</w:t>
      </w:r>
      <w:r w:rsidRPr="00D2321A">
        <w:rPr>
          <w:rFonts w:ascii="Times New Roman" w:eastAsia="Times New Roman" w:hAnsi="Times New Roman" w:cs="Times New Roman"/>
          <w:sz w:val="28"/>
          <w:szCs w:val="28"/>
          <w:lang w:val="en-US"/>
        </w:rPr>
        <w:t xml:space="preserve"> Wu P.-C., Chen C.-T., Lin K.-K., et al. Myopia prevention and outdoor light intensity in a school-based cluster randomized trial // Ophthalmology. – 2018. – Vol. 125, № 8. – P. 1239–1250.</w:t>
      </w:r>
    </w:p>
    <w:p w14:paraId="7E2D5E3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174.</w:t>
      </w:r>
      <w:r w:rsidRPr="00D2321A">
        <w:rPr>
          <w:rFonts w:ascii="Times New Roman" w:eastAsia="Times New Roman" w:hAnsi="Times New Roman" w:cs="Times New Roman"/>
          <w:sz w:val="28"/>
          <w:szCs w:val="28"/>
          <w:lang w:val="en-US"/>
        </w:rPr>
        <w:t xml:space="preserve"> Hobday R. Myopia and daylight in schools: a neglected aspect of public health? // Perspectives in Public Health. – 2016. – Vol. 136, № 1. – P. 50–55.</w:t>
      </w:r>
    </w:p>
    <w:p w14:paraId="2D83EB2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175.</w:t>
      </w:r>
      <w:r w:rsidRPr="00D2321A">
        <w:rPr>
          <w:rFonts w:ascii="Times New Roman" w:eastAsia="Times New Roman" w:hAnsi="Times New Roman" w:cs="Times New Roman"/>
          <w:sz w:val="28"/>
          <w:szCs w:val="28"/>
          <w:lang w:val="en-US"/>
        </w:rPr>
        <w:t xml:space="preserve"> Gwiazda J., Hyman L., Norton T.T., et al. A randomized clinical trial of progressive addition lenses versus single vision lenses on the progression of myopia in children // Investigative Ophthalmology &amp; Visual Science. – 2003. – Vol. 44, № 4. – P. 1492–1500.</w:t>
      </w:r>
    </w:p>
    <w:p w14:paraId="38E1E19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176.</w:t>
      </w:r>
      <w:r w:rsidRPr="00D2321A">
        <w:rPr>
          <w:rFonts w:ascii="Times New Roman" w:eastAsia="Times New Roman" w:hAnsi="Times New Roman" w:cs="Times New Roman"/>
          <w:sz w:val="28"/>
          <w:szCs w:val="28"/>
          <w:lang w:val="en-US"/>
        </w:rPr>
        <w:t xml:space="preserve"> Cui D., Trier K., Ribel-Madsen S.M. Effect of day length on eye growth, myopia progression, and change of corneal power in myopic children // Ophthalmology. – 2013. – Vol. 120, № 5. – P. 1074–1079.</w:t>
      </w:r>
    </w:p>
    <w:p w14:paraId="4C98E35B"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177.</w:t>
      </w:r>
      <w:r w:rsidRPr="00D2321A">
        <w:rPr>
          <w:rFonts w:ascii="Times New Roman" w:eastAsia="Times New Roman" w:hAnsi="Times New Roman" w:cs="Times New Roman"/>
          <w:sz w:val="28"/>
          <w:szCs w:val="28"/>
          <w:lang w:val="en-US"/>
        </w:rPr>
        <w:t xml:space="preserve"> Donovan L., Sankaridurg P., Ho A., et al. Myopia progression in Chinese children is slower in summer than in winter // Optometry and Vision Science. – 2012. – Vol. 89, № 8. – P. 1196–1202.</w:t>
      </w:r>
    </w:p>
    <w:p w14:paraId="2056F10D"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178.</w:t>
      </w:r>
      <w:r w:rsidRPr="00D2321A">
        <w:rPr>
          <w:rFonts w:ascii="Times New Roman" w:eastAsia="Times New Roman" w:hAnsi="Times New Roman" w:cs="Times New Roman"/>
          <w:sz w:val="28"/>
          <w:szCs w:val="28"/>
          <w:lang w:val="en-US"/>
        </w:rPr>
        <w:t xml:space="preserve"> Fujiwara M., Shibata T., Takahashi Y., et al. Seasonal variation in myopia progression and axial elongation: an evaluation of Japanese children participating in a myopia control trial // Japanese Journal of Ophthalmology. – 2012. – Vol. 56, № 4. – P. 401–406.</w:t>
      </w:r>
    </w:p>
    <w:p w14:paraId="426A5524"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179.</w:t>
      </w:r>
      <w:r w:rsidRPr="00D2321A">
        <w:rPr>
          <w:rFonts w:ascii="Times New Roman" w:eastAsia="Times New Roman" w:hAnsi="Times New Roman" w:cs="Times New Roman"/>
          <w:sz w:val="28"/>
          <w:szCs w:val="28"/>
          <w:lang w:val="en-US"/>
        </w:rPr>
        <w:t xml:space="preserve"> He M., Xiang F., Zeng Y., et al. Effect of time spent outdoors at school on the development of myopia among children in China: a randomized clinical trial // JAMA. – 2015. – Vol. 314, № 11. – P. 1142–1148.</w:t>
      </w:r>
    </w:p>
    <w:p w14:paraId="0451229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180.</w:t>
      </w:r>
      <w:r w:rsidRPr="00D2321A">
        <w:rPr>
          <w:rFonts w:ascii="Times New Roman" w:hAnsi="Times New Roman" w:cs="Times New Roman"/>
          <w:sz w:val="28"/>
          <w:szCs w:val="28"/>
          <w:lang w:val="en-US"/>
        </w:rPr>
        <w:t xml:space="preserve"> Morgan I.G. Myopia prevention and outdoor light intensity in a school-based cluster randomized trial // Ophthalmology. – 2018. – Vol. 125, № 8. – P. 1251–1252.</w:t>
      </w:r>
    </w:p>
    <w:p w14:paraId="37A9C76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181.</w:t>
      </w:r>
      <w:r w:rsidRPr="00D2321A">
        <w:rPr>
          <w:rFonts w:ascii="Times New Roman" w:hAnsi="Times New Roman" w:cs="Times New Roman"/>
          <w:sz w:val="28"/>
          <w:szCs w:val="28"/>
          <w:lang w:val="en-US"/>
        </w:rPr>
        <w:t xml:space="preserve"> Rose K.A., Morgan I.G., Ip J., et al. Myopia, lifestyle, and schooling in students of Chinese ethnicity in Singapore and Sydney // Archives of Ophthalmology (Chicago, Ill.: 1960). – 2008. – Vol. 126, № 4. – P. 527–530.</w:t>
      </w:r>
    </w:p>
    <w:p w14:paraId="0752FF7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182.</w:t>
      </w:r>
      <w:r w:rsidRPr="00D2321A">
        <w:rPr>
          <w:rFonts w:ascii="Times New Roman" w:hAnsi="Times New Roman" w:cs="Times New Roman"/>
          <w:sz w:val="28"/>
          <w:szCs w:val="28"/>
          <w:lang w:val="en-US"/>
        </w:rPr>
        <w:t xml:space="preserve"> Sherwin J.C., Reacher M.H., Keogh R.H., et al. The association between time spent outdoors and myopia in children and adolescents: a systematic review and meta-analysis // Ophthalmology. – 2012. – Vol. 119, № 10. – P. 2141–2151.</w:t>
      </w:r>
    </w:p>
    <w:p w14:paraId="161EBA7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183.</w:t>
      </w:r>
      <w:r w:rsidRPr="00D2321A">
        <w:rPr>
          <w:rFonts w:ascii="Times New Roman" w:hAnsi="Times New Roman" w:cs="Times New Roman"/>
          <w:sz w:val="28"/>
          <w:szCs w:val="28"/>
          <w:lang w:val="en-US"/>
        </w:rPr>
        <w:t xml:space="preserve"> Shih Y.F., Chen C.H., Chou A.C., et al. Effects of different concentrations of atropine on controlling myopia in myopic children // Journal of Ocular Pharmacology and Therapeutics. – 1999. – Vol. 15, № 1. – P. 85–90.</w:t>
      </w:r>
    </w:p>
    <w:p w14:paraId="33E533D7"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184.</w:t>
      </w:r>
      <w:r w:rsidRPr="00D2321A">
        <w:rPr>
          <w:rFonts w:ascii="Times New Roman" w:hAnsi="Times New Roman" w:cs="Times New Roman"/>
          <w:sz w:val="28"/>
          <w:szCs w:val="28"/>
          <w:lang w:val="en-US"/>
        </w:rPr>
        <w:t xml:space="preserve"> COMET Group. Myopia stabilization and associated factors among participants in the Correction of Myopia Evaluation Trial (COMET) // Investigative Ophthalmology &amp; Visual Science. – 2013. – Vol. 54, № 13. – P. 7871–7884.</w:t>
      </w:r>
    </w:p>
    <w:p w14:paraId="7B027E3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185.</w:t>
      </w:r>
      <w:r w:rsidRPr="00D2321A">
        <w:rPr>
          <w:rFonts w:ascii="Times New Roman" w:hAnsi="Times New Roman" w:cs="Times New Roman"/>
          <w:sz w:val="28"/>
          <w:szCs w:val="28"/>
          <w:lang w:val="en-US"/>
        </w:rPr>
        <w:t xml:space="preserve"> Resnikoff S., Pararajasegaram R. Blindness prevention programmes: past, present, and future // Bulletin of the World Health Organization. – 2001. – Vol. 79, № 3. – P. 222–226.</w:t>
      </w:r>
    </w:p>
    <w:p w14:paraId="29B01BC2"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186.</w:t>
      </w:r>
      <w:r w:rsidRPr="00D2321A">
        <w:rPr>
          <w:rFonts w:ascii="Times New Roman" w:hAnsi="Times New Roman" w:cs="Times New Roman"/>
          <w:sz w:val="28"/>
          <w:szCs w:val="28"/>
          <w:lang w:val="en-US"/>
        </w:rPr>
        <w:t xml:space="preserve"> Gilbert C., Minto H., Morjaria P., Khan I. Standard school eye health guidelines for low and middle-income countries. – London: International Agency for the Prevention of Blindness, 2018. – 96 </w:t>
      </w:r>
      <w:r w:rsidRPr="00D2321A">
        <w:rPr>
          <w:rFonts w:ascii="Times New Roman" w:hAnsi="Times New Roman" w:cs="Times New Roman"/>
          <w:sz w:val="28"/>
          <w:szCs w:val="28"/>
        </w:rPr>
        <w:t>с</w:t>
      </w:r>
      <w:r w:rsidRPr="00D2321A">
        <w:rPr>
          <w:rFonts w:ascii="Times New Roman" w:hAnsi="Times New Roman" w:cs="Times New Roman"/>
          <w:sz w:val="28"/>
          <w:szCs w:val="28"/>
          <w:lang w:val="en-US"/>
        </w:rPr>
        <w:t>.</w:t>
      </w:r>
    </w:p>
    <w:p w14:paraId="6425A1F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187.</w:t>
      </w:r>
      <w:r w:rsidRPr="00D2321A">
        <w:rPr>
          <w:rFonts w:ascii="Times New Roman" w:hAnsi="Times New Roman" w:cs="Times New Roman"/>
          <w:sz w:val="28"/>
          <w:szCs w:val="28"/>
          <w:lang w:val="en-US"/>
        </w:rPr>
        <w:t xml:space="preserve"> Limburg H., Vaidyanathan K., Dalal H.P. Cost-effective screening of schoolchildren for refractive errors // World Health Forum. – 1995. – Vol. 16, № 2. – P. 173–178.</w:t>
      </w:r>
    </w:p>
    <w:p w14:paraId="12C44FD0"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188.</w:t>
      </w:r>
      <w:r w:rsidRPr="00D2321A">
        <w:rPr>
          <w:rFonts w:ascii="Times New Roman" w:hAnsi="Times New Roman" w:cs="Times New Roman"/>
          <w:sz w:val="28"/>
          <w:szCs w:val="28"/>
          <w:lang w:val="en-US"/>
        </w:rPr>
        <w:t xml:space="preserve"> Tang K.-C., Nutbeam D., Aldinger C., et al. Schools for health, education and development: a call for action // Health Promotion International. – 2009. – Vol. 24, № 1. – P. 68–77.</w:t>
      </w:r>
    </w:p>
    <w:p w14:paraId="10369D6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189.</w:t>
      </w:r>
      <w:r w:rsidRPr="00D2321A">
        <w:rPr>
          <w:rFonts w:ascii="Times New Roman" w:hAnsi="Times New Roman" w:cs="Times New Roman"/>
          <w:sz w:val="28"/>
          <w:szCs w:val="28"/>
          <w:lang w:val="en-US"/>
        </w:rPr>
        <w:t xml:space="preserve"> Powell C., Wedner S., Hatt S.R. Vision screening for correctable visual acuity deficits in school‐age children and adolescents // Cochrane Database of Systematic Reviews. – 2004. – № 4.</w:t>
      </w:r>
    </w:p>
    <w:p w14:paraId="1A4247A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190.</w:t>
      </w:r>
      <w:r w:rsidRPr="00D2321A">
        <w:rPr>
          <w:rFonts w:ascii="Times New Roman" w:hAnsi="Times New Roman" w:cs="Times New Roman"/>
          <w:sz w:val="28"/>
          <w:szCs w:val="28"/>
          <w:lang w:val="en-US"/>
        </w:rPr>
        <w:t xml:space="preserve"> Nawaysir S., Al-Shehri A., Khan M.I., et al. Comparison of outcomes of vision and eye screening of children of four orphanages and school children of Riyadh // Middle East African Journal of Ophthalmology. – 2020. – Vol. 27, № 3. – P. 172–176.</w:t>
      </w:r>
    </w:p>
    <w:p w14:paraId="7BC3781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191.</w:t>
      </w:r>
      <w:r w:rsidRPr="00D2321A">
        <w:rPr>
          <w:rFonts w:ascii="Times New Roman" w:hAnsi="Times New Roman" w:cs="Times New Roman"/>
          <w:sz w:val="28"/>
          <w:szCs w:val="28"/>
          <w:lang w:val="en-US"/>
        </w:rPr>
        <w:t xml:space="preserve"> Khandekar R., Gogri U., Al-Harby S. Changing trends in myopia among schoolchildren in Oman: screening information over 11 years // Oman Journal of Ophthalmology. – 2018. – Vol. 11, № 3. – P. 232–236.</w:t>
      </w:r>
    </w:p>
    <w:p w14:paraId="14E3849E"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192.</w:t>
      </w:r>
      <w:r w:rsidRPr="00D2321A">
        <w:rPr>
          <w:rFonts w:ascii="Times New Roman" w:hAnsi="Times New Roman" w:cs="Times New Roman"/>
          <w:sz w:val="28"/>
          <w:szCs w:val="28"/>
          <w:lang w:val="en-US"/>
        </w:rPr>
        <w:t xml:space="preserve"> Wedner S.H., Ross D.A., Balira R., et al. Myopia in secondary school students in Mwanza City, Tanzania: the need for a national screening programme // The British Journal of Ophthalmology. – 2002. – Vol. 86, № 11. – P. 1200–1206.</w:t>
      </w:r>
    </w:p>
    <w:p w14:paraId="77636EF2"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193.</w:t>
      </w:r>
      <w:r w:rsidRPr="00D2321A">
        <w:rPr>
          <w:rFonts w:ascii="Times New Roman" w:hAnsi="Times New Roman" w:cs="Times New Roman"/>
          <w:sz w:val="28"/>
          <w:szCs w:val="28"/>
          <w:lang w:val="en-US"/>
        </w:rPr>
        <w:t xml:space="preserve"> Baltussen R., Naus J., Limburg H. Cost-effectiveness of screening and correcting refractive errors in school children in Africa, Asia, America and Europe // Health Policy (Amsterdam, Netherlands). – 2009. – Vol. 89, № 2. – P. 201–215.</w:t>
      </w:r>
    </w:p>
    <w:p w14:paraId="3CA43A0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194.</w:t>
      </w:r>
      <w:r w:rsidRPr="00D2321A">
        <w:rPr>
          <w:rFonts w:ascii="Times New Roman" w:hAnsi="Times New Roman" w:cs="Times New Roman"/>
          <w:sz w:val="28"/>
          <w:szCs w:val="28"/>
          <w:lang w:val="en-US"/>
        </w:rPr>
        <w:t xml:space="preserve"> Evans J.R., Morjaria P., Powell C. Vision screening for correctable visual acuity deficits in school‐age children and adolescents // Cochrane Database of Systematic Reviews. – 2018. – № 2.</w:t>
      </w:r>
    </w:p>
    <w:p w14:paraId="035382D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195.</w:t>
      </w:r>
      <w:r w:rsidRPr="00D2321A">
        <w:rPr>
          <w:rFonts w:ascii="Times New Roman" w:hAnsi="Times New Roman" w:cs="Times New Roman"/>
          <w:sz w:val="28"/>
          <w:szCs w:val="28"/>
          <w:lang w:val="en-US"/>
        </w:rPr>
        <w:t xml:space="preserve"> Sommer A., Taylor H.R., Ravilla T.D., et al. Challenges of ophthalmic care in the developing world // JAMA Ophthalmology. – 2014. – Vol. 132, № 5. – P. 640–644.</w:t>
      </w:r>
    </w:p>
    <w:p w14:paraId="35CFAA48"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196.</w:t>
      </w:r>
      <w:r w:rsidRPr="00D2321A">
        <w:rPr>
          <w:rFonts w:ascii="Times New Roman" w:hAnsi="Times New Roman" w:cs="Times New Roman"/>
          <w:sz w:val="28"/>
          <w:szCs w:val="28"/>
          <w:lang w:val="en-US"/>
        </w:rPr>
        <w:t xml:space="preserve"> Bechange S., Schmidt E., Ruddock A., et al. Strengths and weaknesses of eye care services in sub-Saharan Africa: a meta-synthesis of eye health system assessments // BMC Health Services Research. – 2020. – Vol. 20, № 1. – P. 381.</w:t>
      </w:r>
    </w:p>
    <w:p w14:paraId="7AC451C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197.</w:t>
      </w:r>
      <w:r w:rsidRPr="00D2321A">
        <w:rPr>
          <w:rFonts w:ascii="Times New Roman" w:hAnsi="Times New Roman" w:cs="Times New Roman"/>
          <w:sz w:val="28"/>
          <w:szCs w:val="28"/>
          <w:lang w:val="en-US"/>
        </w:rPr>
        <w:t xml:space="preserve"> Jose R., Sachdeva S. School eye screening and the National Program for Control of Blindness // Indian Pediatrics. – 2009. – Vol. 46, № 3. – P. 205–208.</w:t>
      </w:r>
    </w:p>
    <w:p w14:paraId="5881B33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198.</w:t>
      </w:r>
      <w:r w:rsidRPr="00D2321A">
        <w:rPr>
          <w:rFonts w:ascii="Times New Roman" w:hAnsi="Times New Roman" w:cs="Times New Roman"/>
          <w:sz w:val="28"/>
          <w:szCs w:val="28"/>
          <w:lang w:val="en-US"/>
        </w:rPr>
        <w:t xml:space="preserve"> Shukla P., Vashist P., Tandon R., et al. Assessing the inclusion of primary school children in vision screening for refractive error program of India // Indian Journal of Ophthalmology. – 2018. – Vol. 66, № 7. – P. 935–939.</w:t>
      </w:r>
    </w:p>
    <w:p w14:paraId="02C5AEFC"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199.</w:t>
      </w:r>
      <w:r w:rsidRPr="00D2321A">
        <w:rPr>
          <w:rFonts w:ascii="Times New Roman" w:hAnsi="Times New Roman" w:cs="Times New Roman"/>
          <w:sz w:val="28"/>
          <w:szCs w:val="28"/>
          <w:lang w:val="en-US"/>
        </w:rPr>
        <w:t xml:space="preserve"> Teerawattananon K., Rattanavipapong W., Yothasamut J., et al. Assessing the accuracy and feasibility of a refractive error screening program conducted by school teachers in pre-primary and primary schools in Thailand // PLoS ONE. – 2014. – Vol. 9, № 6.</w:t>
      </w:r>
    </w:p>
    <w:p w14:paraId="74D6B72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200.</w:t>
      </w:r>
      <w:r w:rsidRPr="00D2321A">
        <w:rPr>
          <w:rFonts w:ascii="Times New Roman" w:hAnsi="Times New Roman" w:cs="Times New Roman"/>
          <w:sz w:val="28"/>
          <w:szCs w:val="28"/>
          <w:lang w:val="en-US"/>
        </w:rPr>
        <w:t xml:space="preserve"> Latorre-Arteaga S., Gil-González D., Vives-Cases C., et al. Reducing visual deficits caused by refractive errors in school and preschool children: results of a pilot school program in the Andean region of Apurimac, Peru // Global Health Action. – 2014. – Vol. 7. – P. 22656.</w:t>
      </w:r>
    </w:p>
    <w:p w14:paraId="6C3C9F64"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201.</w:t>
      </w:r>
      <w:r w:rsidRPr="00D2321A">
        <w:rPr>
          <w:rFonts w:ascii="Times New Roman" w:hAnsi="Times New Roman" w:cs="Times New Roman"/>
          <w:sz w:val="28"/>
          <w:szCs w:val="28"/>
          <w:lang w:val="en-US"/>
        </w:rPr>
        <w:t xml:space="preserve"> Nishimura M., Renaud J., McCulloch D.L., et al. Choosing appropriate tools and referral criteria for vision screening of children aged 4–5 years in Canada: a quantitative analysis // BMJ Open. – 2019. – Vol. 9, № 9.</w:t>
      </w:r>
    </w:p>
    <w:p w14:paraId="6CBBC2D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202.</w:t>
      </w:r>
      <w:r w:rsidRPr="00D2321A">
        <w:rPr>
          <w:rFonts w:ascii="Times New Roman" w:hAnsi="Times New Roman" w:cs="Times New Roman"/>
          <w:sz w:val="28"/>
          <w:szCs w:val="28"/>
          <w:lang w:val="en-US"/>
        </w:rPr>
        <w:t xml:space="preserve"> Vision in Preschoolers Study Group. Preschool vision screening tests administered by nurse screeners compared with lay screeners in the Vision in Preschoolers Study // Investigative Ophthalmology &amp; Visual Science. – 2005. – Vol. 46, № 8. – P. 2639–2648.</w:t>
      </w:r>
    </w:p>
    <w:p w14:paraId="7A2E107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203.</w:t>
      </w:r>
      <w:r w:rsidRPr="00D2321A">
        <w:rPr>
          <w:rFonts w:ascii="Times New Roman" w:hAnsi="Times New Roman" w:cs="Times New Roman"/>
          <w:sz w:val="28"/>
          <w:szCs w:val="28"/>
          <w:lang w:val="en-US"/>
        </w:rPr>
        <w:t xml:space="preserve"> Wang L., Zhang M., Ma X., et al. The cost-effectiveness of alternative vision screening models among preschool children in rural China // Acta Ophthalmologica. – 2019. – Vol. 97, № 3. – P. e419–e425.</w:t>
      </w:r>
    </w:p>
    <w:p w14:paraId="543A69C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204.</w:t>
      </w:r>
      <w:r w:rsidRPr="00D2321A">
        <w:rPr>
          <w:rFonts w:ascii="Times New Roman" w:hAnsi="Times New Roman" w:cs="Times New Roman"/>
          <w:sz w:val="28"/>
          <w:szCs w:val="28"/>
          <w:lang w:val="en-US"/>
        </w:rPr>
        <w:t xml:space="preserve"> Sharma A., Congdon N., Patel M., et al. School-based approaches to the correction of refractive error in children // Survey of Ophthalmology. – 2012. – Vol. 57, № 3. – P. 272–283.</w:t>
      </w:r>
    </w:p>
    <w:p w14:paraId="5FF94C0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205.</w:t>
      </w:r>
      <w:r w:rsidRPr="00D2321A">
        <w:rPr>
          <w:rFonts w:ascii="Times New Roman" w:hAnsi="Times New Roman" w:cs="Times New Roman"/>
          <w:sz w:val="28"/>
          <w:szCs w:val="28"/>
          <w:lang w:val="en-US"/>
        </w:rPr>
        <w:t xml:space="preserve"> Mathers M., Keyes M., Wright M. A review of the evidence on the effectiveness of children’s vision screening // Child: Care, Health and Development. – 2010. – Vol. 36. – P. 756–780.</w:t>
      </w:r>
    </w:p>
    <w:p w14:paraId="79E602E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206.</w:t>
      </w:r>
      <w:r w:rsidRPr="00D2321A">
        <w:rPr>
          <w:rFonts w:ascii="Times New Roman" w:hAnsi="Times New Roman" w:cs="Times New Roman"/>
          <w:sz w:val="28"/>
          <w:szCs w:val="28"/>
          <w:lang w:val="en-US"/>
        </w:rPr>
        <w:t xml:space="preserve"> Preslan M.W., Novak A. Baltimore Vision Screening Project. Phase 2 // Ophthalmology. – 1998. – Vol. 105, № 1. – P. 150–153.</w:t>
      </w:r>
    </w:p>
    <w:p w14:paraId="080B3743"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207.</w:t>
      </w:r>
      <w:r w:rsidRPr="00D2321A">
        <w:rPr>
          <w:rFonts w:ascii="Times New Roman" w:hAnsi="Times New Roman" w:cs="Times New Roman"/>
          <w:sz w:val="28"/>
          <w:szCs w:val="28"/>
          <w:lang w:val="en-US"/>
        </w:rPr>
        <w:t xml:space="preserve"> Vision Screening – American Association for Pediatric Ophthalmology and Strabismus [</w:t>
      </w:r>
      <w:r w:rsidRPr="00D2321A">
        <w:rPr>
          <w:rFonts w:ascii="Times New Roman" w:hAnsi="Times New Roman" w:cs="Times New Roman"/>
          <w:sz w:val="28"/>
          <w:szCs w:val="28"/>
        </w:rPr>
        <w:t>Электронный</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ресурс</w:t>
      </w:r>
      <w:r w:rsidRPr="00D2321A">
        <w:rPr>
          <w:rFonts w:ascii="Times New Roman" w:hAnsi="Times New Roman" w:cs="Times New Roman"/>
          <w:sz w:val="28"/>
          <w:szCs w:val="28"/>
          <w:lang w:val="en-US"/>
        </w:rPr>
        <w:t xml:space="preserve">]. – URL: </w:t>
      </w:r>
      <w:hyperlink r:id="rId38" w:tgtFrame="_new" w:history="1">
        <w:r w:rsidRPr="00D2321A">
          <w:rPr>
            <w:rFonts w:ascii="Times New Roman" w:hAnsi="Times New Roman" w:cs="Times New Roman"/>
            <w:color w:val="0563C1" w:themeColor="hyperlink"/>
            <w:sz w:val="28"/>
            <w:szCs w:val="28"/>
            <w:u w:val="single"/>
            <w:lang w:val="en-US"/>
          </w:rPr>
          <w:t>https://aapos.org/glossary/vision-screening-description</w:t>
        </w:r>
      </w:hyperlink>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дата</w:t>
      </w:r>
      <w:r w:rsidRPr="00D2321A">
        <w:rPr>
          <w:rFonts w:ascii="Times New Roman" w:hAnsi="Times New Roman" w:cs="Times New Roman"/>
          <w:sz w:val="28"/>
          <w:szCs w:val="28"/>
          <w:lang w:val="en-US"/>
        </w:rPr>
        <w:t xml:space="preserve"> </w:t>
      </w:r>
      <w:r w:rsidRPr="00D2321A">
        <w:rPr>
          <w:rFonts w:ascii="Times New Roman" w:hAnsi="Times New Roman" w:cs="Times New Roman"/>
          <w:sz w:val="28"/>
          <w:szCs w:val="28"/>
        </w:rPr>
        <w:t>обращения</w:t>
      </w:r>
      <w:r w:rsidRPr="00D2321A">
        <w:rPr>
          <w:rFonts w:ascii="Times New Roman" w:hAnsi="Times New Roman" w:cs="Times New Roman"/>
          <w:sz w:val="28"/>
          <w:szCs w:val="28"/>
          <w:lang w:val="en-US"/>
        </w:rPr>
        <w:t>: 11.04.2021).</w:t>
      </w:r>
    </w:p>
    <w:p w14:paraId="3153ADE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208.</w:t>
      </w:r>
      <w:r w:rsidRPr="00D2321A">
        <w:rPr>
          <w:rFonts w:ascii="Times New Roman" w:hAnsi="Times New Roman" w:cs="Times New Roman"/>
          <w:sz w:val="28"/>
          <w:szCs w:val="28"/>
          <w:lang w:val="en-US"/>
        </w:rPr>
        <w:t xml:space="preserve"> Kvarnström G., Jakobsson P., Lennerstrand G. Screening for visual and ocular disorders in children: evaluation of the system in Sweden // Acta Paediatrica. – 1998. – Vol. 87, № 11. – P. 1173–1179.</w:t>
      </w:r>
    </w:p>
    <w:p w14:paraId="72424E7A"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209.</w:t>
      </w:r>
      <w:r w:rsidRPr="00D2321A">
        <w:rPr>
          <w:rFonts w:ascii="Times New Roman" w:hAnsi="Times New Roman" w:cs="Times New Roman"/>
          <w:sz w:val="28"/>
          <w:szCs w:val="28"/>
          <w:lang w:val="en-US"/>
        </w:rPr>
        <w:t xml:space="preserve"> Kvarnström G., Jakobsson P., Lennerstrand G. Visual screening of Swedish children: an ophthalmological evaluation // Acta Ophthalmologica Scandinavica. – 2001. – Vol. 79, № 3. – P. 240–244.</w:t>
      </w:r>
    </w:p>
    <w:p w14:paraId="74C991EF"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210.</w:t>
      </w:r>
      <w:r w:rsidRPr="00D2321A">
        <w:rPr>
          <w:rFonts w:ascii="Times New Roman" w:hAnsi="Times New Roman" w:cs="Times New Roman"/>
          <w:sz w:val="28"/>
          <w:szCs w:val="28"/>
          <w:lang w:val="en-US"/>
        </w:rPr>
        <w:t xml:space="preserve"> Thorisdottir R.L., Sörensen K., Halldórsson G.H., et al. The impact of vision screening in preschool children on visual function in the Swedish adult population // Acta Ophthalmologica. – 2019. – Vol. 97, № 8. – P. 793–797.</w:t>
      </w:r>
    </w:p>
    <w:p w14:paraId="73F0622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211.</w:t>
      </w:r>
      <w:r w:rsidRPr="00D2321A">
        <w:rPr>
          <w:rFonts w:ascii="Times New Roman" w:hAnsi="Times New Roman" w:cs="Times New Roman"/>
          <w:sz w:val="28"/>
          <w:szCs w:val="28"/>
          <w:lang w:val="en-US"/>
        </w:rPr>
        <w:t xml:space="preserve"> Høeg T.B., Moldow B., Ellwein L.B., et al. Danish Rural Eye Study: the association of preschool vision screening with the prevalence of amblyopia // Acta Ophthalmologica. – 2015. – Vol. 93, № 4. – P. 322–329.</w:t>
      </w:r>
    </w:p>
    <w:p w14:paraId="67F25466"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212.</w:t>
      </w:r>
      <w:r w:rsidRPr="00D2321A">
        <w:rPr>
          <w:rFonts w:ascii="Times New Roman" w:hAnsi="Times New Roman" w:cs="Times New Roman"/>
          <w:sz w:val="28"/>
          <w:szCs w:val="28"/>
          <w:lang w:val="en-US"/>
        </w:rPr>
        <w:t xml:space="preserve"> Lester B.A. Comparing the cost-effectiveness of school eye screening versus a primary eye care model to provide refractive error services for children in India // Community Eye Health. – 2007. – Vol. 20, № 61. – P. 15.</w:t>
      </w:r>
    </w:p>
    <w:p w14:paraId="569CABF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213.</w:t>
      </w:r>
      <w:r w:rsidRPr="00D2321A">
        <w:rPr>
          <w:rFonts w:ascii="Times New Roman" w:hAnsi="Times New Roman" w:cs="Times New Roman"/>
          <w:sz w:val="28"/>
          <w:szCs w:val="28"/>
          <w:lang w:val="en-US"/>
        </w:rPr>
        <w:t xml:space="preserve"> Limburg H., Kansara H.T., d’Souza S. Results of school eye screening of 5.4 million children in India: a five-year follow-up study // Acta Ophthalmologica Scandinavica. – 1999. – Vol. 77, № 3. – P. 310–314.</w:t>
      </w:r>
    </w:p>
    <w:p w14:paraId="537EE811"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214.</w:t>
      </w:r>
      <w:r w:rsidRPr="00D2321A">
        <w:rPr>
          <w:rFonts w:ascii="Times New Roman" w:hAnsi="Times New Roman" w:cs="Times New Roman"/>
          <w:sz w:val="28"/>
          <w:szCs w:val="28"/>
          <w:lang w:val="en-US"/>
        </w:rPr>
        <w:t xml:space="preserve"> Gursoy H., Basmak H., Yaz Y., et al. Vision screening in children entering school: Eskisehir, Turkey // Ophthalmic Epidemiology. – 2013. – Vol. 20, № 4. – P. 232–238.</w:t>
      </w:r>
    </w:p>
    <w:p w14:paraId="4699C83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lastRenderedPageBreak/>
        <w:t>215.</w:t>
      </w:r>
      <w:r w:rsidRPr="00D2321A">
        <w:rPr>
          <w:rFonts w:ascii="Times New Roman" w:hAnsi="Times New Roman" w:cs="Times New Roman"/>
          <w:sz w:val="28"/>
          <w:szCs w:val="28"/>
          <w:lang w:val="en-US"/>
        </w:rPr>
        <w:t xml:space="preserve"> Worku Y., Bayu S. Screening for ocular abnormalities and subnormal vision in school children of Butajira Town, southern Ethiopia // Ethiopian Journal of Health Development. – 2002. – Vol. 16, № 2. – P. 165–171.</w:t>
      </w:r>
    </w:p>
    <w:p w14:paraId="14A3B3D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216.</w:t>
      </w:r>
      <w:r w:rsidRPr="00D2321A">
        <w:rPr>
          <w:rFonts w:ascii="Times New Roman" w:hAnsi="Times New Roman" w:cs="Times New Roman"/>
          <w:sz w:val="28"/>
          <w:szCs w:val="28"/>
          <w:lang w:val="en-US"/>
        </w:rPr>
        <w:t xml:space="preserve"> Hamm L.M., Black J., Dai S., et al. Evaluation of vision screening of 5–15‐year‐old children in three Tongan schools: comparison of The Auckland Optotypes and Lea symbols // Clinical &amp; Experimental Optometry. – 2020. – Vol. 103, № 3. – P. 353–360.</w:t>
      </w:r>
    </w:p>
    <w:p w14:paraId="6737E7BF"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217.</w:t>
      </w:r>
      <w:r w:rsidRPr="00D2321A">
        <w:rPr>
          <w:rFonts w:ascii="Times New Roman" w:hAnsi="Times New Roman" w:cs="Times New Roman"/>
          <w:sz w:val="28"/>
          <w:szCs w:val="28"/>
          <w:lang w:val="en-US"/>
        </w:rPr>
        <w:t xml:space="preserve"> Cummings G.E. Vision screening in junior schools // Public Health. – 1996. – Vol. 110, № 6. – P. 369–372.</w:t>
      </w:r>
    </w:p>
    <w:p w14:paraId="66C268A5"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218.</w:t>
      </w:r>
      <w:r w:rsidRPr="00D2321A">
        <w:rPr>
          <w:rFonts w:ascii="Times New Roman" w:hAnsi="Times New Roman" w:cs="Times New Roman"/>
          <w:sz w:val="28"/>
          <w:szCs w:val="28"/>
          <w:lang w:val="en-US"/>
        </w:rPr>
        <w:t xml:space="preserve"> Jewell G., Reeves B.C., Al-Bermani N.S., et al. The effectiveness of vision screening by school nurses in secondary school // Archives of Disease in Childhood. – 1994. – Vol. 70, № 1. – P. 14–18.</w:t>
      </w:r>
    </w:p>
    <w:p w14:paraId="4B356F1D"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bCs/>
          <w:sz w:val="28"/>
          <w:szCs w:val="28"/>
          <w:lang w:val="en-US"/>
        </w:rPr>
        <w:t>219.</w:t>
      </w:r>
      <w:r w:rsidRPr="00D2321A">
        <w:rPr>
          <w:rFonts w:ascii="Times New Roman" w:hAnsi="Times New Roman" w:cs="Times New Roman"/>
          <w:sz w:val="28"/>
          <w:szCs w:val="28"/>
          <w:lang w:val="en-US"/>
        </w:rPr>
        <w:t xml:space="preserve"> Bruce A., Fairley L., Chambers B., et al. Prevalence of, and risk factors for, presenting visual impairment: findings from a vision screening programme based on UK NSC guidance in a multi-ethnic population // Eye. – 2018. – Vol. 32, № 10. – P. 1599–1607</w:t>
      </w:r>
    </w:p>
    <w:p w14:paraId="5BF477F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220.</w:t>
      </w:r>
      <w:r w:rsidRPr="00D2321A">
        <w:rPr>
          <w:rFonts w:ascii="Times New Roman" w:eastAsia="Times New Roman" w:hAnsi="Times New Roman" w:cs="Times New Roman"/>
          <w:sz w:val="28"/>
          <w:szCs w:val="28"/>
          <w:lang w:val="en-US"/>
        </w:rPr>
        <w:t xml:space="preserve"> Peterseim M.M.W., Papa C.E., Wilson M.E., Cheeseman E.W., Wolf B.J. Photoscreeners in the Pediatric Eye Office: Compared Testability and Refractions on High-Risk Children // American Journal of Ophthalmology. – 2014. – Vol. 158, № 5. – P. 932–938.</w:t>
      </w:r>
    </w:p>
    <w:p w14:paraId="4CAAFCB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221.</w:t>
      </w:r>
      <w:r w:rsidRPr="00D2321A">
        <w:rPr>
          <w:rFonts w:ascii="Times New Roman" w:eastAsia="Times New Roman" w:hAnsi="Times New Roman" w:cs="Times New Roman"/>
          <w:sz w:val="28"/>
          <w:szCs w:val="28"/>
          <w:lang w:val="en-US"/>
        </w:rPr>
        <w:t xml:space="preserve"> Dandona R., Dandona L., Srinivas M., Sahare P., Narsaiah S., Munoz S.R., Pokharel G.P., Ellwein L.B. Refractive error in children in a rural population in India // Investigative Ophthalmology &amp; Visual Science. – 2002. – Vol. 43, № 3. – P. 615–622.</w:t>
      </w:r>
    </w:p>
    <w:p w14:paraId="56AD1AD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222.</w:t>
      </w:r>
      <w:r w:rsidRPr="00D2321A">
        <w:rPr>
          <w:rFonts w:ascii="Times New Roman" w:eastAsia="Times New Roman" w:hAnsi="Times New Roman" w:cs="Times New Roman"/>
          <w:sz w:val="28"/>
          <w:szCs w:val="28"/>
          <w:lang w:val="en-US"/>
        </w:rPr>
        <w:t xml:space="preserve"> Pokharel G.P., Negrel A.D., Munoz S.R., Ellwein L.B. Refractive Error Study in Children: results from Mechi Zone, Nepal // American Journal of Ophthalmology. – 2000. – Vol. 129, № 4. – P. 436–444.</w:t>
      </w:r>
    </w:p>
    <w:p w14:paraId="49EAC22E"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223.</w:t>
      </w:r>
      <w:r w:rsidRPr="00D2321A">
        <w:rPr>
          <w:rFonts w:ascii="Times New Roman" w:eastAsia="Times New Roman" w:hAnsi="Times New Roman" w:cs="Times New Roman"/>
          <w:sz w:val="28"/>
          <w:szCs w:val="28"/>
          <w:lang w:val="en-US"/>
        </w:rPr>
        <w:t xml:space="preserve"> Zhao J., Pan X., Sui R., Munoz S.R., Sperduto R.D., Ellwein L.B. Refractive Error Study in Children: results from Shunyi District, China // American Journal of Ophthalmology. – 2000. – Vol. 129, № 4. – P. 427–435.</w:t>
      </w:r>
    </w:p>
    <w:p w14:paraId="4E283B06"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224.</w:t>
      </w:r>
      <w:r w:rsidRPr="00D2321A">
        <w:rPr>
          <w:rFonts w:ascii="Times New Roman" w:eastAsia="Times New Roman" w:hAnsi="Times New Roman" w:cs="Times New Roman"/>
          <w:sz w:val="28"/>
          <w:szCs w:val="28"/>
          <w:lang w:val="en-US"/>
        </w:rPr>
        <w:t xml:space="preserve"> Donahue S.P., Arthur B., Neely D.E., Arnold R.W., Silbert D., Ruben J.B. Guidelines for automated preschool vision screening: a 10-year, evidence-based update // Journal of AAPOS. – 2013. – Vol. 17, № 1. – P. 4–8.</w:t>
      </w:r>
    </w:p>
    <w:p w14:paraId="786D26A0"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225.</w:t>
      </w:r>
      <w:r w:rsidRPr="00D2321A">
        <w:rPr>
          <w:rFonts w:ascii="Times New Roman" w:eastAsia="Times New Roman" w:hAnsi="Times New Roman" w:cs="Times New Roman"/>
          <w:sz w:val="28"/>
          <w:szCs w:val="28"/>
          <w:lang w:val="en-US"/>
        </w:rPr>
        <w:t xml:space="preserve"> Nathan N.R., Donahue S.P. Modification of Plusoptix referral criteria to enhance sensitivity and specificity during pediatric vision screening // Journal of AAPOS. – 2011. – Vol. 15, № 6. – P. 551–555.</w:t>
      </w:r>
    </w:p>
    <w:p w14:paraId="0E6FB2FA"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226.</w:t>
      </w:r>
      <w:r w:rsidRPr="00D2321A">
        <w:rPr>
          <w:rFonts w:ascii="Times New Roman" w:eastAsia="Times New Roman" w:hAnsi="Times New Roman" w:cs="Times New Roman"/>
          <w:sz w:val="28"/>
          <w:szCs w:val="28"/>
          <w:lang w:val="en-US"/>
        </w:rPr>
        <w:t xml:space="preserve"> Agarwal A., Ashutiani M., Mukherjee A. Comparing low-cost handheld autorefractors: A practical approach to measuring refraction in low-resource settings // PLoS ONE. – 2019. – Vol. 14, № 10.</w:t>
      </w:r>
    </w:p>
    <w:p w14:paraId="6E31D531"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227.</w:t>
      </w:r>
      <w:r w:rsidRPr="00D2321A">
        <w:rPr>
          <w:rFonts w:ascii="Times New Roman" w:eastAsia="Times New Roman" w:hAnsi="Times New Roman" w:cs="Times New Roman"/>
          <w:sz w:val="28"/>
          <w:szCs w:val="28"/>
          <w:lang w:val="en-US"/>
        </w:rPr>
        <w:t xml:space="preserve"> Singman E.L., Matta N.S., Tian J., Silbert D. A comparison of referral criteria used by the plusoptiX photoscreener // Strabismus. – 2013. – Vol. 21, № 3. – P. 190–194.</w:t>
      </w:r>
    </w:p>
    <w:p w14:paraId="08CCB7BC"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lastRenderedPageBreak/>
        <w:t>228.</w:t>
      </w:r>
      <w:r w:rsidRPr="00D2321A">
        <w:rPr>
          <w:rFonts w:ascii="Times New Roman" w:eastAsia="Times New Roman" w:hAnsi="Times New Roman" w:cs="Times New Roman"/>
          <w:sz w:val="28"/>
          <w:szCs w:val="28"/>
          <w:lang w:val="en-US"/>
        </w:rPr>
        <w:t xml:space="preserve"> Yanovitch T.L., Lim R., Freedman S.F., Hunter D.G., Reddix J., Buckley E.G. The accuracy of photoscreening at detecting treatable ocular conditions in children with Down syndrome // Journal of AAPOS. – 2010. – Vol. 14, № 6. – P. 472–477.</w:t>
      </w:r>
    </w:p>
    <w:p w14:paraId="30B14F6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229.</w:t>
      </w:r>
      <w:r w:rsidRPr="00D2321A">
        <w:rPr>
          <w:rFonts w:ascii="Times New Roman" w:eastAsia="Times New Roman" w:hAnsi="Times New Roman" w:cs="Times New Roman"/>
          <w:sz w:val="28"/>
          <w:szCs w:val="28"/>
          <w:lang w:val="en-US"/>
        </w:rPr>
        <w:t xml:space="preserve"> Paff T., Oudesluijs-Murphy A.M., Wolterbeek R., Tijmes N.T., Boersma H., Verkerk P.H. Screening for refractive errors in children: the plusoptiX S08 and the Retinomax K-plus2 performed by a lay screener compared to cycloplegic retinoscopy // Journal of AAPOS. – 2010. – Vol. 14, № 6. – P. 478–483.</w:t>
      </w:r>
    </w:p>
    <w:p w14:paraId="1D3F434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230.</w:t>
      </w:r>
      <w:r w:rsidRPr="00D2321A">
        <w:rPr>
          <w:rFonts w:ascii="Times New Roman" w:eastAsia="Times New Roman" w:hAnsi="Times New Roman" w:cs="Times New Roman"/>
          <w:sz w:val="28"/>
          <w:szCs w:val="28"/>
          <w:lang w:val="en-US"/>
        </w:rPr>
        <w:t xml:space="preserve"> Pathipati A.S., Ko J.M., Zupancic J., Adelman R.A. Visual acuity measured with a smartphone app is more accurate than Snellen testing by emergency department providers // Graefe’s Archive for Clinical and Experimental Ophthalmology. – 2016. – Vol. 254, № 6. – P. 1175–1180.</w:t>
      </w:r>
    </w:p>
    <w:p w14:paraId="1F0420F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231.</w:t>
      </w:r>
      <w:r w:rsidRPr="00D2321A">
        <w:rPr>
          <w:rFonts w:ascii="Times New Roman" w:eastAsia="Times New Roman" w:hAnsi="Times New Roman" w:cs="Times New Roman"/>
          <w:sz w:val="28"/>
          <w:szCs w:val="28"/>
          <w:lang w:val="en-US"/>
        </w:rPr>
        <w:t xml:space="preserve"> de Venecia B., Athanasiadis D.I., Tanaka M.G., Lambert S.R. Validation of Peek Acuity application in pediatric screening programs in Paraguay // International Journal of Ophthalmology. – 2018. – Vol. 11, № 8. – P. 1384–1389.</w:t>
      </w:r>
    </w:p>
    <w:p w14:paraId="7C7112A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232.</w:t>
      </w:r>
      <w:r w:rsidRPr="00D2321A">
        <w:rPr>
          <w:rFonts w:ascii="Times New Roman" w:eastAsia="Times New Roman" w:hAnsi="Times New Roman" w:cs="Times New Roman"/>
          <w:sz w:val="28"/>
          <w:szCs w:val="28"/>
          <w:lang w:val="en-US"/>
        </w:rPr>
        <w:t xml:space="preserve"> Arnold R.W., Armitage M.D., Gionet E.G. Evaluation of a smartphone photoscreening app to detect refractive amblyopia risk factors in children aged 1–6 years // Clinical Ophthalmology (Auckland, N.Z.). – 2018. – Vol. 12. – P. 1533–1537.</w:t>
      </w:r>
    </w:p>
    <w:p w14:paraId="18E53443"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233.</w:t>
      </w:r>
      <w:r w:rsidRPr="00D2321A">
        <w:rPr>
          <w:rFonts w:ascii="Times New Roman" w:eastAsia="Times New Roman" w:hAnsi="Times New Roman" w:cs="Times New Roman"/>
          <w:sz w:val="28"/>
          <w:szCs w:val="28"/>
          <w:lang w:val="en-US"/>
        </w:rPr>
        <w:t xml:space="preserve"> Yamada T., Matsumura H., Goseki T., et al. A new computer-based pediatric vision-screening test // Journal of AAPOS. – 2015. – Vol. 19, № 2. – P. 157–162.</w:t>
      </w:r>
    </w:p>
    <w:p w14:paraId="2C12AC9B" w14:textId="77777777" w:rsidR="00072DF2" w:rsidRPr="00D2321A" w:rsidRDefault="00072DF2" w:rsidP="00072DF2">
      <w:pPr>
        <w:spacing w:after="60" w:line="240" w:lineRule="auto"/>
        <w:jc w:val="both"/>
        <w:rPr>
          <w:rFonts w:ascii="Times New Roman" w:hAnsi="Times New Roman" w:cs="Times New Roman"/>
          <w:sz w:val="28"/>
          <w:szCs w:val="28"/>
          <w:lang w:val="en-US"/>
        </w:rPr>
      </w:pPr>
      <w:r w:rsidRPr="00D2321A">
        <w:rPr>
          <w:rFonts w:ascii="Times New Roman" w:hAnsi="Times New Roman" w:cs="Times New Roman"/>
          <w:sz w:val="28"/>
          <w:szCs w:val="28"/>
          <w:lang w:val="en-US"/>
        </w:rPr>
        <w:t>234.</w:t>
      </w:r>
      <w:r w:rsidRPr="00A87037">
        <w:rPr>
          <w:rFonts w:ascii="Times New Roman" w:hAnsi="Times New Roman" w:cs="Times New Roman"/>
          <w:sz w:val="28"/>
          <w:szCs w:val="28"/>
          <w:lang w:val="en-US"/>
        </w:rPr>
        <w:t xml:space="preserve"> Evans J.R., Morjaria P., Powell C. Vision screening for correctable visual acuity deficits in school-age children and adolescents // Cochrane Database of Systematic Reviews. – 2018. – Vol. 2. – Art. No.: CD005023</w:t>
      </w:r>
    </w:p>
    <w:p w14:paraId="63748DF9"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235.</w:t>
      </w:r>
      <w:r w:rsidRPr="00D2321A">
        <w:rPr>
          <w:rFonts w:ascii="Times New Roman" w:eastAsia="Times New Roman" w:hAnsi="Times New Roman" w:cs="Times New Roman"/>
          <w:sz w:val="28"/>
          <w:szCs w:val="28"/>
        </w:rPr>
        <w:t xml:space="preserve"> Об утверждении Санитарных правил «Санитарно-эпидемиологические требования к объектам образования»: приказ Министра здравоохранения Республики Казахстан от 5 августа 2021 года № ҚР ДСМ-76. – Зарегистрирован в Министерстве юстиции Республики Казахстан 6 августа 2021 года № 23890.</w:t>
      </w:r>
    </w:p>
    <w:p w14:paraId="0977773B"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236.</w:t>
      </w:r>
      <w:r w:rsidRPr="00D2321A">
        <w:rPr>
          <w:rFonts w:ascii="Times New Roman" w:eastAsia="Times New Roman" w:hAnsi="Times New Roman" w:cs="Times New Roman"/>
          <w:sz w:val="28"/>
          <w:szCs w:val="28"/>
        </w:rPr>
        <w:t xml:space="preserve"> Об утверждении государственных общеобязательных стандартов образования всех уровней образования: приказ Министра просвещения Республики Казахстан от 3 августа 2022 года № 348. – Зарегистрирован в Министерстве юстиции Республики Казахстан 5 августа 2022 года № 29031.</w:t>
      </w:r>
    </w:p>
    <w:p w14:paraId="4725C9E1"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237.</w:t>
      </w:r>
      <w:r w:rsidRPr="00D2321A">
        <w:rPr>
          <w:rFonts w:ascii="Times New Roman" w:eastAsia="Times New Roman" w:hAnsi="Times New Roman" w:cs="Times New Roman"/>
          <w:sz w:val="28"/>
          <w:szCs w:val="28"/>
        </w:rPr>
        <w:t xml:space="preserve"> Об утверждении типовых учебных планов начального, основного среднего, общего среднего образования Республики Казахстан: приказ Министра образования и науки Республики Казахстан от 8 ноября 2012 года № 500. – Зарегистрирован в Министерстве юстиции Республики Казахстан 10 декабря 2012 года № 8170.</w:t>
      </w:r>
    </w:p>
    <w:p w14:paraId="0FBEA677" w14:textId="77777777" w:rsidR="00072DF2" w:rsidRPr="00B25E81" w:rsidRDefault="00072DF2" w:rsidP="00072DF2">
      <w:pPr>
        <w:spacing w:after="60" w:line="240" w:lineRule="auto"/>
        <w:jc w:val="both"/>
        <w:rPr>
          <w:rFonts w:ascii="Times New Roman" w:eastAsia="Times New Roman" w:hAnsi="Times New Roman" w:cs="Times New Roman"/>
          <w:sz w:val="28"/>
          <w:szCs w:val="28"/>
        </w:rPr>
      </w:pPr>
      <w:r w:rsidRPr="00B25E81">
        <w:rPr>
          <w:rFonts w:ascii="Times New Roman" w:eastAsia="Times New Roman" w:hAnsi="Times New Roman" w:cs="Times New Roman"/>
          <w:sz w:val="28"/>
          <w:szCs w:val="28"/>
        </w:rPr>
        <w:t>238. Национальный сборник статистических данных «Здоровье населения Республики Казахстан и деятельность организаций здравоохранения в 2017 году» = Қазақстан Республикасы халқының денсаулығы және денсаулық сақтау ұйымдарының қызметі. – Астана: Министерство здравоохранения Республики Казахстан, 201</w:t>
      </w:r>
      <w:r>
        <w:rPr>
          <w:rFonts w:ascii="Times New Roman" w:eastAsia="Times New Roman" w:hAnsi="Times New Roman" w:cs="Times New Roman"/>
          <w:sz w:val="28"/>
          <w:szCs w:val="28"/>
        </w:rPr>
        <w:t>9</w:t>
      </w:r>
      <w:r w:rsidRPr="00B25E81">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354 с. – ISBN 978-601-305-283-0</w:t>
      </w:r>
      <w:r w:rsidRPr="00B25E81">
        <w:rPr>
          <w:rFonts w:ascii="Times New Roman" w:eastAsia="Times New Roman" w:hAnsi="Times New Roman" w:cs="Times New Roman"/>
          <w:sz w:val="28"/>
          <w:szCs w:val="28"/>
        </w:rPr>
        <w:t>.</w:t>
      </w:r>
    </w:p>
    <w:p w14:paraId="2004E206" w14:textId="77777777" w:rsidR="00072DF2" w:rsidRPr="00B25E81" w:rsidRDefault="00072DF2" w:rsidP="00072DF2">
      <w:pPr>
        <w:spacing w:after="60" w:line="240" w:lineRule="auto"/>
        <w:jc w:val="both"/>
        <w:rPr>
          <w:rFonts w:ascii="Times New Roman" w:eastAsia="Times New Roman" w:hAnsi="Times New Roman" w:cs="Times New Roman"/>
          <w:sz w:val="28"/>
          <w:szCs w:val="28"/>
          <w:lang w:val="en-US"/>
        </w:rPr>
      </w:pPr>
      <w:r w:rsidRPr="00B25E81">
        <w:rPr>
          <w:rFonts w:ascii="Times New Roman" w:eastAsia="Times New Roman" w:hAnsi="Times New Roman" w:cs="Times New Roman"/>
          <w:sz w:val="28"/>
          <w:szCs w:val="28"/>
          <w:lang w:val="en-US"/>
        </w:rPr>
        <w:lastRenderedPageBreak/>
        <w:t xml:space="preserve">239. Assessment of the prevalence of visual impairment attributable to refractive </w:t>
      </w:r>
      <w:r>
        <w:rPr>
          <w:rFonts w:ascii="Times New Roman" w:eastAsia="Times New Roman" w:hAnsi="Times New Roman" w:cs="Times New Roman"/>
          <w:sz w:val="28"/>
          <w:szCs w:val="28"/>
          <w:lang w:val="en-US"/>
        </w:rPr>
        <w:t>error or other causes in school</w:t>
      </w:r>
      <w:r w:rsidRPr="00B25E81">
        <w:rPr>
          <w:rFonts w:ascii="Times New Roman" w:eastAsia="Times New Roman" w:hAnsi="Times New Roman" w:cs="Times New Roman"/>
          <w:sz w:val="28"/>
          <w:szCs w:val="28"/>
          <w:lang w:val="en-US"/>
        </w:rPr>
        <w:t>children: Protocol and manual. – Geneva: World Health Organization, 2007. – 33 p.</w:t>
      </w:r>
    </w:p>
    <w:p w14:paraId="765FBBE5" w14:textId="77777777" w:rsidR="00072DF2" w:rsidRDefault="00072DF2" w:rsidP="00072DF2">
      <w:pPr>
        <w:spacing w:after="60" w:line="240" w:lineRule="auto"/>
        <w:jc w:val="both"/>
        <w:rPr>
          <w:rFonts w:ascii="Times New Roman" w:eastAsia="Times New Roman" w:hAnsi="Times New Roman" w:cs="Times New Roman"/>
          <w:sz w:val="28"/>
          <w:szCs w:val="28"/>
        </w:rPr>
      </w:pPr>
      <w:r w:rsidRPr="00B25E81">
        <w:rPr>
          <w:rFonts w:ascii="Times New Roman" w:eastAsia="Times New Roman" w:hAnsi="Times New Roman" w:cs="Times New Roman"/>
          <w:sz w:val="28"/>
          <w:szCs w:val="28"/>
        </w:rPr>
        <w:t xml:space="preserve">240. </w:t>
      </w:r>
      <w:r w:rsidRPr="00D14B90">
        <w:rPr>
          <w:rFonts w:ascii="Times New Roman" w:eastAsia="Times New Roman" w:hAnsi="Times New Roman" w:cs="Times New Roman"/>
          <w:sz w:val="28"/>
          <w:szCs w:val="28"/>
        </w:rPr>
        <w:t>Об утверждении строительных норм Республики Казахстан: Постановление Правительства Республики Казахстан от 26 декабря 2018 года № 888</w:t>
      </w:r>
      <w:r>
        <w:rPr>
          <w:rFonts w:ascii="Times New Roman" w:eastAsia="Times New Roman" w:hAnsi="Times New Roman" w:cs="Times New Roman"/>
          <w:sz w:val="28"/>
          <w:szCs w:val="28"/>
        </w:rPr>
        <w:t xml:space="preserve">. </w:t>
      </w:r>
    </w:p>
    <w:p w14:paraId="51B8377A" w14:textId="77777777" w:rsidR="00072DF2" w:rsidRPr="00B25E81" w:rsidRDefault="00072DF2" w:rsidP="00072DF2">
      <w:pPr>
        <w:spacing w:after="60" w:line="240" w:lineRule="auto"/>
        <w:jc w:val="both"/>
        <w:rPr>
          <w:rFonts w:ascii="Times New Roman" w:eastAsia="Times New Roman" w:hAnsi="Times New Roman" w:cs="Times New Roman"/>
          <w:sz w:val="28"/>
          <w:szCs w:val="28"/>
        </w:rPr>
      </w:pPr>
      <w:r w:rsidRPr="00B25E81">
        <w:rPr>
          <w:rFonts w:ascii="Times New Roman" w:eastAsia="Times New Roman" w:hAnsi="Times New Roman" w:cs="Times New Roman"/>
          <w:sz w:val="28"/>
          <w:szCs w:val="28"/>
        </w:rPr>
        <w:t xml:space="preserve">241. </w:t>
      </w:r>
      <w:r w:rsidRPr="002B4250">
        <w:rPr>
          <w:rFonts w:ascii="Times New Roman" w:eastAsia="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организациях: утв. постановлением Главного государственного санитарного врача РФ от 29 декабря 2010 г. № 189</w:t>
      </w:r>
      <w:r>
        <w:rPr>
          <w:rFonts w:ascii="Times New Roman" w:eastAsia="Times New Roman" w:hAnsi="Times New Roman" w:cs="Times New Roman"/>
          <w:sz w:val="28"/>
          <w:szCs w:val="28"/>
        </w:rPr>
        <w:t>.</w:t>
      </w:r>
    </w:p>
    <w:p w14:paraId="233523C1"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sz w:val="28"/>
          <w:szCs w:val="28"/>
        </w:rPr>
        <w:t>242. СН РК 1.01-01-2011. Государственные нормативы в области архитектуры, градостроительства и строительства. Основные положения (с изменениями от 12.05.2014 г.). – Астана: Министерство национальной экономики РК, 2014. – 48 с.</w:t>
      </w:r>
    </w:p>
    <w:p w14:paraId="48A9742F"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243.</w:t>
      </w:r>
      <w:r w:rsidRPr="00D2321A">
        <w:rPr>
          <w:rFonts w:ascii="Times New Roman" w:eastAsia="Times New Roman" w:hAnsi="Times New Roman" w:cs="Times New Roman"/>
          <w:sz w:val="28"/>
          <w:szCs w:val="28"/>
        </w:rPr>
        <w:t xml:space="preserve"> Свидетельство о государственной регистрации программы для ЭВМ № 2009613536. Программа для дистантного скринингового обследования зрения (ДВС) / Черных В.В. и др.; Правообладатель: ФГУ «МНТК «Микрохирургии глаза» им. акад. С.Н. Федорова». – Зарегистрировано в Реестре программ для ЭВМ 01.07.2009. – Заявка № 2009612240 от 14.05.2009.</w:t>
      </w:r>
    </w:p>
    <w:p w14:paraId="27DB1D72"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244.</w:t>
      </w:r>
      <w:r w:rsidRPr="00D2321A">
        <w:rPr>
          <w:rFonts w:ascii="Times New Roman" w:eastAsia="Times New Roman" w:hAnsi="Times New Roman" w:cs="Times New Roman"/>
          <w:sz w:val="28"/>
          <w:szCs w:val="28"/>
          <w:lang w:val="en-US"/>
        </w:rPr>
        <w:t xml:space="preserve"> Morgan I.G., Ohno-Matsui K., Saw S.-M. Myopia // The Lancet (London, England). – 2012. – Vol. 379, № 9827. – P. 1739–1748.</w:t>
      </w:r>
    </w:p>
    <w:p w14:paraId="1C05673F" w14:textId="77777777" w:rsidR="00072DF2" w:rsidRPr="00072DF2" w:rsidRDefault="00072DF2" w:rsidP="00072DF2">
      <w:pPr>
        <w:spacing w:after="60" w:line="240" w:lineRule="auto"/>
        <w:jc w:val="both"/>
        <w:rPr>
          <w:rFonts w:ascii="Times New Roman" w:eastAsia="Times New Roman" w:hAnsi="Times New Roman" w:cs="Times New Roman"/>
          <w:sz w:val="28"/>
          <w:szCs w:val="28"/>
          <w:lang w:val="en-US"/>
        </w:rPr>
      </w:pPr>
      <w:r w:rsidRPr="00072DF2">
        <w:rPr>
          <w:rFonts w:ascii="Times New Roman" w:eastAsia="Times New Roman" w:hAnsi="Times New Roman" w:cs="Times New Roman"/>
          <w:bCs/>
          <w:sz w:val="28"/>
          <w:szCs w:val="28"/>
          <w:lang w:val="en-US"/>
        </w:rPr>
        <w:t>245.</w:t>
      </w:r>
      <w:r w:rsidRPr="00072DF2">
        <w:rPr>
          <w:rFonts w:ascii="Times New Roman" w:eastAsia="Times New Roman" w:hAnsi="Times New Roman" w:cs="Times New Roman"/>
          <w:sz w:val="28"/>
          <w:szCs w:val="28"/>
          <w:lang w:val="en-US"/>
        </w:rPr>
        <w:t xml:space="preserve"> </w:t>
      </w:r>
    </w:p>
    <w:p w14:paraId="1656A4A5"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246.</w:t>
      </w:r>
      <w:r w:rsidRPr="00D2321A">
        <w:rPr>
          <w:rFonts w:ascii="Times New Roman" w:eastAsia="Times New Roman" w:hAnsi="Times New Roman" w:cs="Times New Roman"/>
          <w:sz w:val="28"/>
          <w:szCs w:val="28"/>
          <w:lang w:val="en-US"/>
        </w:rPr>
        <w:t xml:space="preserve"> Aldasheva N., Iskakbayeva J., Mukazhanova A. The structure of refractive errors in schoolchildren of Almaty // </w:t>
      </w:r>
      <w:r w:rsidRPr="00D2321A">
        <w:rPr>
          <w:rFonts w:ascii="Times New Roman" w:eastAsia="Times New Roman" w:hAnsi="Times New Roman" w:cs="Times New Roman"/>
          <w:sz w:val="28"/>
          <w:szCs w:val="28"/>
        </w:rPr>
        <w:t>Вестник</w:t>
      </w:r>
      <w:r w:rsidRPr="00D2321A">
        <w:rPr>
          <w:rFonts w:ascii="Times New Roman" w:eastAsia="Times New Roman" w:hAnsi="Times New Roman" w:cs="Times New Roman"/>
          <w:sz w:val="28"/>
          <w:szCs w:val="28"/>
          <w:lang w:val="en-US"/>
        </w:rPr>
        <w:t xml:space="preserve"> </w:t>
      </w:r>
      <w:r w:rsidRPr="00D2321A">
        <w:rPr>
          <w:rFonts w:ascii="Times New Roman" w:eastAsia="Times New Roman" w:hAnsi="Times New Roman" w:cs="Times New Roman"/>
          <w:sz w:val="28"/>
          <w:szCs w:val="28"/>
        </w:rPr>
        <w:t>КазНМУ</w:t>
      </w:r>
      <w:r w:rsidRPr="00D2321A">
        <w:rPr>
          <w:rFonts w:ascii="Times New Roman" w:eastAsia="Times New Roman" w:hAnsi="Times New Roman" w:cs="Times New Roman"/>
          <w:sz w:val="28"/>
          <w:szCs w:val="28"/>
          <w:lang w:val="en-US"/>
        </w:rPr>
        <w:t xml:space="preserve">. – 2019. – № 2. – </w:t>
      </w:r>
      <w:r w:rsidRPr="00D2321A">
        <w:rPr>
          <w:rFonts w:ascii="Times New Roman" w:eastAsia="Times New Roman" w:hAnsi="Times New Roman" w:cs="Times New Roman"/>
          <w:sz w:val="28"/>
          <w:szCs w:val="28"/>
        </w:rPr>
        <w:t>С</w:t>
      </w:r>
      <w:r w:rsidRPr="00D2321A">
        <w:rPr>
          <w:rFonts w:ascii="Times New Roman" w:eastAsia="Times New Roman" w:hAnsi="Times New Roman" w:cs="Times New Roman"/>
          <w:sz w:val="28"/>
          <w:szCs w:val="28"/>
          <w:lang w:val="en-US"/>
        </w:rPr>
        <w:t>. 41–43.</w:t>
      </w:r>
    </w:p>
    <w:p w14:paraId="14F70FBB"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247.</w:t>
      </w:r>
      <w:r w:rsidRPr="00D2321A">
        <w:rPr>
          <w:rFonts w:ascii="Times New Roman" w:eastAsia="Times New Roman" w:hAnsi="Times New Roman" w:cs="Times New Roman"/>
          <w:sz w:val="28"/>
          <w:szCs w:val="28"/>
        </w:rPr>
        <w:t xml:space="preserve"> Мукажанова А.С. Распространенность миопии у учащихся общеобразовательных и гимназических школ г. Алматы // Вестник Медицинского центра Управления Делами Президента Республики Казахстан. – 2020. – Т. 78, № 1. – С. 40–44.</w:t>
      </w:r>
    </w:p>
    <w:p w14:paraId="65233ED7" w14:textId="77777777" w:rsidR="00072DF2" w:rsidRPr="00D2321A"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248.</w:t>
      </w:r>
      <w:r w:rsidRPr="00D2321A">
        <w:rPr>
          <w:rFonts w:ascii="Times New Roman" w:eastAsia="Times New Roman" w:hAnsi="Times New Roman" w:cs="Times New Roman"/>
          <w:sz w:val="28"/>
          <w:szCs w:val="28"/>
          <w:lang w:val="en-US"/>
        </w:rPr>
        <w:t xml:space="preserve"> Mukazhanova A., Aldasheva N., Iskakbayeva J., Bakhytbek R., Ualiyeva A., Baigonova K., Ongarbaeva D., Vinnikov D. Prevalence of refractive errors and risk factors for myopia among schoolchildren of Almaty, Kazakhstan: A cross-sectional study // PLoS One. – 2022. – Vol. 17, № 6. – e0269474. – DOI: </w:t>
      </w:r>
      <w:hyperlink r:id="rId39" w:tgtFrame="_new" w:history="1">
        <w:r w:rsidRPr="00D2321A">
          <w:rPr>
            <w:rFonts w:ascii="Times New Roman" w:eastAsia="Times New Roman" w:hAnsi="Times New Roman" w:cs="Times New Roman"/>
            <w:color w:val="0000FF"/>
            <w:sz w:val="28"/>
            <w:szCs w:val="28"/>
            <w:u w:val="single"/>
            <w:lang w:val="en-US"/>
          </w:rPr>
          <w:t>https://doi.org/10.1371/journal.pone.0269474</w:t>
        </w:r>
      </w:hyperlink>
    </w:p>
    <w:p w14:paraId="142EAA01" w14:textId="77777777" w:rsidR="00072DF2" w:rsidRPr="00D2321A" w:rsidRDefault="00072DF2" w:rsidP="00072DF2">
      <w:pPr>
        <w:spacing w:after="60" w:line="240" w:lineRule="auto"/>
        <w:jc w:val="both"/>
        <w:rPr>
          <w:rFonts w:ascii="Times New Roman" w:eastAsia="Times New Roman" w:hAnsi="Times New Roman" w:cs="Times New Roman"/>
          <w:sz w:val="28"/>
          <w:szCs w:val="28"/>
        </w:rPr>
      </w:pPr>
      <w:r w:rsidRPr="00D2321A">
        <w:rPr>
          <w:rFonts w:ascii="Times New Roman" w:eastAsia="Times New Roman" w:hAnsi="Times New Roman" w:cs="Times New Roman"/>
          <w:bCs/>
          <w:sz w:val="28"/>
          <w:szCs w:val="28"/>
        </w:rPr>
        <w:t>249.</w:t>
      </w:r>
      <w:r w:rsidRPr="00D2321A">
        <w:rPr>
          <w:rFonts w:ascii="Times New Roman" w:eastAsia="Times New Roman" w:hAnsi="Times New Roman" w:cs="Times New Roman"/>
          <w:sz w:val="28"/>
          <w:szCs w:val="28"/>
        </w:rPr>
        <w:t xml:space="preserve"> Свидетельство о внесении сведений в Государственный реестр прав на объекты, охраняемые авторским правом. Программа профилактики развития и прогрессирования аномалий рефракции у школьников (этапность) / Дошаканова А.Б., Искакбаева Ж.С., Мукажанова А.С., Бахытбек Р.Б. – № 414 от 05.11.2018.</w:t>
      </w:r>
    </w:p>
    <w:p w14:paraId="5D3CB16B" w14:textId="77777777" w:rsidR="00072DF2" w:rsidRDefault="00072DF2" w:rsidP="00072DF2">
      <w:pPr>
        <w:spacing w:after="60" w:line="240" w:lineRule="auto"/>
        <w:jc w:val="both"/>
        <w:rPr>
          <w:rFonts w:ascii="Times New Roman" w:eastAsia="Times New Roman" w:hAnsi="Times New Roman" w:cs="Times New Roman"/>
          <w:sz w:val="28"/>
          <w:szCs w:val="28"/>
          <w:lang w:val="en-US"/>
        </w:rPr>
      </w:pPr>
      <w:r w:rsidRPr="00D2321A">
        <w:rPr>
          <w:rFonts w:ascii="Times New Roman" w:eastAsia="Times New Roman" w:hAnsi="Times New Roman" w:cs="Times New Roman"/>
          <w:bCs/>
          <w:sz w:val="28"/>
          <w:szCs w:val="28"/>
          <w:lang w:val="en-US"/>
        </w:rPr>
        <w:t>250.</w:t>
      </w:r>
      <w:r w:rsidRPr="00D2321A">
        <w:rPr>
          <w:rFonts w:ascii="Times New Roman" w:eastAsia="Times New Roman" w:hAnsi="Times New Roman" w:cs="Times New Roman"/>
          <w:sz w:val="28"/>
          <w:szCs w:val="28"/>
          <w:lang w:val="en-US"/>
        </w:rPr>
        <w:t xml:space="preserve"> Akhmedyanova Z., Assykbayeva A., Kadraliyeva E., Tuletova A., Mukazhanova A., Akhmetov K. The prevalence of refractive errors and risk factors for the formation of myopia in schoolchildren in the city of Astana // </w:t>
      </w:r>
      <w:r w:rsidRPr="00D2321A">
        <w:rPr>
          <w:rFonts w:ascii="Times New Roman" w:eastAsia="Times New Roman" w:hAnsi="Times New Roman" w:cs="Times New Roman"/>
          <w:sz w:val="28"/>
          <w:szCs w:val="28"/>
        </w:rPr>
        <w:t>Астана</w:t>
      </w:r>
      <w:r w:rsidRPr="00D2321A">
        <w:rPr>
          <w:rFonts w:ascii="Times New Roman" w:eastAsia="Times New Roman" w:hAnsi="Times New Roman" w:cs="Times New Roman"/>
          <w:sz w:val="28"/>
          <w:szCs w:val="28"/>
          <w:lang w:val="en-US"/>
        </w:rPr>
        <w:t xml:space="preserve"> </w:t>
      </w:r>
      <w:r w:rsidRPr="00D2321A">
        <w:rPr>
          <w:rFonts w:ascii="Times New Roman" w:eastAsia="Times New Roman" w:hAnsi="Times New Roman" w:cs="Times New Roman"/>
          <w:sz w:val="28"/>
          <w:szCs w:val="28"/>
        </w:rPr>
        <w:t>медициналық</w:t>
      </w:r>
      <w:r w:rsidRPr="00D2321A">
        <w:rPr>
          <w:rFonts w:ascii="Times New Roman" w:eastAsia="Times New Roman" w:hAnsi="Times New Roman" w:cs="Times New Roman"/>
          <w:sz w:val="28"/>
          <w:szCs w:val="28"/>
          <w:lang w:val="en-US"/>
        </w:rPr>
        <w:t xml:space="preserve"> </w:t>
      </w:r>
      <w:r w:rsidRPr="00D2321A">
        <w:rPr>
          <w:rFonts w:ascii="Times New Roman" w:eastAsia="Times New Roman" w:hAnsi="Times New Roman" w:cs="Times New Roman"/>
          <w:sz w:val="28"/>
          <w:szCs w:val="28"/>
        </w:rPr>
        <w:t>журналы</w:t>
      </w:r>
      <w:r w:rsidRPr="00D2321A">
        <w:rPr>
          <w:rFonts w:ascii="Times New Roman" w:eastAsia="Times New Roman" w:hAnsi="Times New Roman" w:cs="Times New Roman"/>
          <w:sz w:val="28"/>
          <w:szCs w:val="28"/>
          <w:lang w:val="en-US"/>
        </w:rPr>
        <w:t xml:space="preserve">. – 2023. – </w:t>
      </w:r>
      <w:r w:rsidRPr="00D2321A">
        <w:rPr>
          <w:rFonts w:ascii="Times New Roman" w:eastAsia="Times New Roman" w:hAnsi="Times New Roman" w:cs="Times New Roman"/>
          <w:sz w:val="28"/>
          <w:szCs w:val="28"/>
        </w:rPr>
        <w:t>Т</w:t>
      </w:r>
      <w:r w:rsidRPr="00D2321A">
        <w:rPr>
          <w:rFonts w:ascii="Times New Roman" w:eastAsia="Times New Roman" w:hAnsi="Times New Roman" w:cs="Times New Roman"/>
          <w:sz w:val="28"/>
          <w:szCs w:val="28"/>
          <w:lang w:val="en-US"/>
        </w:rPr>
        <w:t xml:space="preserve">. 119, № 4. – </w:t>
      </w:r>
      <w:r w:rsidRPr="00D2321A">
        <w:rPr>
          <w:rFonts w:ascii="Times New Roman" w:eastAsia="Times New Roman" w:hAnsi="Times New Roman" w:cs="Times New Roman"/>
          <w:sz w:val="28"/>
          <w:szCs w:val="28"/>
        </w:rPr>
        <w:t>С</w:t>
      </w:r>
      <w:r w:rsidRPr="00D2321A">
        <w:rPr>
          <w:rFonts w:ascii="Times New Roman" w:eastAsia="Times New Roman" w:hAnsi="Times New Roman" w:cs="Times New Roman"/>
          <w:sz w:val="28"/>
          <w:szCs w:val="28"/>
          <w:lang w:val="en-US"/>
        </w:rPr>
        <w:t>. 42–48.</w:t>
      </w:r>
    </w:p>
    <w:p w14:paraId="7C6F3387" w14:textId="77777777" w:rsidR="00072DF2" w:rsidRDefault="00072DF2" w:rsidP="00072DF2">
      <w:pPr>
        <w:spacing w:after="60" w:line="240" w:lineRule="auto"/>
        <w:jc w:val="both"/>
        <w:rPr>
          <w:rFonts w:ascii="Times New Roman" w:eastAsia="Times New Roman" w:hAnsi="Times New Roman" w:cs="Times New Roman"/>
          <w:sz w:val="28"/>
          <w:szCs w:val="28"/>
        </w:rPr>
      </w:pPr>
      <w:r w:rsidRPr="00F72AA2">
        <w:rPr>
          <w:rFonts w:ascii="Times New Roman" w:eastAsia="Times New Roman" w:hAnsi="Times New Roman" w:cs="Times New Roman"/>
          <w:sz w:val="28"/>
          <w:szCs w:val="28"/>
        </w:rPr>
        <w:t>251</w:t>
      </w:r>
      <w:r>
        <w:rPr>
          <w:rFonts w:ascii="Times New Roman" w:eastAsia="Times New Roman" w:hAnsi="Times New Roman" w:cs="Times New Roman"/>
          <w:sz w:val="28"/>
          <w:szCs w:val="28"/>
        </w:rPr>
        <w:t xml:space="preserve">. </w:t>
      </w:r>
      <w:r w:rsidRPr="00436E97">
        <w:rPr>
          <w:rFonts w:ascii="Times New Roman" w:eastAsia="Times New Roman" w:hAnsi="Times New Roman" w:cs="Times New Roman"/>
          <w:sz w:val="28"/>
          <w:szCs w:val="28"/>
        </w:rPr>
        <w:t>Алдашева Н.А., Искакбаева Д.С., Бахытбек Р.Б., Мукажанова А.С., Елдес М.Ж., Садык А.Е.</w:t>
      </w:r>
      <w:r>
        <w:rPr>
          <w:rFonts w:ascii="Times New Roman" w:eastAsia="Times New Roman" w:hAnsi="Times New Roman" w:cs="Times New Roman"/>
          <w:sz w:val="28"/>
          <w:szCs w:val="28"/>
        </w:rPr>
        <w:t xml:space="preserve"> </w:t>
      </w:r>
      <w:r w:rsidRPr="006E4CF6">
        <w:rPr>
          <w:rFonts w:ascii="Times New Roman" w:eastAsia="Times New Roman" w:hAnsi="Times New Roman" w:cs="Times New Roman"/>
          <w:sz w:val="28"/>
          <w:szCs w:val="28"/>
        </w:rPr>
        <w:t xml:space="preserve">Программа профилактики возникновения и прогрессирования </w:t>
      </w:r>
      <w:r w:rsidRPr="006E4CF6">
        <w:rPr>
          <w:rFonts w:ascii="Times New Roman" w:eastAsia="Times New Roman" w:hAnsi="Times New Roman" w:cs="Times New Roman"/>
          <w:sz w:val="28"/>
          <w:szCs w:val="28"/>
        </w:rPr>
        <w:lastRenderedPageBreak/>
        <w:t>близорукости у школьников // Казахстанский офтальмологический журнал. –</w:t>
      </w:r>
      <w:r>
        <w:rPr>
          <w:rFonts w:ascii="Times New Roman" w:eastAsia="Times New Roman" w:hAnsi="Times New Roman" w:cs="Times New Roman"/>
          <w:sz w:val="28"/>
          <w:szCs w:val="28"/>
        </w:rPr>
        <w:t xml:space="preserve"> 2019. – № 3–4 (57). – С. 9–13.</w:t>
      </w:r>
    </w:p>
    <w:p w14:paraId="04E26767" w14:textId="1E51E2DA" w:rsidR="00212C6B" w:rsidRPr="00977F7A" w:rsidRDefault="00212C6B" w:rsidP="00212C6B">
      <w:p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252. </w:t>
      </w:r>
      <w:r w:rsidRPr="00212C6B">
        <w:rPr>
          <w:rFonts w:ascii="Times New Roman" w:eastAsia="Times New Roman" w:hAnsi="Times New Roman" w:cs="Times New Roman"/>
          <w:sz w:val="28"/>
          <w:szCs w:val="28"/>
        </w:rPr>
        <w:t>Ботабекова Т.К., Алдашева Н.А., Абдуллина В.Р. и др.</w:t>
      </w:r>
      <w:r>
        <w:rPr>
          <w:rFonts w:ascii="Times New Roman" w:eastAsia="Times New Roman" w:hAnsi="Times New Roman" w:cs="Times New Roman"/>
          <w:sz w:val="28"/>
          <w:szCs w:val="28"/>
        </w:rPr>
        <w:t xml:space="preserve"> </w:t>
      </w:r>
      <w:r w:rsidRPr="00212C6B">
        <w:rPr>
          <w:rFonts w:ascii="Times New Roman" w:eastAsia="Times New Roman" w:hAnsi="Times New Roman" w:cs="Times New Roman"/>
          <w:sz w:val="28"/>
          <w:szCs w:val="28"/>
        </w:rPr>
        <w:t>Разработка комплексной программы профилактики и лечения аномалий рефракции у детей школьного возраста // Клиническая офтальмология. – 2021. – Т. 21, № 3. – С. 135–142. – DOI: 10.32364/2311-7729-2021-21-3-135-142.</w:t>
      </w:r>
    </w:p>
    <w:p w14:paraId="155D0382" w14:textId="77777777" w:rsidR="00D2321A" w:rsidRPr="006E4CF6" w:rsidRDefault="00D2321A" w:rsidP="00D2321A">
      <w:pPr>
        <w:spacing w:after="60" w:line="240" w:lineRule="auto"/>
        <w:jc w:val="both"/>
        <w:rPr>
          <w:rFonts w:ascii="Times New Roman" w:eastAsia="Times New Roman" w:hAnsi="Times New Roman" w:cs="Times New Roman"/>
          <w:sz w:val="28"/>
          <w:szCs w:val="28"/>
        </w:rPr>
      </w:pPr>
    </w:p>
    <w:p w14:paraId="65A4F2E1"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1AC649D8"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440BB2F8"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0FDDA339"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44CB6DFD"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4B476A29" w14:textId="77777777" w:rsidR="00D2321A" w:rsidRPr="006E4CF6" w:rsidRDefault="00D2321A" w:rsidP="00D2321A">
      <w:pPr>
        <w:spacing w:after="0" w:line="240" w:lineRule="auto"/>
        <w:rPr>
          <w:rFonts w:ascii="Times New Roman" w:eastAsiaTheme="minorHAnsi" w:hAnsi="Times New Roman" w:cs="Times New Roman"/>
          <w:b/>
          <w:bCs/>
          <w:sz w:val="28"/>
          <w:szCs w:val="28"/>
          <w:lang w:eastAsia="en-US"/>
        </w:rPr>
      </w:pPr>
    </w:p>
    <w:p w14:paraId="3D186086" w14:textId="60B654B6" w:rsidR="00AA4827" w:rsidRPr="00072DF2" w:rsidRDefault="00AA4827">
      <w:pPr>
        <w:spacing w:after="160" w:line="259" w:lineRule="auto"/>
        <w:rPr>
          <w:rFonts w:ascii="Times New Roman" w:eastAsiaTheme="minorHAnsi" w:hAnsi="Times New Roman" w:cs="Times New Roman"/>
          <w:b/>
          <w:bCs/>
          <w:sz w:val="28"/>
          <w:szCs w:val="28"/>
          <w:lang w:eastAsia="en-US"/>
        </w:rPr>
      </w:pPr>
      <w:r w:rsidRPr="00072DF2">
        <w:rPr>
          <w:rFonts w:ascii="Times New Roman" w:eastAsiaTheme="minorHAnsi" w:hAnsi="Times New Roman" w:cs="Times New Roman"/>
          <w:b/>
          <w:bCs/>
          <w:sz w:val="28"/>
          <w:szCs w:val="28"/>
          <w:lang w:eastAsia="en-US"/>
        </w:rPr>
        <w:br w:type="page"/>
      </w:r>
    </w:p>
    <w:p w14:paraId="5C566F62" w14:textId="77777777" w:rsidR="00D2321A" w:rsidRPr="00212C6B" w:rsidRDefault="00D2321A" w:rsidP="00D2321A">
      <w:pPr>
        <w:jc w:val="center"/>
        <w:rPr>
          <w:rFonts w:ascii="Times New Roman" w:eastAsiaTheme="minorHAnsi" w:hAnsi="Times New Roman" w:cs="Times New Roman"/>
          <w:b/>
          <w:bCs/>
          <w:sz w:val="28"/>
          <w:szCs w:val="28"/>
          <w:lang w:eastAsia="en-US"/>
        </w:rPr>
      </w:pPr>
      <w:r w:rsidRPr="00212C6B">
        <w:rPr>
          <w:rFonts w:ascii="Times New Roman" w:eastAsiaTheme="minorHAnsi" w:hAnsi="Times New Roman" w:cs="Times New Roman"/>
          <w:b/>
          <w:bCs/>
          <w:sz w:val="28"/>
          <w:szCs w:val="28"/>
          <w:lang w:eastAsia="en-US"/>
        </w:rPr>
        <w:lastRenderedPageBreak/>
        <w:t>ПРИЛОЖЕНИЕ А</w:t>
      </w:r>
    </w:p>
    <w:p w14:paraId="4BE9ADEF" w14:textId="77777777" w:rsidR="00D2321A" w:rsidRPr="00212C6B" w:rsidRDefault="00D2321A" w:rsidP="00D2321A">
      <w:pPr>
        <w:spacing w:after="0" w:line="240" w:lineRule="auto"/>
        <w:jc w:val="center"/>
        <w:rPr>
          <w:rFonts w:ascii="Times New Roman" w:eastAsiaTheme="minorHAnsi" w:hAnsi="Times New Roman" w:cs="Times New Roman"/>
          <w:b/>
          <w:bCs/>
          <w:sz w:val="28"/>
          <w:szCs w:val="28"/>
          <w:lang w:eastAsia="en-US"/>
        </w:rPr>
      </w:pPr>
    </w:p>
    <w:p w14:paraId="14D602D5" w14:textId="77777777" w:rsidR="000245AD" w:rsidRDefault="00B818AC" w:rsidP="00B818AC">
      <w:pPr>
        <w:spacing w:after="0" w:line="240" w:lineRule="auto"/>
        <w:jc w:val="both"/>
        <w:rPr>
          <w:rFonts w:ascii="Times New Roman" w:eastAsiaTheme="minorHAnsi" w:hAnsi="Times New Roman" w:cs="Times New Roman"/>
          <w:sz w:val="28"/>
          <w:szCs w:val="28"/>
          <w:lang w:eastAsia="en-US"/>
        </w:rPr>
      </w:pPr>
      <w:r>
        <w:rPr>
          <w:noProof/>
        </w:rPr>
        <w:drawing>
          <wp:inline distT="0" distB="0" distL="0" distR="0" wp14:anchorId="2DA62A26" wp14:editId="2C9492FC">
            <wp:extent cx="5867482" cy="8331200"/>
            <wp:effectExtent l="0" t="0" r="0"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rotWithShape="1">
                    <a:blip r:embed="rId40"/>
                    <a:srcRect l="31874" t="3634" r="32890" b="7427"/>
                    <a:stretch/>
                  </pic:blipFill>
                  <pic:spPr bwMode="auto">
                    <a:xfrm>
                      <a:off x="0" y="0"/>
                      <a:ext cx="5892941" cy="8367350"/>
                    </a:xfrm>
                    <a:prstGeom prst="rect">
                      <a:avLst/>
                    </a:prstGeom>
                    <a:ln>
                      <a:noFill/>
                    </a:ln>
                    <a:extLst>
                      <a:ext uri="{53640926-AAD7-44D8-BBD7-CCE9431645EC}">
                        <a14:shadowObscured xmlns:a14="http://schemas.microsoft.com/office/drawing/2010/main"/>
                      </a:ext>
                    </a:extLst>
                  </pic:spPr>
                </pic:pic>
              </a:graphicData>
            </a:graphic>
          </wp:inline>
        </w:drawing>
      </w:r>
    </w:p>
    <w:p w14:paraId="12A120FA" w14:textId="557A9888" w:rsidR="00EC214A" w:rsidRDefault="00EC214A" w:rsidP="00B818AC">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br w:type="page"/>
      </w:r>
    </w:p>
    <w:p w14:paraId="7122B0FD" w14:textId="77777777" w:rsidR="00EC214A" w:rsidRDefault="00EC214A" w:rsidP="00B818AC">
      <w:pPr>
        <w:spacing w:after="0" w:line="240" w:lineRule="auto"/>
        <w:jc w:val="both"/>
        <w:rPr>
          <w:rFonts w:ascii="Times New Roman" w:eastAsiaTheme="minorHAnsi" w:hAnsi="Times New Roman" w:cs="Times New Roman"/>
          <w:sz w:val="28"/>
          <w:szCs w:val="28"/>
          <w:lang w:eastAsia="en-US"/>
        </w:rPr>
        <w:sectPr w:rsidR="00EC214A" w:rsidSect="000F3107">
          <w:footerReference w:type="default" r:id="rId41"/>
          <w:footerReference w:type="first" r:id="rId42"/>
          <w:pgSz w:w="11906" w:h="16838"/>
          <w:pgMar w:top="1134" w:right="567" w:bottom="1134" w:left="1701" w:header="709" w:footer="709" w:gutter="0"/>
          <w:cols w:space="708"/>
          <w:titlePg/>
          <w:docGrid w:linePitch="360"/>
        </w:sectPr>
      </w:pPr>
    </w:p>
    <w:p w14:paraId="643C70F1" w14:textId="77777777" w:rsidR="009413B4" w:rsidRDefault="009413B4" w:rsidP="00B818AC">
      <w:pPr>
        <w:spacing w:after="0" w:line="240" w:lineRule="auto"/>
        <w:jc w:val="both"/>
        <w:rPr>
          <w:rFonts w:ascii="Times New Roman" w:eastAsiaTheme="minorHAnsi" w:hAnsi="Times New Roman" w:cs="Times New Roman"/>
          <w:sz w:val="28"/>
          <w:szCs w:val="28"/>
          <w:lang w:eastAsia="en-US"/>
        </w:rPr>
      </w:pPr>
    </w:p>
    <w:p w14:paraId="2A4143E7" w14:textId="037C7056" w:rsidR="009413B4" w:rsidRDefault="009413B4" w:rsidP="009413B4">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ПРИЛОЖЕНИЕ Б</w:t>
      </w:r>
    </w:p>
    <w:p w14:paraId="57EE5268" w14:textId="77777777" w:rsidR="00EC214A" w:rsidRDefault="00EC214A" w:rsidP="009413B4">
      <w:pPr>
        <w:spacing w:after="0" w:line="240" w:lineRule="auto"/>
        <w:jc w:val="center"/>
        <w:rPr>
          <w:rFonts w:ascii="Times New Roman" w:eastAsiaTheme="minorHAnsi" w:hAnsi="Times New Roman" w:cs="Times New Roman"/>
          <w:b/>
          <w:bCs/>
          <w:sz w:val="28"/>
          <w:szCs w:val="28"/>
          <w:lang w:eastAsia="en-US"/>
        </w:rPr>
      </w:pPr>
    </w:p>
    <w:p w14:paraId="3C83EAEA" w14:textId="4597E28E" w:rsidR="005B63C1" w:rsidRDefault="0026777A" w:rsidP="009413B4">
      <w:pPr>
        <w:spacing w:after="0" w:line="240" w:lineRule="auto"/>
        <w:jc w:val="center"/>
        <w:rPr>
          <w:rFonts w:ascii="Times New Roman" w:eastAsiaTheme="minorHAnsi" w:hAnsi="Times New Roman" w:cs="Times New Roman"/>
          <w:b/>
          <w:bCs/>
          <w:sz w:val="28"/>
          <w:szCs w:val="28"/>
          <w:lang w:eastAsia="en-US"/>
        </w:rPr>
      </w:pPr>
      <w:r>
        <w:rPr>
          <w:noProof/>
          <w:lang w:val="kk-KZ"/>
        </w:rPr>
        <w:t xml:space="preserve"> </w:t>
      </w:r>
      <w:r w:rsidR="00EC214A">
        <w:rPr>
          <w:noProof/>
        </w:rPr>
        <w:drawing>
          <wp:inline distT="0" distB="0" distL="0" distR="0" wp14:anchorId="044EED6C" wp14:editId="5CAD15FE">
            <wp:extent cx="3748068" cy="5275580"/>
            <wp:effectExtent l="0" t="0" r="5080" b="127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rotWithShape="1">
                    <a:blip r:embed="rId43"/>
                    <a:srcRect l="14999" t="5394" r="50940" b="9378"/>
                    <a:stretch/>
                  </pic:blipFill>
                  <pic:spPr bwMode="auto">
                    <a:xfrm>
                      <a:off x="0" y="0"/>
                      <a:ext cx="3786570" cy="5329773"/>
                    </a:xfrm>
                    <a:prstGeom prst="rect">
                      <a:avLst/>
                    </a:prstGeom>
                    <a:ln>
                      <a:noFill/>
                    </a:ln>
                    <a:extLst>
                      <a:ext uri="{53640926-AAD7-44D8-BBD7-CCE9431645EC}">
                        <a14:shadowObscured xmlns:a14="http://schemas.microsoft.com/office/drawing/2010/main"/>
                      </a:ext>
                    </a:extLst>
                  </pic:spPr>
                </pic:pic>
              </a:graphicData>
            </a:graphic>
          </wp:inline>
        </w:drawing>
      </w:r>
      <w:r w:rsidR="00EC214A">
        <w:rPr>
          <w:noProof/>
        </w:rPr>
        <w:drawing>
          <wp:inline distT="0" distB="0" distL="0" distR="0" wp14:anchorId="13620A2B" wp14:editId="651640DF">
            <wp:extent cx="3759248" cy="5282869"/>
            <wp:effectExtent l="0" t="0" r="0" b="0"/>
            <wp:docPr id="17" name="Рисунок 1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rotWithShape="1">
                    <a:blip r:embed="rId43"/>
                    <a:srcRect l="49719" t="5394" r="16166" b="9378"/>
                    <a:stretch/>
                  </pic:blipFill>
                  <pic:spPr bwMode="auto">
                    <a:xfrm>
                      <a:off x="0" y="0"/>
                      <a:ext cx="3797555" cy="5336702"/>
                    </a:xfrm>
                    <a:prstGeom prst="rect">
                      <a:avLst/>
                    </a:prstGeom>
                    <a:ln>
                      <a:noFill/>
                    </a:ln>
                    <a:extLst>
                      <a:ext uri="{53640926-AAD7-44D8-BBD7-CCE9431645EC}">
                        <a14:shadowObscured xmlns:a14="http://schemas.microsoft.com/office/drawing/2010/main"/>
                      </a:ext>
                    </a:extLst>
                  </pic:spPr>
                </pic:pic>
              </a:graphicData>
            </a:graphic>
          </wp:inline>
        </w:drawing>
      </w:r>
    </w:p>
    <w:p w14:paraId="0E5AE6F4" w14:textId="4A7ACDF8" w:rsidR="009413B4" w:rsidRDefault="009413B4" w:rsidP="00B818AC">
      <w:pPr>
        <w:spacing w:after="0" w:line="240" w:lineRule="auto"/>
        <w:jc w:val="both"/>
        <w:rPr>
          <w:rFonts w:ascii="Times New Roman" w:eastAsiaTheme="minorHAnsi" w:hAnsi="Times New Roman" w:cs="Times New Roman"/>
          <w:sz w:val="28"/>
          <w:szCs w:val="28"/>
          <w:lang w:eastAsia="en-US"/>
        </w:rPr>
        <w:sectPr w:rsidR="009413B4" w:rsidSect="00EC214A">
          <w:pgSz w:w="16838" w:h="11906" w:orient="landscape"/>
          <w:pgMar w:top="567" w:right="1134" w:bottom="1701" w:left="1134" w:header="709" w:footer="709" w:gutter="0"/>
          <w:cols w:space="708"/>
          <w:titlePg/>
          <w:docGrid w:linePitch="360"/>
        </w:sectPr>
      </w:pPr>
    </w:p>
    <w:p w14:paraId="4D1797D6" w14:textId="640F3176" w:rsidR="000245AD" w:rsidRDefault="000245AD" w:rsidP="000245AD">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lastRenderedPageBreak/>
        <w:t xml:space="preserve">ПРИЛОЖЕНИЕ </w:t>
      </w:r>
      <w:r w:rsidR="009413B4">
        <w:rPr>
          <w:rFonts w:ascii="Times New Roman" w:eastAsiaTheme="minorHAnsi" w:hAnsi="Times New Roman" w:cs="Times New Roman"/>
          <w:b/>
          <w:bCs/>
          <w:sz w:val="28"/>
          <w:szCs w:val="28"/>
          <w:lang w:eastAsia="en-US"/>
        </w:rPr>
        <w:t>В</w:t>
      </w:r>
    </w:p>
    <w:p w14:paraId="350CF4C9" w14:textId="1B84B5A3" w:rsidR="000245AD" w:rsidRDefault="000245AD" w:rsidP="000245AD">
      <w:pPr>
        <w:spacing w:after="0" w:line="240" w:lineRule="auto"/>
        <w:jc w:val="both"/>
        <w:rPr>
          <w:rFonts w:ascii="Times New Roman" w:eastAsiaTheme="minorHAnsi" w:hAnsi="Times New Roman" w:cs="Times New Roman"/>
          <w:noProof/>
          <w:sz w:val="28"/>
          <w:szCs w:val="28"/>
          <w:lang w:eastAsia="en-US"/>
        </w:rPr>
      </w:pPr>
    </w:p>
    <w:p w14:paraId="4D38FF5D" w14:textId="418347A6" w:rsidR="005B5111" w:rsidRDefault="005B5111" w:rsidP="005B5111">
      <w:pPr>
        <w:spacing w:after="0" w:line="240" w:lineRule="auto"/>
        <w:jc w:val="center"/>
        <w:rPr>
          <w:rFonts w:ascii="Times New Roman" w:eastAsiaTheme="minorHAnsi" w:hAnsi="Times New Roman" w:cs="Times New Roman"/>
          <w:noProof/>
          <w:sz w:val="28"/>
          <w:szCs w:val="28"/>
          <w:lang w:eastAsia="en-US"/>
        </w:rPr>
      </w:pPr>
      <w:r>
        <w:rPr>
          <w:noProof/>
        </w:rPr>
        <w:drawing>
          <wp:inline distT="0" distB="0" distL="0" distR="0" wp14:anchorId="646078A1" wp14:editId="1EDF6639">
            <wp:extent cx="8752224" cy="5638800"/>
            <wp:effectExtent l="0" t="0" r="0"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44"/>
                    <a:srcRect l="10923" t="4054" r="11955" b="7610"/>
                    <a:stretch/>
                  </pic:blipFill>
                  <pic:spPr bwMode="auto">
                    <a:xfrm>
                      <a:off x="0" y="0"/>
                      <a:ext cx="8774943" cy="5653437"/>
                    </a:xfrm>
                    <a:prstGeom prst="rect">
                      <a:avLst/>
                    </a:prstGeom>
                    <a:ln>
                      <a:noFill/>
                    </a:ln>
                    <a:extLst>
                      <a:ext uri="{53640926-AAD7-44D8-BBD7-CCE9431645EC}">
                        <a14:shadowObscured xmlns:a14="http://schemas.microsoft.com/office/drawing/2010/main"/>
                      </a:ext>
                    </a:extLst>
                  </pic:spPr>
                </pic:pic>
              </a:graphicData>
            </a:graphic>
          </wp:inline>
        </w:drawing>
      </w:r>
    </w:p>
    <w:p w14:paraId="5929C480" w14:textId="62F03ACF" w:rsidR="00B818AC" w:rsidRDefault="000245AD" w:rsidP="000245AD">
      <w:pPr>
        <w:spacing w:after="0" w:line="24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0395CA41" wp14:editId="09E1E153">
            <wp:extent cx="8324886" cy="582506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27018" cy="5826558"/>
                    </a:xfrm>
                    <a:prstGeom prst="rect">
                      <a:avLst/>
                    </a:prstGeom>
                    <a:noFill/>
                  </pic:spPr>
                </pic:pic>
              </a:graphicData>
            </a:graphic>
          </wp:inline>
        </w:drawing>
      </w:r>
    </w:p>
    <w:p w14:paraId="0B395892" w14:textId="77777777" w:rsidR="00E777A5" w:rsidRDefault="006D0CC5" w:rsidP="005C37DF">
      <w:pPr>
        <w:spacing w:after="0" w:line="240" w:lineRule="auto"/>
        <w:ind w:firstLine="709"/>
        <w:rPr>
          <w:rFonts w:ascii="Times New Roman" w:eastAsiaTheme="minorHAnsi" w:hAnsi="Times New Roman" w:cs="Times New Roman"/>
          <w:sz w:val="28"/>
          <w:szCs w:val="28"/>
          <w:lang w:eastAsia="en-US"/>
        </w:rPr>
        <w:sectPr w:rsidR="00E777A5" w:rsidSect="000245AD">
          <w:pgSz w:w="16838" w:h="11906" w:orient="landscape"/>
          <w:pgMar w:top="567" w:right="1134" w:bottom="1701" w:left="1134" w:header="709" w:footer="709" w:gutter="0"/>
          <w:cols w:space="708"/>
          <w:titlePg/>
          <w:docGrid w:linePitch="360"/>
        </w:sectPr>
      </w:pPr>
      <w:r>
        <w:rPr>
          <w:rFonts w:ascii="Times New Roman" w:eastAsiaTheme="minorHAnsi" w:hAnsi="Times New Roman" w:cs="Times New Roman"/>
          <w:sz w:val="28"/>
          <w:szCs w:val="28"/>
          <w:lang w:eastAsia="en-US"/>
        </w:rPr>
        <w:br w:type="page"/>
      </w:r>
    </w:p>
    <w:p w14:paraId="19ECF12D" w14:textId="57C2A1CC" w:rsidR="00DD2F17" w:rsidRDefault="00DD2F17" w:rsidP="005C43AC">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lastRenderedPageBreak/>
        <w:t>ПРИЛОЖЕНИЕ</w:t>
      </w:r>
      <w:r w:rsidR="00E777A5">
        <w:rPr>
          <w:rFonts w:ascii="Times New Roman" w:eastAsiaTheme="minorHAnsi" w:hAnsi="Times New Roman" w:cs="Times New Roman"/>
          <w:b/>
          <w:bCs/>
          <w:sz w:val="28"/>
          <w:szCs w:val="28"/>
          <w:lang w:eastAsia="en-US"/>
        </w:rPr>
        <w:t xml:space="preserve"> </w:t>
      </w:r>
      <w:r w:rsidR="009413B4">
        <w:rPr>
          <w:rFonts w:ascii="Times New Roman" w:eastAsiaTheme="minorHAnsi" w:hAnsi="Times New Roman" w:cs="Times New Roman"/>
          <w:b/>
          <w:bCs/>
          <w:sz w:val="28"/>
          <w:szCs w:val="28"/>
          <w:lang w:eastAsia="en-US"/>
        </w:rPr>
        <w:t>Г</w:t>
      </w:r>
    </w:p>
    <w:p w14:paraId="71F662B4" w14:textId="14358EE0" w:rsidR="00E777A5" w:rsidRDefault="00E777A5" w:rsidP="005C43AC">
      <w:pPr>
        <w:spacing w:after="0" w:line="240" w:lineRule="auto"/>
        <w:jc w:val="center"/>
        <w:rPr>
          <w:rFonts w:ascii="Times New Roman" w:eastAsiaTheme="minorHAnsi" w:hAnsi="Times New Roman" w:cs="Times New Roman"/>
          <w:b/>
          <w:bCs/>
          <w:sz w:val="28"/>
          <w:szCs w:val="28"/>
          <w:lang w:eastAsia="en-US"/>
        </w:rPr>
      </w:pPr>
    </w:p>
    <w:p w14:paraId="248334AC" w14:textId="77777777" w:rsidR="00F43413" w:rsidRDefault="00470B8E" w:rsidP="005C43AC">
      <w:pPr>
        <w:spacing w:after="0" w:line="240" w:lineRule="auto"/>
        <w:jc w:val="center"/>
        <w:rPr>
          <w:rFonts w:ascii="Times New Roman" w:eastAsiaTheme="minorHAnsi" w:hAnsi="Times New Roman" w:cs="Times New Roman"/>
          <w:b/>
          <w:bCs/>
          <w:sz w:val="28"/>
          <w:szCs w:val="28"/>
          <w:lang w:eastAsia="en-US"/>
        </w:rPr>
      </w:pPr>
      <w:r>
        <w:rPr>
          <w:noProof/>
        </w:rPr>
        <w:drawing>
          <wp:inline distT="0" distB="0" distL="0" distR="0" wp14:anchorId="7D8E3139" wp14:editId="3277FB59">
            <wp:extent cx="7924800" cy="5632913"/>
            <wp:effectExtent l="0" t="0" r="0" b="63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46"/>
                    <a:srcRect l="15976" t="5542" r="16925" b="9663"/>
                    <a:stretch/>
                  </pic:blipFill>
                  <pic:spPr bwMode="auto">
                    <a:xfrm>
                      <a:off x="0" y="0"/>
                      <a:ext cx="7946991" cy="5648686"/>
                    </a:xfrm>
                    <a:prstGeom prst="rect">
                      <a:avLst/>
                    </a:prstGeom>
                    <a:ln>
                      <a:noFill/>
                    </a:ln>
                    <a:extLst>
                      <a:ext uri="{53640926-AAD7-44D8-BBD7-CCE9431645EC}">
                        <a14:shadowObscured xmlns:a14="http://schemas.microsoft.com/office/drawing/2010/main"/>
                      </a:ext>
                    </a:extLst>
                  </pic:spPr>
                </pic:pic>
              </a:graphicData>
            </a:graphic>
          </wp:inline>
        </w:drawing>
      </w:r>
    </w:p>
    <w:p w14:paraId="4FC16E5E" w14:textId="1A8C9876" w:rsidR="004F3E3C" w:rsidRDefault="004F3E3C" w:rsidP="00F43413">
      <w:pPr>
        <w:spacing w:after="0" w:line="240" w:lineRule="auto"/>
        <w:rPr>
          <w:rFonts w:ascii="Times New Roman" w:eastAsiaTheme="minorHAnsi" w:hAnsi="Times New Roman" w:cs="Times New Roman"/>
          <w:b/>
          <w:bCs/>
          <w:sz w:val="28"/>
          <w:szCs w:val="28"/>
          <w:lang w:eastAsia="en-US"/>
        </w:rPr>
        <w:sectPr w:rsidR="004F3E3C" w:rsidSect="004F3E3C">
          <w:pgSz w:w="16838" w:h="11906" w:orient="landscape"/>
          <w:pgMar w:top="1134" w:right="567" w:bottom="1134" w:left="1701" w:header="709" w:footer="709" w:gutter="0"/>
          <w:cols w:space="708"/>
          <w:titlePg/>
          <w:docGrid w:linePitch="360"/>
        </w:sectPr>
      </w:pPr>
    </w:p>
    <w:p w14:paraId="15140C4C" w14:textId="26F61C61" w:rsidR="006D0CC5" w:rsidRDefault="00DD2F17" w:rsidP="005C43AC">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lastRenderedPageBreak/>
        <w:t>П</w:t>
      </w:r>
      <w:r w:rsidR="005C43AC">
        <w:rPr>
          <w:rFonts w:ascii="Times New Roman" w:eastAsiaTheme="minorHAnsi" w:hAnsi="Times New Roman" w:cs="Times New Roman"/>
          <w:b/>
          <w:bCs/>
          <w:sz w:val="28"/>
          <w:szCs w:val="28"/>
          <w:lang w:eastAsia="en-US"/>
        </w:rPr>
        <w:t>РИЛОЖЕНИЕ</w:t>
      </w:r>
      <w:r w:rsidR="004F3E3C">
        <w:rPr>
          <w:rFonts w:ascii="Times New Roman" w:eastAsiaTheme="minorHAnsi" w:hAnsi="Times New Roman" w:cs="Times New Roman"/>
          <w:b/>
          <w:bCs/>
          <w:sz w:val="28"/>
          <w:szCs w:val="28"/>
          <w:lang w:eastAsia="en-US"/>
        </w:rPr>
        <w:t xml:space="preserve"> </w:t>
      </w:r>
      <w:r w:rsidR="009413B4">
        <w:rPr>
          <w:rFonts w:ascii="Times New Roman" w:eastAsiaTheme="minorHAnsi" w:hAnsi="Times New Roman" w:cs="Times New Roman"/>
          <w:b/>
          <w:bCs/>
          <w:sz w:val="28"/>
          <w:szCs w:val="28"/>
          <w:lang w:eastAsia="en-US"/>
        </w:rPr>
        <w:t>Д</w:t>
      </w:r>
    </w:p>
    <w:p w14:paraId="0DFB0D4C" w14:textId="23BD0B9A" w:rsidR="005C43AC" w:rsidRDefault="005C43AC" w:rsidP="005C43AC">
      <w:pPr>
        <w:spacing w:after="0" w:line="240" w:lineRule="auto"/>
        <w:jc w:val="center"/>
        <w:rPr>
          <w:rFonts w:ascii="Times New Roman" w:eastAsiaTheme="minorHAnsi" w:hAnsi="Times New Roman" w:cs="Times New Roman"/>
          <w:b/>
          <w:bCs/>
          <w:sz w:val="28"/>
          <w:szCs w:val="28"/>
          <w:lang w:eastAsia="en-US"/>
        </w:rPr>
      </w:pPr>
    </w:p>
    <w:p w14:paraId="2672D9D4" w14:textId="447E6098" w:rsidR="005C43AC" w:rsidRPr="00F76FDE" w:rsidRDefault="005C43AC" w:rsidP="005C43AC">
      <w:pPr>
        <w:spacing w:after="0" w:line="240" w:lineRule="auto"/>
        <w:jc w:val="center"/>
        <w:rPr>
          <w:rFonts w:ascii="Times New Roman" w:hAnsi="Times New Roman" w:cs="Times New Roman"/>
          <w:b/>
          <w:bCs/>
          <w:sz w:val="28"/>
          <w:szCs w:val="28"/>
        </w:rPr>
      </w:pPr>
      <w:r w:rsidRPr="00F76FDE">
        <w:rPr>
          <w:rFonts w:ascii="Times New Roman" w:hAnsi="Times New Roman" w:cs="Times New Roman"/>
          <w:b/>
          <w:bCs/>
          <w:sz w:val="28"/>
          <w:szCs w:val="28"/>
        </w:rPr>
        <w:t>Свидетельство о государственной регистрации прав на объект авторского права</w:t>
      </w:r>
    </w:p>
    <w:p w14:paraId="3F4C90A5" w14:textId="7755D338" w:rsidR="005C43AC" w:rsidRDefault="005C43AC" w:rsidP="005C43AC">
      <w:pPr>
        <w:spacing w:after="0" w:line="240" w:lineRule="auto"/>
        <w:jc w:val="center"/>
      </w:pPr>
    </w:p>
    <w:p w14:paraId="46B4B3B2" w14:textId="382C3A90" w:rsidR="00FD5D47" w:rsidRDefault="00F76FDE" w:rsidP="00FD5D47">
      <w:pPr>
        <w:spacing w:after="0" w:line="240" w:lineRule="auto"/>
        <w:jc w:val="center"/>
        <w:rPr>
          <w:rFonts w:ascii="Times New Roman" w:eastAsiaTheme="minorHAnsi" w:hAnsi="Times New Roman" w:cs="Times New Roman"/>
          <w:b/>
          <w:bCs/>
          <w:sz w:val="28"/>
          <w:szCs w:val="28"/>
          <w:lang w:eastAsia="en-US"/>
        </w:rPr>
      </w:pPr>
      <w:r>
        <w:rPr>
          <w:noProof/>
        </w:rPr>
        <w:drawing>
          <wp:inline distT="0" distB="0" distL="0" distR="0" wp14:anchorId="52A5EDAC" wp14:editId="7063B76E">
            <wp:extent cx="7650577" cy="5238383"/>
            <wp:effectExtent l="6032"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076" t="-522" r="11405" b="7373"/>
                    <a:stretch/>
                  </pic:blipFill>
                  <pic:spPr bwMode="auto">
                    <a:xfrm rot="16200000">
                      <a:off x="0" y="0"/>
                      <a:ext cx="7653675" cy="5240504"/>
                    </a:xfrm>
                    <a:prstGeom prst="rect">
                      <a:avLst/>
                    </a:prstGeom>
                    <a:ln>
                      <a:noFill/>
                    </a:ln>
                    <a:extLst>
                      <a:ext uri="{53640926-AAD7-44D8-BBD7-CCE9431645EC}">
                        <a14:shadowObscured xmlns:a14="http://schemas.microsoft.com/office/drawing/2010/main"/>
                      </a:ext>
                    </a:extLst>
                  </pic:spPr>
                </pic:pic>
              </a:graphicData>
            </a:graphic>
          </wp:inline>
        </w:drawing>
      </w:r>
      <w:r w:rsidR="00FD5D47">
        <w:rPr>
          <w:rFonts w:ascii="Times New Roman" w:eastAsiaTheme="minorHAnsi" w:hAnsi="Times New Roman" w:cs="Times New Roman"/>
          <w:b/>
          <w:bCs/>
          <w:sz w:val="28"/>
          <w:szCs w:val="28"/>
          <w:lang w:eastAsia="en-US"/>
        </w:rPr>
        <w:br w:type="page"/>
      </w:r>
    </w:p>
    <w:p w14:paraId="171010E6" w14:textId="77777777" w:rsidR="00FD5D47" w:rsidRDefault="00FD5D47" w:rsidP="00FD5D47">
      <w:pPr>
        <w:spacing w:after="0" w:line="240" w:lineRule="auto"/>
        <w:jc w:val="center"/>
        <w:rPr>
          <w:rFonts w:ascii="Times New Roman" w:eastAsiaTheme="minorHAnsi" w:hAnsi="Times New Roman" w:cs="Times New Roman"/>
          <w:b/>
          <w:bCs/>
          <w:sz w:val="28"/>
          <w:szCs w:val="28"/>
          <w:lang w:eastAsia="en-US"/>
        </w:rPr>
        <w:sectPr w:rsidR="00FD5D47" w:rsidSect="004F3E3C">
          <w:pgSz w:w="11906" w:h="16838"/>
          <w:pgMar w:top="1134" w:right="567" w:bottom="1134" w:left="1701" w:header="709" w:footer="709" w:gutter="0"/>
          <w:cols w:space="708"/>
          <w:titlePg/>
          <w:docGrid w:linePitch="360"/>
        </w:sectPr>
      </w:pPr>
    </w:p>
    <w:p w14:paraId="3578E73E" w14:textId="4F94FB62" w:rsidR="009413B4" w:rsidRDefault="009413B4" w:rsidP="009413B4">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lastRenderedPageBreak/>
        <w:t>ПРИЛОЖЕНИЕ Е</w:t>
      </w:r>
    </w:p>
    <w:p w14:paraId="0D188B1B" w14:textId="77777777" w:rsidR="001B07DD" w:rsidRDefault="001B07DD" w:rsidP="009413B4">
      <w:pPr>
        <w:spacing w:after="0" w:line="240" w:lineRule="auto"/>
        <w:jc w:val="center"/>
        <w:rPr>
          <w:rFonts w:ascii="Times New Roman" w:eastAsiaTheme="minorHAnsi" w:hAnsi="Times New Roman" w:cs="Times New Roman"/>
          <w:b/>
          <w:bCs/>
          <w:sz w:val="28"/>
          <w:szCs w:val="28"/>
          <w:lang w:eastAsia="en-US"/>
        </w:rPr>
      </w:pPr>
    </w:p>
    <w:p w14:paraId="7B5FABDA" w14:textId="05439785" w:rsidR="009A741E" w:rsidRPr="001B07DD" w:rsidRDefault="001B07DD" w:rsidP="009413B4">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Информационный листок </w:t>
      </w:r>
      <w:r w:rsidRPr="001B07DD">
        <w:rPr>
          <w:rFonts w:ascii="Times New Roman" w:hAnsi="Times New Roman" w:cs="Times New Roman"/>
          <w:b/>
          <w:bCs/>
          <w:sz w:val="28"/>
          <w:szCs w:val="28"/>
        </w:rPr>
        <w:t>для родителей</w:t>
      </w:r>
      <w:r>
        <w:rPr>
          <w:rFonts w:ascii="Times New Roman" w:eastAsiaTheme="minorHAnsi" w:hAnsi="Times New Roman" w:cs="Times New Roman"/>
          <w:b/>
          <w:bCs/>
          <w:sz w:val="28"/>
          <w:szCs w:val="28"/>
          <w:lang w:eastAsia="en-US"/>
        </w:rPr>
        <w:t xml:space="preserve"> «Аномалии рефракции. Миопия» </w:t>
      </w:r>
    </w:p>
    <w:p w14:paraId="0BF137AF" w14:textId="51557BB4" w:rsidR="00FD5D47" w:rsidRDefault="00FD5D47" w:rsidP="00FD5D47">
      <w:pPr>
        <w:spacing w:after="0" w:line="240" w:lineRule="auto"/>
        <w:jc w:val="center"/>
        <w:rPr>
          <w:rFonts w:ascii="Times New Roman" w:eastAsiaTheme="minorHAnsi" w:hAnsi="Times New Roman" w:cs="Times New Roman"/>
          <w:b/>
          <w:bCs/>
          <w:sz w:val="28"/>
          <w:szCs w:val="28"/>
          <w:lang w:eastAsia="en-US"/>
        </w:rPr>
      </w:pPr>
    </w:p>
    <w:p w14:paraId="0E463394" w14:textId="5444E355" w:rsidR="001B07DD" w:rsidRDefault="001B07DD" w:rsidP="001B07DD">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noProof/>
          <w:sz w:val="28"/>
          <w:szCs w:val="28"/>
        </w:rPr>
        <w:drawing>
          <wp:inline distT="0" distB="0" distL="0" distR="0" wp14:anchorId="6E5BF3D1" wp14:editId="7DF5D482">
            <wp:extent cx="5416338" cy="36212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7319" cy="3621935"/>
                    </a:xfrm>
                    <a:prstGeom prst="rect">
                      <a:avLst/>
                    </a:prstGeom>
                    <a:noFill/>
                  </pic:spPr>
                </pic:pic>
              </a:graphicData>
            </a:graphic>
          </wp:inline>
        </w:drawing>
      </w:r>
    </w:p>
    <w:p w14:paraId="3D371E4E" w14:textId="77777777" w:rsidR="001B07DD" w:rsidRDefault="001B07DD" w:rsidP="001B07DD">
      <w:pPr>
        <w:spacing w:after="0" w:line="240" w:lineRule="auto"/>
        <w:jc w:val="center"/>
        <w:rPr>
          <w:rFonts w:ascii="Times New Roman" w:eastAsiaTheme="minorHAnsi" w:hAnsi="Times New Roman" w:cs="Times New Roman"/>
          <w:b/>
          <w:bCs/>
          <w:sz w:val="28"/>
          <w:szCs w:val="28"/>
          <w:lang w:eastAsia="en-US"/>
        </w:rPr>
      </w:pPr>
    </w:p>
    <w:p w14:paraId="0591DB5D" w14:textId="722C0C76" w:rsidR="001B07DD" w:rsidRPr="006D0CC5" w:rsidRDefault="001B07DD" w:rsidP="001B07DD">
      <w:pPr>
        <w:spacing w:after="0"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noProof/>
          <w:sz w:val="28"/>
          <w:szCs w:val="28"/>
        </w:rPr>
        <w:drawing>
          <wp:inline distT="0" distB="0" distL="0" distR="0" wp14:anchorId="7891B6FF" wp14:editId="58A011FA">
            <wp:extent cx="5442037" cy="3801533"/>
            <wp:effectExtent l="0" t="0" r="635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4986" cy="3803593"/>
                    </a:xfrm>
                    <a:prstGeom prst="rect">
                      <a:avLst/>
                    </a:prstGeom>
                    <a:noFill/>
                  </pic:spPr>
                </pic:pic>
              </a:graphicData>
            </a:graphic>
          </wp:inline>
        </w:drawing>
      </w:r>
    </w:p>
    <w:sectPr w:rsidR="001B07DD" w:rsidRPr="006D0CC5" w:rsidSect="001B07DD">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8FC5A" w14:textId="77777777" w:rsidR="007641DE" w:rsidRDefault="007641DE">
      <w:pPr>
        <w:spacing w:after="0" w:line="240" w:lineRule="auto"/>
      </w:pPr>
      <w:r>
        <w:separator/>
      </w:r>
    </w:p>
  </w:endnote>
  <w:endnote w:type="continuationSeparator" w:id="0">
    <w:p w14:paraId="289C7FDC" w14:textId="77777777" w:rsidR="007641DE" w:rsidRDefault="0076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667706"/>
      <w:docPartObj>
        <w:docPartGallery w:val="Page Numbers (Bottom of Page)"/>
        <w:docPartUnique/>
      </w:docPartObj>
    </w:sdtPr>
    <w:sdtEndPr/>
    <w:sdtContent>
      <w:p w14:paraId="097CD46A" w14:textId="7E91EFFC" w:rsidR="00436E97" w:rsidRDefault="00436E97">
        <w:pPr>
          <w:pStyle w:val="a7"/>
          <w:jc w:val="center"/>
        </w:pPr>
        <w:r>
          <w:fldChar w:fldCharType="begin"/>
        </w:r>
        <w:r>
          <w:instrText>PAGE   \* MERGEFORMAT</w:instrText>
        </w:r>
        <w:r>
          <w:fldChar w:fldCharType="separate"/>
        </w:r>
        <w:r w:rsidR="009F63A4">
          <w:rPr>
            <w:noProof/>
          </w:rPr>
          <w:t>76</w:t>
        </w:r>
        <w:r>
          <w:fldChar w:fldCharType="end"/>
        </w:r>
      </w:p>
    </w:sdtContent>
  </w:sdt>
  <w:p w14:paraId="2E8FB85E" w14:textId="77777777" w:rsidR="00436E97" w:rsidRDefault="00436E9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457521"/>
      <w:docPartObj>
        <w:docPartGallery w:val="Page Numbers (Bottom of Page)"/>
        <w:docPartUnique/>
      </w:docPartObj>
    </w:sdtPr>
    <w:sdtEndPr/>
    <w:sdtContent>
      <w:p w14:paraId="2CD4267E" w14:textId="77777777" w:rsidR="00436E97" w:rsidRDefault="00436E97">
        <w:pPr>
          <w:pStyle w:val="a7"/>
          <w:jc w:val="center"/>
        </w:pPr>
        <w:r>
          <w:fldChar w:fldCharType="begin"/>
        </w:r>
        <w:r>
          <w:instrText>PAGE   \* MERGEFORMAT</w:instrText>
        </w:r>
        <w:r>
          <w:fldChar w:fldCharType="separate"/>
        </w:r>
        <w:r w:rsidR="009F63A4">
          <w:rPr>
            <w:noProof/>
          </w:rPr>
          <w:t>79</w:t>
        </w:r>
        <w:r>
          <w:fldChar w:fldCharType="end"/>
        </w:r>
      </w:p>
    </w:sdtContent>
  </w:sdt>
  <w:p w14:paraId="61D57887" w14:textId="77777777" w:rsidR="00436E97" w:rsidRDefault="00436E97" w:rsidP="00053BAD">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571747"/>
      <w:docPartObj>
        <w:docPartGallery w:val="Page Numbers (Bottom of Page)"/>
        <w:docPartUnique/>
      </w:docPartObj>
    </w:sdtPr>
    <w:sdtEndPr>
      <w:rPr>
        <w:color w:val="FFFFFF" w:themeColor="background1"/>
      </w:rPr>
    </w:sdtEndPr>
    <w:sdtContent>
      <w:p w14:paraId="53833312" w14:textId="77777777" w:rsidR="00436E97" w:rsidRPr="00643A22" w:rsidRDefault="00436E97">
        <w:pPr>
          <w:pStyle w:val="a7"/>
          <w:jc w:val="center"/>
          <w:rPr>
            <w:color w:val="FFFFFF" w:themeColor="background1"/>
          </w:rPr>
        </w:pPr>
        <w:r w:rsidRPr="00643A22">
          <w:rPr>
            <w:color w:val="FFFFFF" w:themeColor="background1"/>
          </w:rPr>
          <w:fldChar w:fldCharType="begin"/>
        </w:r>
        <w:r w:rsidRPr="00643A22">
          <w:rPr>
            <w:color w:val="FFFFFF" w:themeColor="background1"/>
          </w:rPr>
          <w:instrText>PAGE   \* MERGEFORMAT</w:instrText>
        </w:r>
        <w:r w:rsidRPr="00643A22">
          <w:rPr>
            <w:color w:val="FFFFFF" w:themeColor="background1"/>
          </w:rPr>
          <w:fldChar w:fldCharType="separate"/>
        </w:r>
        <w:r w:rsidR="009F63A4">
          <w:rPr>
            <w:noProof/>
            <w:color w:val="FFFFFF" w:themeColor="background1"/>
          </w:rPr>
          <w:t>77</w:t>
        </w:r>
        <w:r w:rsidRPr="00643A22">
          <w:rPr>
            <w:color w:val="FFFFFF" w:themeColor="background1"/>
          </w:rPr>
          <w:fldChar w:fldCharType="end"/>
        </w:r>
      </w:p>
    </w:sdtContent>
  </w:sdt>
  <w:p w14:paraId="6B4B256F" w14:textId="77777777" w:rsidR="00436E97" w:rsidRDefault="00436E97" w:rsidP="00053BAD">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8A5EC" w14:textId="77777777" w:rsidR="007641DE" w:rsidRDefault="007641DE">
      <w:pPr>
        <w:spacing w:after="0" w:line="240" w:lineRule="auto"/>
      </w:pPr>
      <w:r>
        <w:separator/>
      </w:r>
    </w:p>
  </w:footnote>
  <w:footnote w:type="continuationSeparator" w:id="0">
    <w:p w14:paraId="3E9F3574" w14:textId="77777777" w:rsidR="007641DE" w:rsidRDefault="007641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D172E"/>
    <w:multiLevelType w:val="hybridMultilevel"/>
    <w:tmpl w:val="2FA8AE8A"/>
    <w:lvl w:ilvl="0" w:tplc="4B9E6582">
      <w:start w:val="65535"/>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AC2D3F"/>
    <w:multiLevelType w:val="hybridMultilevel"/>
    <w:tmpl w:val="C5306018"/>
    <w:lvl w:ilvl="0" w:tplc="9836BD9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31543E3"/>
    <w:multiLevelType w:val="hybridMultilevel"/>
    <w:tmpl w:val="564AF13A"/>
    <w:lvl w:ilvl="0" w:tplc="9836BD9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01">
      <w:start w:val="1"/>
      <w:numFmt w:val="bullet"/>
      <w:lvlText w:val=""/>
      <w:lvlJc w:val="left"/>
      <w:pPr>
        <w:ind w:left="180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D07384"/>
    <w:multiLevelType w:val="hybridMultilevel"/>
    <w:tmpl w:val="D73E1DE6"/>
    <w:lvl w:ilvl="0" w:tplc="8F6EFBCE">
      <w:start w:val="2"/>
      <w:numFmt w:val="bullet"/>
      <w:lvlText w:val=""/>
      <w:lvlJc w:val="left"/>
      <w:pPr>
        <w:ind w:left="432" w:hanging="360"/>
      </w:pPr>
      <w:rPr>
        <w:rFonts w:ascii="Wingdings" w:eastAsiaTheme="minorEastAsia" w:hAnsi="Wingdings" w:cstheme="minorEastAsia"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4">
    <w:nsid w:val="37562ADC"/>
    <w:multiLevelType w:val="hybridMultilevel"/>
    <w:tmpl w:val="E78682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3CB1249F"/>
    <w:multiLevelType w:val="hybridMultilevel"/>
    <w:tmpl w:val="7660CE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4C1A41F9"/>
    <w:multiLevelType w:val="hybridMultilevel"/>
    <w:tmpl w:val="7660CE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50185E20"/>
    <w:multiLevelType w:val="hybridMultilevel"/>
    <w:tmpl w:val="696E1236"/>
    <w:lvl w:ilvl="0" w:tplc="04190001">
      <w:start w:val="1"/>
      <w:numFmt w:val="bullet"/>
      <w:lvlText w:val=""/>
      <w:lvlJc w:val="left"/>
      <w:pPr>
        <w:ind w:left="1776" w:hanging="360"/>
      </w:pPr>
      <w:rPr>
        <w:rFonts w:ascii="Symbol" w:hAnsi="Symbol" w:hint="default"/>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51B12F0C"/>
    <w:multiLevelType w:val="hybridMultilevel"/>
    <w:tmpl w:val="3E6C2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9C4BEF"/>
    <w:multiLevelType w:val="hybridMultilevel"/>
    <w:tmpl w:val="7660CE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6DF93F15"/>
    <w:multiLevelType w:val="hybridMultilevel"/>
    <w:tmpl w:val="75A0EC7E"/>
    <w:lvl w:ilvl="0" w:tplc="9836BD9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01">
      <w:start w:val="1"/>
      <w:numFmt w:val="bullet"/>
      <w:lvlText w:val=""/>
      <w:lvlJc w:val="left"/>
      <w:pPr>
        <w:ind w:left="180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10"/>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33"/>
    <w:rsid w:val="00000C02"/>
    <w:rsid w:val="0000565B"/>
    <w:rsid w:val="0000646E"/>
    <w:rsid w:val="00010603"/>
    <w:rsid w:val="0001364F"/>
    <w:rsid w:val="00016854"/>
    <w:rsid w:val="00016F77"/>
    <w:rsid w:val="0001753A"/>
    <w:rsid w:val="00017D2B"/>
    <w:rsid w:val="00020014"/>
    <w:rsid w:val="0002022C"/>
    <w:rsid w:val="0002114E"/>
    <w:rsid w:val="00021D30"/>
    <w:rsid w:val="000223AF"/>
    <w:rsid w:val="000227B7"/>
    <w:rsid w:val="000230F8"/>
    <w:rsid w:val="000245AD"/>
    <w:rsid w:val="00025868"/>
    <w:rsid w:val="00025EBC"/>
    <w:rsid w:val="00027EBD"/>
    <w:rsid w:val="00031966"/>
    <w:rsid w:val="00031F28"/>
    <w:rsid w:val="00032740"/>
    <w:rsid w:val="000328AF"/>
    <w:rsid w:val="00033532"/>
    <w:rsid w:val="00033F82"/>
    <w:rsid w:val="00034B17"/>
    <w:rsid w:val="00034FA8"/>
    <w:rsid w:val="00040D75"/>
    <w:rsid w:val="000414CD"/>
    <w:rsid w:val="00041766"/>
    <w:rsid w:val="00041C23"/>
    <w:rsid w:val="000423E2"/>
    <w:rsid w:val="000441EF"/>
    <w:rsid w:val="00044D61"/>
    <w:rsid w:val="0004739E"/>
    <w:rsid w:val="00051BEB"/>
    <w:rsid w:val="00052A1C"/>
    <w:rsid w:val="00053BAD"/>
    <w:rsid w:val="0005482E"/>
    <w:rsid w:val="00055878"/>
    <w:rsid w:val="00055AB6"/>
    <w:rsid w:val="00056AD8"/>
    <w:rsid w:val="00057159"/>
    <w:rsid w:val="00060C89"/>
    <w:rsid w:val="000615AE"/>
    <w:rsid w:val="0006291A"/>
    <w:rsid w:val="00065B74"/>
    <w:rsid w:val="00065BF2"/>
    <w:rsid w:val="000704A6"/>
    <w:rsid w:val="00071DDB"/>
    <w:rsid w:val="00072DF2"/>
    <w:rsid w:val="0007372E"/>
    <w:rsid w:val="000742D8"/>
    <w:rsid w:val="000747C4"/>
    <w:rsid w:val="000768EB"/>
    <w:rsid w:val="00076FF0"/>
    <w:rsid w:val="000770CF"/>
    <w:rsid w:val="00080184"/>
    <w:rsid w:val="00081481"/>
    <w:rsid w:val="00082830"/>
    <w:rsid w:val="00082C51"/>
    <w:rsid w:val="00085EB8"/>
    <w:rsid w:val="00090571"/>
    <w:rsid w:val="00095B44"/>
    <w:rsid w:val="00096531"/>
    <w:rsid w:val="00097928"/>
    <w:rsid w:val="000A0294"/>
    <w:rsid w:val="000A04D5"/>
    <w:rsid w:val="000A16C1"/>
    <w:rsid w:val="000A1C52"/>
    <w:rsid w:val="000A2A51"/>
    <w:rsid w:val="000A3C78"/>
    <w:rsid w:val="000A498F"/>
    <w:rsid w:val="000A5561"/>
    <w:rsid w:val="000B316F"/>
    <w:rsid w:val="000B4531"/>
    <w:rsid w:val="000B4B7F"/>
    <w:rsid w:val="000B4F45"/>
    <w:rsid w:val="000B6114"/>
    <w:rsid w:val="000B7E5B"/>
    <w:rsid w:val="000B7F52"/>
    <w:rsid w:val="000C42A2"/>
    <w:rsid w:val="000C4702"/>
    <w:rsid w:val="000C4EBB"/>
    <w:rsid w:val="000D147B"/>
    <w:rsid w:val="000D1C7A"/>
    <w:rsid w:val="000D440D"/>
    <w:rsid w:val="000D4BDF"/>
    <w:rsid w:val="000D53E4"/>
    <w:rsid w:val="000E04A2"/>
    <w:rsid w:val="000E1691"/>
    <w:rsid w:val="000E4A97"/>
    <w:rsid w:val="000E4D3D"/>
    <w:rsid w:val="000F0B45"/>
    <w:rsid w:val="000F24D6"/>
    <w:rsid w:val="000F3107"/>
    <w:rsid w:val="000F31DF"/>
    <w:rsid w:val="000F48CD"/>
    <w:rsid w:val="000F702C"/>
    <w:rsid w:val="001013BB"/>
    <w:rsid w:val="001020C9"/>
    <w:rsid w:val="00104023"/>
    <w:rsid w:val="00106FC5"/>
    <w:rsid w:val="001077A5"/>
    <w:rsid w:val="00107B4D"/>
    <w:rsid w:val="00114839"/>
    <w:rsid w:val="00114E4A"/>
    <w:rsid w:val="0011509B"/>
    <w:rsid w:val="001162D4"/>
    <w:rsid w:val="00117616"/>
    <w:rsid w:val="0011776F"/>
    <w:rsid w:val="0012087B"/>
    <w:rsid w:val="00122B4A"/>
    <w:rsid w:val="001238A3"/>
    <w:rsid w:val="00123CDA"/>
    <w:rsid w:val="00126431"/>
    <w:rsid w:val="001279B3"/>
    <w:rsid w:val="00127D9D"/>
    <w:rsid w:val="0013161C"/>
    <w:rsid w:val="0013194F"/>
    <w:rsid w:val="00133B4F"/>
    <w:rsid w:val="001356E3"/>
    <w:rsid w:val="00140D53"/>
    <w:rsid w:val="00141027"/>
    <w:rsid w:val="0014142B"/>
    <w:rsid w:val="001431E7"/>
    <w:rsid w:val="001433EE"/>
    <w:rsid w:val="001437B6"/>
    <w:rsid w:val="00143A58"/>
    <w:rsid w:val="00144377"/>
    <w:rsid w:val="00145611"/>
    <w:rsid w:val="00147561"/>
    <w:rsid w:val="00154604"/>
    <w:rsid w:val="00154672"/>
    <w:rsid w:val="0015594E"/>
    <w:rsid w:val="00155ACA"/>
    <w:rsid w:val="00157773"/>
    <w:rsid w:val="00157D16"/>
    <w:rsid w:val="00160573"/>
    <w:rsid w:val="00161175"/>
    <w:rsid w:val="001613A6"/>
    <w:rsid w:val="00161601"/>
    <w:rsid w:val="001621AC"/>
    <w:rsid w:val="001627DF"/>
    <w:rsid w:val="0016288F"/>
    <w:rsid w:val="0016470E"/>
    <w:rsid w:val="001670BE"/>
    <w:rsid w:val="00167724"/>
    <w:rsid w:val="00167925"/>
    <w:rsid w:val="001705AE"/>
    <w:rsid w:val="00170771"/>
    <w:rsid w:val="00171A82"/>
    <w:rsid w:val="00172D65"/>
    <w:rsid w:val="00174C68"/>
    <w:rsid w:val="00175382"/>
    <w:rsid w:val="00176234"/>
    <w:rsid w:val="00176C01"/>
    <w:rsid w:val="0018062B"/>
    <w:rsid w:val="0018111C"/>
    <w:rsid w:val="00183B60"/>
    <w:rsid w:val="00183F3C"/>
    <w:rsid w:val="00185000"/>
    <w:rsid w:val="00186A67"/>
    <w:rsid w:val="00187874"/>
    <w:rsid w:val="00190210"/>
    <w:rsid w:val="00191794"/>
    <w:rsid w:val="00191F19"/>
    <w:rsid w:val="00192CFA"/>
    <w:rsid w:val="001932A1"/>
    <w:rsid w:val="00196DD4"/>
    <w:rsid w:val="001A0FDF"/>
    <w:rsid w:val="001A15D7"/>
    <w:rsid w:val="001A27EC"/>
    <w:rsid w:val="001A47FE"/>
    <w:rsid w:val="001A5895"/>
    <w:rsid w:val="001A7EA4"/>
    <w:rsid w:val="001B07DD"/>
    <w:rsid w:val="001B1952"/>
    <w:rsid w:val="001B2868"/>
    <w:rsid w:val="001B5F14"/>
    <w:rsid w:val="001B72B9"/>
    <w:rsid w:val="001C1779"/>
    <w:rsid w:val="001C2723"/>
    <w:rsid w:val="001C29CF"/>
    <w:rsid w:val="001C4CD3"/>
    <w:rsid w:val="001C5096"/>
    <w:rsid w:val="001C5371"/>
    <w:rsid w:val="001C5C0B"/>
    <w:rsid w:val="001C5E45"/>
    <w:rsid w:val="001C5E8A"/>
    <w:rsid w:val="001D16C7"/>
    <w:rsid w:val="001D33F5"/>
    <w:rsid w:val="001D4FCF"/>
    <w:rsid w:val="001D70F1"/>
    <w:rsid w:val="001E0803"/>
    <w:rsid w:val="001E2231"/>
    <w:rsid w:val="001E2AB6"/>
    <w:rsid w:val="001E2E74"/>
    <w:rsid w:val="001E5888"/>
    <w:rsid w:val="001E612A"/>
    <w:rsid w:val="001F2136"/>
    <w:rsid w:val="001F2580"/>
    <w:rsid w:val="001F3080"/>
    <w:rsid w:val="001F331C"/>
    <w:rsid w:val="001F3F56"/>
    <w:rsid w:val="001F6B06"/>
    <w:rsid w:val="001F7531"/>
    <w:rsid w:val="001F7C4D"/>
    <w:rsid w:val="002012FF"/>
    <w:rsid w:val="002024A6"/>
    <w:rsid w:val="00202B8E"/>
    <w:rsid w:val="002047D0"/>
    <w:rsid w:val="00204947"/>
    <w:rsid w:val="00206346"/>
    <w:rsid w:val="00206BCD"/>
    <w:rsid w:val="0020766D"/>
    <w:rsid w:val="002079B1"/>
    <w:rsid w:val="002100B2"/>
    <w:rsid w:val="002102A7"/>
    <w:rsid w:val="002117AD"/>
    <w:rsid w:val="0021272B"/>
    <w:rsid w:val="00212C6B"/>
    <w:rsid w:val="00214F6A"/>
    <w:rsid w:val="00215C39"/>
    <w:rsid w:val="00217719"/>
    <w:rsid w:val="00217E74"/>
    <w:rsid w:val="00217FEF"/>
    <w:rsid w:val="002206BC"/>
    <w:rsid w:val="00225F51"/>
    <w:rsid w:val="00230C59"/>
    <w:rsid w:val="00230F88"/>
    <w:rsid w:val="00231278"/>
    <w:rsid w:val="0023153E"/>
    <w:rsid w:val="002315C0"/>
    <w:rsid w:val="002321AB"/>
    <w:rsid w:val="00232A62"/>
    <w:rsid w:val="002367C3"/>
    <w:rsid w:val="00236B37"/>
    <w:rsid w:val="00236C0B"/>
    <w:rsid w:val="0024204F"/>
    <w:rsid w:val="0024225E"/>
    <w:rsid w:val="0024345B"/>
    <w:rsid w:val="002439FF"/>
    <w:rsid w:val="002444D1"/>
    <w:rsid w:val="00245519"/>
    <w:rsid w:val="002469B7"/>
    <w:rsid w:val="00247242"/>
    <w:rsid w:val="00253673"/>
    <w:rsid w:val="002552D7"/>
    <w:rsid w:val="00255E4B"/>
    <w:rsid w:val="002569DD"/>
    <w:rsid w:val="00260A90"/>
    <w:rsid w:val="0026186D"/>
    <w:rsid w:val="002630A4"/>
    <w:rsid w:val="00264E5A"/>
    <w:rsid w:val="0026568F"/>
    <w:rsid w:val="0026777A"/>
    <w:rsid w:val="00272456"/>
    <w:rsid w:val="0027264D"/>
    <w:rsid w:val="00273501"/>
    <w:rsid w:val="00277B42"/>
    <w:rsid w:val="0028296F"/>
    <w:rsid w:val="002836C4"/>
    <w:rsid w:val="00283E81"/>
    <w:rsid w:val="00292084"/>
    <w:rsid w:val="0029266D"/>
    <w:rsid w:val="00292B55"/>
    <w:rsid w:val="00293628"/>
    <w:rsid w:val="00294074"/>
    <w:rsid w:val="002942B1"/>
    <w:rsid w:val="0029542A"/>
    <w:rsid w:val="0029693C"/>
    <w:rsid w:val="00297E17"/>
    <w:rsid w:val="002A0299"/>
    <w:rsid w:val="002A1AED"/>
    <w:rsid w:val="002A2BDB"/>
    <w:rsid w:val="002A3113"/>
    <w:rsid w:val="002B15F2"/>
    <w:rsid w:val="002B2506"/>
    <w:rsid w:val="002B31C9"/>
    <w:rsid w:val="002B4250"/>
    <w:rsid w:val="002B63C2"/>
    <w:rsid w:val="002C03DF"/>
    <w:rsid w:val="002C0804"/>
    <w:rsid w:val="002C0858"/>
    <w:rsid w:val="002C0C56"/>
    <w:rsid w:val="002C1AE5"/>
    <w:rsid w:val="002C25B8"/>
    <w:rsid w:val="002C2A5C"/>
    <w:rsid w:val="002C3094"/>
    <w:rsid w:val="002C49FA"/>
    <w:rsid w:val="002C5D24"/>
    <w:rsid w:val="002C6627"/>
    <w:rsid w:val="002C71A3"/>
    <w:rsid w:val="002C74BE"/>
    <w:rsid w:val="002D062E"/>
    <w:rsid w:val="002D2147"/>
    <w:rsid w:val="002D2400"/>
    <w:rsid w:val="002D471D"/>
    <w:rsid w:val="002D4E38"/>
    <w:rsid w:val="002D50E8"/>
    <w:rsid w:val="002D564F"/>
    <w:rsid w:val="002D5740"/>
    <w:rsid w:val="002D7BDB"/>
    <w:rsid w:val="002E09BC"/>
    <w:rsid w:val="002E0F76"/>
    <w:rsid w:val="002E2C7B"/>
    <w:rsid w:val="002E34CC"/>
    <w:rsid w:val="002E363E"/>
    <w:rsid w:val="002E7322"/>
    <w:rsid w:val="002E7378"/>
    <w:rsid w:val="002F07BC"/>
    <w:rsid w:val="002F39ED"/>
    <w:rsid w:val="002F4E37"/>
    <w:rsid w:val="002F741C"/>
    <w:rsid w:val="002F7BA1"/>
    <w:rsid w:val="00300526"/>
    <w:rsid w:val="003009E1"/>
    <w:rsid w:val="003023FD"/>
    <w:rsid w:val="00303E2D"/>
    <w:rsid w:val="00304243"/>
    <w:rsid w:val="00305CA0"/>
    <w:rsid w:val="00306E27"/>
    <w:rsid w:val="00307735"/>
    <w:rsid w:val="003109D4"/>
    <w:rsid w:val="003131B4"/>
    <w:rsid w:val="00314437"/>
    <w:rsid w:val="003152E4"/>
    <w:rsid w:val="00316D5C"/>
    <w:rsid w:val="00323B55"/>
    <w:rsid w:val="00324911"/>
    <w:rsid w:val="003258F9"/>
    <w:rsid w:val="00325B2D"/>
    <w:rsid w:val="003263A3"/>
    <w:rsid w:val="003266FC"/>
    <w:rsid w:val="00333421"/>
    <w:rsid w:val="003368F8"/>
    <w:rsid w:val="00337961"/>
    <w:rsid w:val="00337BE6"/>
    <w:rsid w:val="0034239D"/>
    <w:rsid w:val="003426D0"/>
    <w:rsid w:val="0034429D"/>
    <w:rsid w:val="00345EA0"/>
    <w:rsid w:val="003505A4"/>
    <w:rsid w:val="00350996"/>
    <w:rsid w:val="00353081"/>
    <w:rsid w:val="0035378C"/>
    <w:rsid w:val="00353AA0"/>
    <w:rsid w:val="003550FF"/>
    <w:rsid w:val="003567E4"/>
    <w:rsid w:val="00357E54"/>
    <w:rsid w:val="0036005F"/>
    <w:rsid w:val="00361995"/>
    <w:rsid w:val="0036236D"/>
    <w:rsid w:val="00365BC3"/>
    <w:rsid w:val="00366592"/>
    <w:rsid w:val="00370636"/>
    <w:rsid w:val="00372A26"/>
    <w:rsid w:val="00373F29"/>
    <w:rsid w:val="00374DC5"/>
    <w:rsid w:val="003775AD"/>
    <w:rsid w:val="00377EB4"/>
    <w:rsid w:val="00380D77"/>
    <w:rsid w:val="00383921"/>
    <w:rsid w:val="00390CC8"/>
    <w:rsid w:val="003917D2"/>
    <w:rsid w:val="0039307D"/>
    <w:rsid w:val="003955B2"/>
    <w:rsid w:val="00396E18"/>
    <w:rsid w:val="003B0ECD"/>
    <w:rsid w:val="003B5DFD"/>
    <w:rsid w:val="003B6D3A"/>
    <w:rsid w:val="003B7D3A"/>
    <w:rsid w:val="003C1F39"/>
    <w:rsid w:val="003C2773"/>
    <w:rsid w:val="003C312B"/>
    <w:rsid w:val="003D11E9"/>
    <w:rsid w:val="003D120F"/>
    <w:rsid w:val="003D1B03"/>
    <w:rsid w:val="003D3566"/>
    <w:rsid w:val="003D4199"/>
    <w:rsid w:val="003D4304"/>
    <w:rsid w:val="003D4B4A"/>
    <w:rsid w:val="003D4F39"/>
    <w:rsid w:val="003D552F"/>
    <w:rsid w:val="003D583C"/>
    <w:rsid w:val="003D6B9C"/>
    <w:rsid w:val="003D6E86"/>
    <w:rsid w:val="003E1871"/>
    <w:rsid w:val="003E33B3"/>
    <w:rsid w:val="003E427D"/>
    <w:rsid w:val="003E6840"/>
    <w:rsid w:val="003E7B44"/>
    <w:rsid w:val="003F188F"/>
    <w:rsid w:val="003F1FD6"/>
    <w:rsid w:val="003F2F7C"/>
    <w:rsid w:val="003F6643"/>
    <w:rsid w:val="0040032C"/>
    <w:rsid w:val="00401BDD"/>
    <w:rsid w:val="00402B5B"/>
    <w:rsid w:val="00405C4F"/>
    <w:rsid w:val="00405F65"/>
    <w:rsid w:val="00405FDA"/>
    <w:rsid w:val="00406140"/>
    <w:rsid w:val="004071CE"/>
    <w:rsid w:val="0040741C"/>
    <w:rsid w:val="00407D63"/>
    <w:rsid w:val="00407E93"/>
    <w:rsid w:val="004132D5"/>
    <w:rsid w:val="0041456A"/>
    <w:rsid w:val="00416B62"/>
    <w:rsid w:val="004201A2"/>
    <w:rsid w:val="00421DBC"/>
    <w:rsid w:val="004232F8"/>
    <w:rsid w:val="00424442"/>
    <w:rsid w:val="00425007"/>
    <w:rsid w:val="00426030"/>
    <w:rsid w:val="004275A3"/>
    <w:rsid w:val="0042775E"/>
    <w:rsid w:val="00430E31"/>
    <w:rsid w:val="00434826"/>
    <w:rsid w:val="00436E97"/>
    <w:rsid w:val="00437361"/>
    <w:rsid w:val="00437776"/>
    <w:rsid w:val="004408F7"/>
    <w:rsid w:val="00440A05"/>
    <w:rsid w:val="004417AF"/>
    <w:rsid w:val="004417E9"/>
    <w:rsid w:val="00443CC2"/>
    <w:rsid w:val="004444F5"/>
    <w:rsid w:val="00444869"/>
    <w:rsid w:val="00446562"/>
    <w:rsid w:val="00450E0A"/>
    <w:rsid w:val="00451A7E"/>
    <w:rsid w:val="0045479C"/>
    <w:rsid w:val="00454FA5"/>
    <w:rsid w:val="004567F3"/>
    <w:rsid w:val="00456BB0"/>
    <w:rsid w:val="00457115"/>
    <w:rsid w:val="0046447D"/>
    <w:rsid w:val="004665AE"/>
    <w:rsid w:val="00466AC0"/>
    <w:rsid w:val="00470B8E"/>
    <w:rsid w:val="00470D7E"/>
    <w:rsid w:val="0047281C"/>
    <w:rsid w:val="004730F2"/>
    <w:rsid w:val="00474879"/>
    <w:rsid w:val="00474FCD"/>
    <w:rsid w:val="004804AA"/>
    <w:rsid w:val="00482015"/>
    <w:rsid w:val="0048285E"/>
    <w:rsid w:val="00487954"/>
    <w:rsid w:val="004963A0"/>
    <w:rsid w:val="004A0CC2"/>
    <w:rsid w:val="004A438C"/>
    <w:rsid w:val="004A4422"/>
    <w:rsid w:val="004A73FA"/>
    <w:rsid w:val="004A7526"/>
    <w:rsid w:val="004B1666"/>
    <w:rsid w:val="004B22B7"/>
    <w:rsid w:val="004B598B"/>
    <w:rsid w:val="004B71FA"/>
    <w:rsid w:val="004B7954"/>
    <w:rsid w:val="004B79B7"/>
    <w:rsid w:val="004C3499"/>
    <w:rsid w:val="004C4D53"/>
    <w:rsid w:val="004C5059"/>
    <w:rsid w:val="004C5C17"/>
    <w:rsid w:val="004C609F"/>
    <w:rsid w:val="004C68BB"/>
    <w:rsid w:val="004C7524"/>
    <w:rsid w:val="004D37B1"/>
    <w:rsid w:val="004D4295"/>
    <w:rsid w:val="004D5983"/>
    <w:rsid w:val="004D5B8C"/>
    <w:rsid w:val="004E36A1"/>
    <w:rsid w:val="004E6E5E"/>
    <w:rsid w:val="004E6EDA"/>
    <w:rsid w:val="004F3E3C"/>
    <w:rsid w:val="004F5BDA"/>
    <w:rsid w:val="004F7453"/>
    <w:rsid w:val="005005BD"/>
    <w:rsid w:val="005010FA"/>
    <w:rsid w:val="005012FB"/>
    <w:rsid w:val="005026B3"/>
    <w:rsid w:val="00504750"/>
    <w:rsid w:val="00505B68"/>
    <w:rsid w:val="00511A75"/>
    <w:rsid w:val="005132C7"/>
    <w:rsid w:val="00513FB5"/>
    <w:rsid w:val="005165CC"/>
    <w:rsid w:val="005204FA"/>
    <w:rsid w:val="005225FF"/>
    <w:rsid w:val="00526F7E"/>
    <w:rsid w:val="00533A24"/>
    <w:rsid w:val="005340F5"/>
    <w:rsid w:val="005349BD"/>
    <w:rsid w:val="00535F72"/>
    <w:rsid w:val="005368DB"/>
    <w:rsid w:val="005375EF"/>
    <w:rsid w:val="00540A17"/>
    <w:rsid w:val="00543830"/>
    <w:rsid w:val="00543A6A"/>
    <w:rsid w:val="00544B9D"/>
    <w:rsid w:val="00545237"/>
    <w:rsid w:val="00546D7A"/>
    <w:rsid w:val="005475D7"/>
    <w:rsid w:val="005504CF"/>
    <w:rsid w:val="005509CB"/>
    <w:rsid w:val="00553269"/>
    <w:rsid w:val="00554672"/>
    <w:rsid w:val="00567508"/>
    <w:rsid w:val="00572437"/>
    <w:rsid w:val="0058108D"/>
    <w:rsid w:val="005825EA"/>
    <w:rsid w:val="00583441"/>
    <w:rsid w:val="005834B2"/>
    <w:rsid w:val="00583833"/>
    <w:rsid w:val="005874A2"/>
    <w:rsid w:val="00587575"/>
    <w:rsid w:val="0058760F"/>
    <w:rsid w:val="00590A3A"/>
    <w:rsid w:val="00590E5B"/>
    <w:rsid w:val="00591D86"/>
    <w:rsid w:val="0059394C"/>
    <w:rsid w:val="00593BD6"/>
    <w:rsid w:val="0059502F"/>
    <w:rsid w:val="00595EDC"/>
    <w:rsid w:val="00596C35"/>
    <w:rsid w:val="005A1F2D"/>
    <w:rsid w:val="005A2B4A"/>
    <w:rsid w:val="005A2FF5"/>
    <w:rsid w:val="005A4B71"/>
    <w:rsid w:val="005A7E8B"/>
    <w:rsid w:val="005B04AF"/>
    <w:rsid w:val="005B0FEE"/>
    <w:rsid w:val="005B22ED"/>
    <w:rsid w:val="005B284C"/>
    <w:rsid w:val="005B35E7"/>
    <w:rsid w:val="005B5111"/>
    <w:rsid w:val="005B63C1"/>
    <w:rsid w:val="005B7E98"/>
    <w:rsid w:val="005C283E"/>
    <w:rsid w:val="005C3704"/>
    <w:rsid w:val="005C37DF"/>
    <w:rsid w:val="005C43AC"/>
    <w:rsid w:val="005C5324"/>
    <w:rsid w:val="005C5CD0"/>
    <w:rsid w:val="005D3159"/>
    <w:rsid w:val="005D3D0B"/>
    <w:rsid w:val="005D4C49"/>
    <w:rsid w:val="005D5DA6"/>
    <w:rsid w:val="005D6D2A"/>
    <w:rsid w:val="005D7661"/>
    <w:rsid w:val="005D7F4E"/>
    <w:rsid w:val="005E08BB"/>
    <w:rsid w:val="005E3098"/>
    <w:rsid w:val="005E3845"/>
    <w:rsid w:val="005E69BD"/>
    <w:rsid w:val="005F36AD"/>
    <w:rsid w:val="005F45FD"/>
    <w:rsid w:val="005F5A7F"/>
    <w:rsid w:val="005F77F5"/>
    <w:rsid w:val="00602C33"/>
    <w:rsid w:val="00603FD9"/>
    <w:rsid w:val="00606437"/>
    <w:rsid w:val="00606E22"/>
    <w:rsid w:val="0061239B"/>
    <w:rsid w:val="0061263C"/>
    <w:rsid w:val="00615B40"/>
    <w:rsid w:val="00616871"/>
    <w:rsid w:val="00616D82"/>
    <w:rsid w:val="006176B2"/>
    <w:rsid w:val="00621189"/>
    <w:rsid w:val="006226F4"/>
    <w:rsid w:val="0062438B"/>
    <w:rsid w:val="006252F2"/>
    <w:rsid w:val="006255A5"/>
    <w:rsid w:val="006258E3"/>
    <w:rsid w:val="00626A84"/>
    <w:rsid w:val="00626CEF"/>
    <w:rsid w:val="006319F2"/>
    <w:rsid w:val="00631C63"/>
    <w:rsid w:val="00633386"/>
    <w:rsid w:val="00634489"/>
    <w:rsid w:val="00634CA8"/>
    <w:rsid w:val="006358AB"/>
    <w:rsid w:val="00636689"/>
    <w:rsid w:val="0063675D"/>
    <w:rsid w:val="00637C39"/>
    <w:rsid w:val="00640D6C"/>
    <w:rsid w:val="00641093"/>
    <w:rsid w:val="0064296E"/>
    <w:rsid w:val="00643CCC"/>
    <w:rsid w:val="00645AE4"/>
    <w:rsid w:val="00646935"/>
    <w:rsid w:val="00646EB3"/>
    <w:rsid w:val="00647D52"/>
    <w:rsid w:val="00652AD4"/>
    <w:rsid w:val="00653A9A"/>
    <w:rsid w:val="00655265"/>
    <w:rsid w:val="00655D6A"/>
    <w:rsid w:val="006567B2"/>
    <w:rsid w:val="00657AF2"/>
    <w:rsid w:val="00657E79"/>
    <w:rsid w:val="00660EFC"/>
    <w:rsid w:val="0066116A"/>
    <w:rsid w:val="00661716"/>
    <w:rsid w:val="00662BCD"/>
    <w:rsid w:val="006633B4"/>
    <w:rsid w:val="006638FE"/>
    <w:rsid w:val="00664171"/>
    <w:rsid w:val="006647EC"/>
    <w:rsid w:val="00664C51"/>
    <w:rsid w:val="0066719F"/>
    <w:rsid w:val="00671406"/>
    <w:rsid w:val="00672E3D"/>
    <w:rsid w:val="00673447"/>
    <w:rsid w:val="00673700"/>
    <w:rsid w:val="00673D07"/>
    <w:rsid w:val="00677630"/>
    <w:rsid w:val="00677EBE"/>
    <w:rsid w:val="006806C8"/>
    <w:rsid w:val="0068252D"/>
    <w:rsid w:val="0068331C"/>
    <w:rsid w:val="00683BC5"/>
    <w:rsid w:val="00686B74"/>
    <w:rsid w:val="00686E02"/>
    <w:rsid w:val="0069303C"/>
    <w:rsid w:val="00693225"/>
    <w:rsid w:val="0069396B"/>
    <w:rsid w:val="00693E9E"/>
    <w:rsid w:val="00695B98"/>
    <w:rsid w:val="00696562"/>
    <w:rsid w:val="006A03BB"/>
    <w:rsid w:val="006A239E"/>
    <w:rsid w:val="006A2CE3"/>
    <w:rsid w:val="006A3116"/>
    <w:rsid w:val="006A37E2"/>
    <w:rsid w:val="006A56AE"/>
    <w:rsid w:val="006A636C"/>
    <w:rsid w:val="006A6E55"/>
    <w:rsid w:val="006B001B"/>
    <w:rsid w:val="006B204C"/>
    <w:rsid w:val="006B2C8F"/>
    <w:rsid w:val="006B4ED3"/>
    <w:rsid w:val="006B50E8"/>
    <w:rsid w:val="006B6138"/>
    <w:rsid w:val="006B6256"/>
    <w:rsid w:val="006B7D91"/>
    <w:rsid w:val="006C04D5"/>
    <w:rsid w:val="006C0A33"/>
    <w:rsid w:val="006C24A7"/>
    <w:rsid w:val="006C2E4E"/>
    <w:rsid w:val="006C583E"/>
    <w:rsid w:val="006D0CC5"/>
    <w:rsid w:val="006D0FFA"/>
    <w:rsid w:val="006D2708"/>
    <w:rsid w:val="006D48DD"/>
    <w:rsid w:val="006D4FEA"/>
    <w:rsid w:val="006D5C65"/>
    <w:rsid w:val="006E0D7F"/>
    <w:rsid w:val="006E34BC"/>
    <w:rsid w:val="006E4CF6"/>
    <w:rsid w:val="006E4DDE"/>
    <w:rsid w:val="006E5D79"/>
    <w:rsid w:val="006E7C67"/>
    <w:rsid w:val="006F139D"/>
    <w:rsid w:val="006F2385"/>
    <w:rsid w:val="006F2BDE"/>
    <w:rsid w:val="006F3613"/>
    <w:rsid w:val="006F3E4B"/>
    <w:rsid w:val="006F65FB"/>
    <w:rsid w:val="006F6811"/>
    <w:rsid w:val="0070047C"/>
    <w:rsid w:val="00701859"/>
    <w:rsid w:val="007032BF"/>
    <w:rsid w:val="00703F95"/>
    <w:rsid w:val="007040EF"/>
    <w:rsid w:val="00704F53"/>
    <w:rsid w:val="0070633B"/>
    <w:rsid w:val="0070697F"/>
    <w:rsid w:val="00712268"/>
    <w:rsid w:val="007133D9"/>
    <w:rsid w:val="00714B35"/>
    <w:rsid w:val="00716355"/>
    <w:rsid w:val="0071731D"/>
    <w:rsid w:val="00717950"/>
    <w:rsid w:val="007200F2"/>
    <w:rsid w:val="007209E8"/>
    <w:rsid w:val="00725114"/>
    <w:rsid w:val="007263F7"/>
    <w:rsid w:val="007266A0"/>
    <w:rsid w:val="00726D16"/>
    <w:rsid w:val="00730CA1"/>
    <w:rsid w:val="0073206A"/>
    <w:rsid w:val="007339AF"/>
    <w:rsid w:val="007341C5"/>
    <w:rsid w:val="00734AC9"/>
    <w:rsid w:val="00734C74"/>
    <w:rsid w:val="00735D49"/>
    <w:rsid w:val="0073655D"/>
    <w:rsid w:val="00750F5B"/>
    <w:rsid w:val="00751D15"/>
    <w:rsid w:val="00752CBE"/>
    <w:rsid w:val="0075482E"/>
    <w:rsid w:val="007552A2"/>
    <w:rsid w:val="0075549B"/>
    <w:rsid w:val="00755933"/>
    <w:rsid w:val="00757B31"/>
    <w:rsid w:val="007629A0"/>
    <w:rsid w:val="00762DA9"/>
    <w:rsid w:val="00762EBC"/>
    <w:rsid w:val="0076391B"/>
    <w:rsid w:val="007641DE"/>
    <w:rsid w:val="00764855"/>
    <w:rsid w:val="00770EF4"/>
    <w:rsid w:val="00771569"/>
    <w:rsid w:val="00773E67"/>
    <w:rsid w:val="0078208E"/>
    <w:rsid w:val="00782167"/>
    <w:rsid w:val="0078570F"/>
    <w:rsid w:val="00785B44"/>
    <w:rsid w:val="00786381"/>
    <w:rsid w:val="007864F0"/>
    <w:rsid w:val="00786962"/>
    <w:rsid w:val="00790E30"/>
    <w:rsid w:val="00792030"/>
    <w:rsid w:val="007949E6"/>
    <w:rsid w:val="0079620E"/>
    <w:rsid w:val="007A02F3"/>
    <w:rsid w:val="007A066E"/>
    <w:rsid w:val="007A0B4C"/>
    <w:rsid w:val="007A0F47"/>
    <w:rsid w:val="007A3015"/>
    <w:rsid w:val="007A4FA0"/>
    <w:rsid w:val="007A5176"/>
    <w:rsid w:val="007A55BD"/>
    <w:rsid w:val="007A572E"/>
    <w:rsid w:val="007A5763"/>
    <w:rsid w:val="007A5D26"/>
    <w:rsid w:val="007B1347"/>
    <w:rsid w:val="007B183B"/>
    <w:rsid w:val="007B3ADB"/>
    <w:rsid w:val="007B47CF"/>
    <w:rsid w:val="007C18FC"/>
    <w:rsid w:val="007C23F8"/>
    <w:rsid w:val="007C40D9"/>
    <w:rsid w:val="007C48C7"/>
    <w:rsid w:val="007C606C"/>
    <w:rsid w:val="007C7376"/>
    <w:rsid w:val="007D0BE1"/>
    <w:rsid w:val="007D171D"/>
    <w:rsid w:val="007D33FF"/>
    <w:rsid w:val="007D3F0E"/>
    <w:rsid w:val="007D42C3"/>
    <w:rsid w:val="007D557A"/>
    <w:rsid w:val="007D6300"/>
    <w:rsid w:val="007D63B7"/>
    <w:rsid w:val="007D7751"/>
    <w:rsid w:val="007E009F"/>
    <w:rsid w:val="007E0515"/>
    <w:rsid w:val="007E164E"/>
    <w:rsid w:val="007E38F2"/>
    <w:rsid w:val="007F049F"/>
    <w:rsid w:val="007F2FD5"/>
    <w:rsid w:val="007F3341"/>
    <w:rsid w:val="007F3A03"/>
    <w:rsid w:val="007F3D2C"/>
    <w:rsid w:val="007F49B3"/>
    <w:rsid w:val="007F4E6A"/>
    <w:rsid w:val="007F5F9D"/>
    <w:rsid w:val="007F69CC"/>
    <w:rsid w:val="007F70A4"/>
    <w:rsid w:val="0080138D"/>
    <w:rsid w:val="00804067"/>
    <w:rsid w:val="00804FFA"/>
    <w:rsid w:val="00805CAF"/>
    <w:rsid w:val="00806DED"/>
    <w:rsid w:val="008075BF"/>
    <w:rsid w:val="00810391"/>
    <w:rsid w:val="00813201"/>
    <w:rsid w:val="00814316"/>
    <w:rsid w:val="00816B51"/>
    <w:rsid w:val="00820009"/>
    <w:rsid w:val="00820770"/>
    <w:rsid w:val="00820A1C"/>
    <w:rsid w:val="00820BF4"/>
    <w:rsid w:val="00826BB2"/>
    <w:rsid w:val="0083072D"/>
    <w:rsid w:val="00830A12"/>
    <w:rsid w:val="00831405"/>
    <w:rsid w:val="00831E4C"/>
    <w:rsid w:val="008338A0"/>
    <w:rsid w:val="0083450A"/>
    <w:rsid w:val="00834D58"/>
    <w:rsid w:val="00837DEF"/>
    <w:rsid w:val="00843244"/>
    <w:rsid w:val="008466B9"/>
    <w:rsid w:val="00846A73"/>
    <w:rsid w:val="00846FA1"/>
    <w:rsid w:val="00847A61"/>
    <w:rsid w:val="00850DFB"/>
    <w:rsid w:val="0085257F"/>
    <w:rsid w:val="00853F9E"/>
    <w:rsid w:val="00853FFA"/>
    <w:rsid w:val="00854FE9"/>
    <w:rsid w:val="008569BA"/>
    <w:rsid w:val="00861240"/>
    <w:rsid w:val="00861A14"/>
    <w:rsid w:val="00861CA1"/>
    <w:rsid w:val="00861D8F"/>
    <w:rsid w:val="008621E5"/>
    <w:rsid w:val="008628A6"/>
    <w:rsid w:val="00862A01"/>
    <w:rsid w:val="00862A1D"/>
    <w:rsid w:val="00866528"/>
    <w:rsid w:val="00872926"/>
    <w:rsid w:val="00873E10"/>
    <w:rsid w:val="00875635"/>
    <w:rsid w:val="00876355"/>
    <w:rsid w:val="008763ED"/>
    <w:rsid w:val="00876DD5"/>
    <w:rsid w:val="008779D0"/>
    <w:rsid w:val="00880656"/>
    <w:rsid w:val="008813CE"/>
    <w:rsid w:val="008821EA"/>
    <w:rsid w:val="0088397D"/>
    <w:rsid w:val="0088513D"/>
    <w:rsid w:val="00887B22"/>
    <w:rsid w:val="008908B7"/>
    <w:rsid w:val="00890E47"/>
    <w:rsid w:val="008916F4"/>
    <w:rsid w:val="00891764"/>
    <w:rsid w:val="00892276"/>
    <w:rsid w:val="00892B97"/>
    <w:rsid w:val="00892E4B"/>
    <w:rsid w:val="00893414"/>
    <w:rsid w:val="0089405A"/>
    <w:rsid w:val="008944A8"/>
    <w:rsid w:val="0089770B"/>
    <w:rsid w:val="00897F37"/>
    <w:rsid w:val="008A0AB0"/>
    <w:rsid w:val="008A1053"/>
    <w:rsid w:val="008A24D4"/>
    <w:rsid w:val="008A33F5"/>
    <w:rsid w:val="008A536E"/>
    <w:rsid w:val="008A6697"/>
    <w:rsid w:val="008B7391"/>
    <w:rsid w:val="008C0D45"/>
    <w:rsid w:val="008C10B6"/>
    <w:rsid w:val="008C12AE"/>
    <w:rsid w:val="008C1394"/>
    <w:rsid w:val="008C4AD2"/>
    <w:rsid w:val="008C60CB"/>
    <w:rsid w:val="008C6C55"/>
    <w:rsid w:val="008C760A"/>
    <w:rsid w:val="008D22E5"/>
    <w:rsid w:val="008D23A3"/>
    <w:rsid w:val="008D2ACB"/>
    <w:rsid w:val="008D5DE9"/>
    <w:rsid w:val="008D62AC"/>
    <w:rsid w:val="008E03DE"/>
    <w:rsid w:val="008E1E65"/>
    <w:rsid w:val="008E407E"/>
    <w:rsid w:val="008E41D3"/>
    <w:rsid w:val="008E49EC"/>
    <w:rsid w:val="008E4CE0"/>
    <w:rsid w:val="008E525F"/>
    <w:rsid w:val="008E69B6"/>
    <w:rsid w:val="008E6F58"/>
    <w:rsid w:val="008F05D0"/>
    <w:rsid w:val="008F22B4"/>
    <w:rsid w:val="008F37DF"/>
    <w:rsid w:val="008F508D"/>
    <w:rsid w:val="008F5242"/>
    <w:rsid w:val="008F5B11"/>
    <w:rsid w:val="008F5DCC"/>
    <w:rsid w:val="008F63BF"/>
    <w:rsid w:val="008F64BE"/>
    <w:rsid w:val="008F6589"/>
    <w:rsid w:val="008F68FD"/>
    <w:rsid w:val="008F794A"/>
    <w:rsid w:val="009002E9"/>
    <w:rsid w:val="00900A63"/>
    <w:rsid w:val="009052D9"/>
    <w:rsid w:val="009052F9"/>
    <w:rsid w:val="009059B6"/>
    <w:rsid w:val="00905A16"/>
    <w:rsid w:val="009077AB"/>
    <w:rsid w:val="00907829"/>
    <w:rsid w:val="00907EA2"/>
    <w:rsid w:val="0091028B"/>
    <w:rsid w:val="00910B9C"/>
    <w:rsid w:val="009132B7"/>
    <w:rsid w:val="00913929"/>
    <w:rsid w:val="00914151"/>
    <w:rsid w:val="009143C6"/>
    <w:rsid w:val="00914B7F"/>
    <w:rsid w:val="00914D5A"/>
    <w:rsid w:val="00916A19"/>
    <w:rsid w:val="00920559"/>
    <w:rsid w:val="009229C7"/>
    <w:rsid w:val="00922F4A"/>
    <w:rsid w:val="009269EB"/>
    <w:rsid w:val="00933253"/>
    <w:rsid w:val="009335A5"/>
    <w:rsid w:val="00935E78"/>
    <w:rsid w:val="009413B4"/>
    <w:rsid w:val="009416B9"/>
    <w:rsid w:val="00944147"/>
    <w:rsid w:val="00945085"/>
    <w:rsid w:val="009451C2"/>
    <w:rsid w:val="009459E5"/>
    <w:rsid w:val="00950C0D"/>
    <w:rsid w:val="00951866"/>
    <w:rsid w:val="0095267B"/>
    <w:rsid w:val="00952D86"/>
    <w:rsid w:val="0095380B"/>
    <w:rsid w:val="00953CE7"/>
    <w:rsid w:val="00953FB5"/>
    <w:rsid w:val="0095428E"/>
    <w:rsid w:val="00957C7A"/>
    <w:rsid w:val="00960CC3"/>
    <w:rsid w:val="00960E4D"/>
    <w:rsid w:val="00961A61"/>
    <w:rsid w:val="009648A0"/>
    <w:rsid w:val="00966BEC"/>
    <w:rsid w:val="009716FB"/>
    <w:rsid w:val="00971CC9"/>
    <w:rsid w:val="00973B48"/>
    <w:rsid w:val="009779C0"/>
    <w:rsid w:val="00980AB2"/>
    <w:rsid w:val="009813A9"/>
    <w:rsid w:val="009815A9"/>
    <w:rsid w:val="00981692"/>
    <w:rsid w:val="009822EC"/>
    <w:rsid w:val="00984622"/>
    <w:rsid w:val="00985699"/>
    <w:rsid w:val="00985E68"/>
    <w:rsid w:val="00986896"/>
    <w:rsid w:val="0098716B"/>
    <w:rsid w:val="009876BB"/>
    <w:rsid w:val="00991797"/>
    <w:rsid w:val="00991DCA"/>
    <w:rsid w:val="009921D3"/>
    <w:rsid w:val="00993907"/>
    <w:rsid w:val="009952BC"/>
    <w:rsid w:val="009A1A3B"/>
    <w:rsid w:val="009A45DC"/>
    <w:rsid w:val="009A72B9"/>
    <w:rsid w:val="009A741E"/>
    <w:rsid w:val="009A7424"/>
    <w:rsid w:val="009B18DB"/>
    <w:rsid w:val="009B2025"/>
    <w:rsid w:val="009B4E94"/>
    <w:rsid w:val="009B7AEE"/>
    <w:rsid w:val="009C0698"/>
    <w:rsid w:val="009C0AF9"/>
    <w:rsid w:val="009C0EB6"/>
    <w:rsid w:val="009C1A20"/>
    <w:rsid w:val="009C42C4"/>
    <w:rsid w:val="009C4802"/>
    <w:rsid w:val="009C70A9"/>
    <w:rsid w:val="009D023C"/>
    <w:rsid w:val="009D0A2E"/>
    <w:rsid w:val="009D3099"/>
    <w:rsid w:val="009D49E7"/>
    <w:rsid w:val="009D59E3"/>
    <w:rsid w:val="009D6F4D"/>
    <w:rsid w:val="009E043E"/>
    <w:rsid w:val="009E1131"/>
    <w:rsid w:val="009E2362"/>
    <w:rsid w:val="009E306F"/>
    <w:rsid w:val="009E3225"/>
    <w:rsid w:val="009E3C11"/>
    <w:rsid w:val="009E549D"/>
    <w:rsid w:val="009E6F42"/>
    <w:rsid w:val="009E72DB"/>
    <w:rsid w:val="009E79D6"/>
    <w:rsid w:val="009E7C8F"/>
    <w:rsid w:val="009E7FEF"/>
    <w:rsid w:val="009F0B28"/>
    <w:rsid w:val="009F0EF0"/>
    <w:rsid w:val="009F0FB4"/>
    <w:rsid w:val="009F48B4"/>
    <w:rsid w:val="009F520E"/>
    <w:rsid w:val="009F5312"/>
    <w:rsid w:val="009F63A4"/>
    <w:rsid w:val="009F6941"/>
    <w:rsid w:val="009F6EBA"/>
    <w:rsid w:val="00A00EFF"/>
    <w:rsid w:val="00A013BD"/>
    <w:rsid w:val="00A02FE9"/>
    <w:rsid w:val="00A031DF"/>
    <w:rsid w:val="00A0541A"/>
    <w:rsid w:val="00A06BF6"/>
    <w:rsid w:val="00A11904"/>
    <w:rsid w:val="00A134CF"/>
    <w:rsid w:val="00A13ADE"/>
    <w:rsid w:val="00A13C2B"/>
    <w:rsid w:val="00A14A77"/>
    <w:rsid w:val="00A165DA"/>
    <w:rsid w:val="00A21D2C"/>
    <w:rsid w:val="00A21EEB"/>
    <w:rsid w:val="00A223B7"/>
    <w:rsid w:val="00A25A81"/>
    <w:rsid w:val="00A26B14"/>
    <w:rsid w:val="00A31BE8"/>
    <w:rsid w:val="00A32739"/>
    <w:rsid w:val="00A33A9C"/>
    <w:rsid w:val="00A33D59"/>
    <w:rsid w:val="00A36523"/>
    <w:rsid w:val="00A40577"/>
    <w:rsid w:val="00A424B3"/>
    <w:rsid w:val="00A43295"/>
    <w:rsid w:val="00A433C4"/>
    <w:rsid w:val="00A44376"/>
    <w:rsid w:val="00A44E48"/>
    <w:rsid w:val="00A46041"/>
    <w:rsid w:val="00A4696B"/>
    <w:rsid w:val="00A51142"/>
    <w:rsid w:val="00A52B24"/>
    <w:rsid w:val="00A56ADE"/>
    <w:rsid w:val="00A56BAA"/>
    <w:rsid w:val="00A61A7F"/>
    <w:rsid w:val="00A6281C"/>
    <w:rsid w:val="00A63ADA"/>
    <w:rsid w:val="00A63E94"/>
    <w:rsid w:val="00A65BB4"/>
    <w:rsid w:val="00A73755"/>
    <w:rsid w:val="00A744C5"/>
    <w:rsid w:val="00A74F8A"/>
    <w:rsid w:val="00A76196"/>
    <w:rsid w:val="00A76395"/>
    <w:rsid w:val="00A82761"/>
    <w:rsid w:val="00A829B2"/>
    <w:rsid w:val="00A83197"/>
    <w:rsid w:val="00A83D6E"/>
    <w:rsid w:val="00A860C2"/>
    <w:rsid w:val="00A86FEC"/>
    <w:rsid w:val="00A87037"/>
    <w:rsid w:val="00A875CE"/>
    <w:rsid w:val="00A87F2C"/>
    <w:rsid w:val="00A91336"/>
    <w:rsid w:val="00A917D1"/>
    <w:rsid w:val="00A92E09"/>
    <w:rsid w:val="00A94515"/>
    <w:rsid w:val="00A94C73"/>
    <w:rsid w:val="00A951A4"/>
    <w:rsid w:val="00A957A8"/>
    <w:rsid w:val="00AA10E0"/>
    <w:rsid w:val="00AA3FEC"/>
    <w:rsid w:val="00AA4827"/>
    <w:rsid w:val="00AA7EDC"/>
    <w:rsid w:val="00AB40A8"/>
    <w:rsid w:val="00AB4981"/>
    <w:rsid w:val="00AB55C6"/>
    <w:rsid w:val="00AB5CDF"/>
    <w:rsid w:val="00AB7CDE"/>
    <w:rsid w:val="00AC36DE"/>
    <w:rsid w:val="00AC455C"/>
    <w:rsid w:val="00AC4929"/>
    <w:rsid w:val="00AC5648"/>
    <w:rsid w:val="00AC59E0"/>
    <w:rsid w:val="00AC6CD1"/>
    <w:rsid w:val="00AC7326"/>
    <w:rsid w:val="00AC79E3"/>
    <w:rsid w:val="00AD34FF"/>
    <w:rsid w:val="00AD3800"/>
    <w:rsid w:val="00AD4C8B"/>
    <w:rsid w:val="00AD4D76"/>
    <w:rsid w:val="00AD510B"/>
    <w:rsid w:val="00AD5D48"/>
    <w:rsid w:val="00AD7595"/>
    <w:rsid w:val="00AD7CDC"/>
    <w:rsid w:val="00AD7F3E"/>
    <w:rsid w:val="00AE042F"/>
    <w:rsid w:val="00AE06E6"/>
    <w:rsid w:val="00AE084E"/>
    <w:rsid w:val="00AE0E7D"/>
    <w:rsid w:val="00AE353F"/>
    <w:rsid w:val="00AE761E"/>
    <w:rsid w:val="00AE7DB6"/>
    <w:rsid w:val="00AF08B4"/>
    <w:rsid w:val="00AF274F"/>
    <w:rsid w:val="00AF4098"/>
    <w:rsid w:val="00AF4C34"/>
    <w:rsid w:val="00AF5023"/>
    <w:rsid w:val="00AF50CA"/>
    <w:rsid w:val="00AF56CB"/>
    <w:rsid w:val="00AF7E32"/>
    <w:rsid w:val="00B0048A"/>
    <w:rsid w:val="00B022C6"/>
    <w:rsid w:val="00B02A8C"/>
    <w:rsid w:val="00B02F89"/>
    <w:rsid w:val="00B04959"/>
    <w:rsid w:val="00B07F7D"/>
    <w:rsid w:val="00B11BFE"/>
    <w:rsid w:val="00B11E00"/>
    <w:rsid w:val="00B13A72"/>
    <w:rsid w:val="00B14802"/>
    <w:rsid w:val="00B153C9"/>
    <w:rsid w:val="00B176AF"/>
    <w:rsid w:val="00B2020E"/>
    <w:rsid w:val="00B22039"/>
    <w:rsid w:val="00B221A0"/>
    <w:rsid w:val="00B22918"/>
    <w:rsid w:val="00B24248"/>
    <w:rsid w:val="00B25E81"/>
    <w:rsid w:val="00B27C42"/>
    <w:rsid w:val="00B30679"/>
    <w:rsid w:val="00B30C45"/>
    <w:rsid w:val="00B31872"/>
    <w:rsid w:val="00B318FE"/>
    <w:rsid w:val="00B33BDD"/>
    <w:rsid w:val="00B352CB"/>
    <w:rsid w:val="00B35545"/>
    <w:rsid w:val="00B3644C"/>
    <w:rsid w:val="00B37CEC"/>
    <w:rsid w:val="00B427D8"/>
    <w:rsid w:val="00B42C34"/>
    <w:rsid w:val="00B43BC8"/>
    <w:rsid w:val="00B43CF9"/>
    <w:rsid w:val="00B44767"/>
    <w:rsid w:val="00B46103"/>
    <w:rsid w:val="00B463EA"/>
    <w:rsid w:val="00B46EA6"/>
    <w:rsid w:val="00B472CE"/>
    <w:rsid w:val="00B5031F"/>
    <w:rsid w:val="00B50B37"/>
    <w:rsid w:val="00B52C00"/>
    <w:rsid w:val="00B532BA"/>
    <w:rsid w:val="00B5408D"/>
    <w:rsid w:val="00B54E49"/>
    <w:rsid w:val="00B5571E"/>
    <w:rsid w:val="00B56356"/>
    <w:rsid w:val="00B60387"/>
    <w:rsid w:val="00B633D6"/>
    <w:rsid w:val="00B63711"/>
    <w:rsid w:val="00B6417A"/>
    <w:rsid w:val="00B64435"/>
    <w:rsid w:val="00B67BB1"/>
    <w:rsid w:val="00B71FAB"/>
    <w:rsid w:val="00B725F7"/>
    <w:rsid w:val="00B75177"/>
    <w:rsid w:val="00B75F69"/>
    <w:rsid w:val="00B760FA"/>
    <w:rsid w:val="00B77266"/>
    <w:rsid w:val="00B77726"/>
    <w:rsid w:val="00B818AC"/>
    <w:rsid w:val="00B8544D"/>
    <w:rsid w:val="00B85693"/>
    <w:rsid w:val="00B86C30"/>
    <w:rsid w:val="00B87373"/>
    <w:rsid w:val="00B87694"/>
    <w:rsid w:val="00B87F64"/>
    <w:rsid w:val="00B9059E"/>
    <w:rsid w:val="00B923BF"/>
    <w:rsid w:val="00B92844"/>
    <w:rsid w:val="00B92AEB"/>
    <w:rsid w:val="00B94760"/>
    <w:rsid w:val="00BA2EDC"/>
    <w:rsid w:val="00BA41D7"/>
    <w:rsid w:val="00BA569D"/>
    <w:rsid w:val="00BA61A1"/>
    <w:rsid w:val="00BA654B"/>
    <w:rsid w:val="00BB0B70"/>
    <w:rsid w:val="00BB17EF"/>
    <w:rsid w:val="00BB18CB"/>
    <w:rsid w:val="00BB3D2D"/>
    <w:rsid w:val="00BB5BE8"/>
    <w:rsid w:val="00BB7E28"/>
    <w:rsid w:val="00BC0BFE"/>
    <w:rsid w:val="00BC1435"/>
    <w:rsid w:val="00BC2414"/>
    <w:rsid w:val="00BC32D7"/>
    <w:rsid w:val="00BC49B8"/>
    <w:rsid w:val="00BC6BC2"/>
    <w:rsid w:val="00BC6F65"/>
    <w:rsid w:val="00BD2BA4"/>
    <w:rsid w:val="00BD2F45"/>
    <w:rsid w:val="00BD397C"/>
    <w:rsid w:val="00BD5080"/>
    <w:rsid w:val="00BD518E"/>
    <w:rsid w:val="00BD65A9"/>
    <w:rsid w:val="00BD710D"/>
    <w:rsid w:val="00BE02F7"/>
    <w:rsid w:val="00BE1DAA"/>
    <w:rsid w:val="00BE292E"/>
    <w:rsid w:val="00BE3F00"/>
    <w:rsid w:val="00BE6543"/>
    <w:rsid w:val="00BE720E"/>
    <w:rsid w:val="00BE7E90"/>
    <w:rsid w:val="00BF5732"/>
    <w:rsid w:val="00BF5B40"/>
    <w:rsid w:val="00BF6531"/>
    <w:rsid w:val="00C00F4A"/>
    <w:rsid w:val="00C035FE"/>
    <w:rsid w:val="00C04487"/>
    <w:rsid w:val="00C10ACF"/>
    <w:rsid w:val="00C11678"/>
    <w:rsid w:val="00C1245F"/>
    <w:rsid w:val="00C12F72"/>
    <w:rsid w:val="00C1437D"/>
    <w:rsid w:val="00C14746"/>
    <w:rsid w:val="00C14D6A"/>
    <w:rsid w:val="00C155B4"/>
    <w:rsid w:val="00C169ED"/>
    <w:rsid w:val="00C27F5D"/>
    <w:rsid w:val="00C305B5"/>
    <w:rsid w:val="00C3096F"/>
    <w:rsid w:val="00C30B19"/>
    <w:rsid w:val="00C3174F"/>
    <w:rsid w:val="00C3183E"/>
    <w:rsid w:val="00C33425"/>
    <w:rsid w:val="00C336B9"/>
    <w:rsid w:val="00C3799D"/>
    <w:rsid w:val="00C422D7"/>
    <w:rsid w:val="00C42AFA"/>
    <w:rsid w:val="00C4356C"/>
    <w:rsid w:val="00C459D3"/>
    <w:rsid w:val="00C45E99"/>
    <w:rsid w:val="00C46354"/>
    <w:rsid w:val="00C47B7C"/>
    <w:rsid w:val="00C51445"/>
    <w:rsid w:val="00C52BF7"/>
    <w:rsid w:val="00C54633"/>
    <w:rsid w:val="00C54E13"/>
    <w:rsid w:val="00C55E82"/>
    <w:rsid w:val="00C605A1"/>
    <w:rsid w:val="00C60717"/>
    <w:rsid w:val="00C60A95"/>
    <w:rsid w:val="00C636AD"/>
    <w:rsid w:val="00C6394E"/>
    <w:rsid w:val="00C6629C"/>
    <w:rsid w:val="00C66841"/>
    <w:rsid w:val="00C70AD7"/>
    <w:rsid w:val="00C70EA7"/>
    <w:rsid w:val="00C726CE"/>
    <w:rsid w:val="00C73A54"/>
    <w:rsid w:val="00C75ED3"/>
    <w:rsid w:val="00C76F7E"/>
    <w:rsid w:val="00C7770F"/>
    <w:rsid w:val="00C77A37"/>
    <w:rsid w:val="00C77A97"/>
    <w:rsid w:val="00C8089B"/>
    <w:rsid w:val="00C80C7F"/>
    <w:rsid w:val="00C80CA7"/>
    <w:rsid w:val="00C815CD"/>
    <w:rsid w:val="00C82B82"/>
    <w:rsid w:val="00C83F35"/>
    <w:rsid w:val="00C850D5"/>
    <w:rsid w:val="00C85E75"/>
    <w:rsid w:val="00C866FF"/>
    <w:rsid w:val="00C86A0F"/>
    <w:rsid w:val="00C8716F"/>
    <w:rsid w:val="00C906B5"/>
    <w:rsid w:val="00C93EF2"/>
    <w:rsid w:val="00C946AC"/>
    <w:rsid w:val="00C96F06"/>
    <w:rsid w:val="00C973EF"/>
    <w:rsid w:val="00CA14FF"/>
    <w:rsid w:val="00CA167A"/>
    <w:rsid w:val="00CA361A"/>
    <w:rsid w:val="00CA369D"/>
    <w:rsid w:val="00CA3A3A"/>
    <w:rsid w:val="00CA57E4"/>
    <w:rsid w:val="00CA6D3E"/>
    <w:rsid w:val="00CA6EA3"/>
    <w:rsid w:val="00CA734D"/>
    <w:rsid w:val="00CA746D"/>
    <w:rsid w:val="00CB1AC8"/>
    <w:rsid w:val="00CB27E6"/>
    <w:rsid w:val="00CB6FF6"/>
    <w:rsid w:val="00CC14F2"/>
    <w:rsid w:val="00CC19EA"/>
    <w:rsid w:val="00CC1F18"/>
    <w:rsid w:val="00CC242F"/>
    <w:rsid w:val="00CC495B"/>
    <w:rsid w:val="00CC6973"/>
    <w:rsid w:val="00CC7C3C"/>
    <w:rsid w:val="00CD057E"/>
    <w:rsid w:val="00CD1D09"/>
    <w:rsid w:val="00CD3E72"/>
    <w:rsid w:val="00CD483D"/>
    <w:rsid w:val="00CD7B9A"/>
    <w:rsid w:val="00CE1F24"/>
    <w:rsid w:val="00CE214F"/>
    <w:rsid w:val="00CE2F08"/>
    <w:rsid w:val="00CE53A0"/>
    <w:rsid w:val="00CE6880"/>
    <w:rsid w:val="00CF0E22"/>
    <w:rsid w:val="00CF105D"/>
    <w:rsid w:val="00CF24EB"/>
    <w:rsid w:val="00CF3919"/>
    <w:rsid w:val="00CF53B1"/>
    <w:rsid w:val="00CF5A58"/>
    <w:rsid w:val="00D02093"/>
    <w:rsid w:val="00D02CCD"/>
    <w:rsid w:val="00D02EC2"/>
    <w:rsid w:val="00D03A68"/>
    <w:rsid w:val="00D0476D"/>
    <w:rsid w:val="00D107ED"/>
    <w:rsid w:val="00D11629"/>
    <w:rsid w:val="00D1193C"/>
    <w:rsid w:val="00D119AD"/>
    <w:rsid w:val="00D13677"/>
    <w:rsid w:val="00D14B90"/>
    <w:rsid w:val="00D14CFC"/>
    <w:rsid w:val="00D14E26"/>
    <w:rsid w:val="00D16A5B"/>
    <w:rsid w:val="00D2321A"/>
    <w:rsid w:val="00D24311"/>
    <w:rsid w:val="00D25433"/>
    <w:rsid w:val="00D25D8D"/>
    <w:rsid w:val="00D262A5"/>
    <w:rsid w:val="00D312DA"/>
    <w:rsid w:val="00D32F18"/>
    <w:rsid w:val="00D32F65"/>
    <w:rsid w:val="00D33068"/>
    <w:rsid w:val="00D345D0"/>
    <w:rsid w:val="00D3510F"/>
    <w:rsid w:val="00D35A4C"/>
    <w:rsid w:val="00D37A5A"/>
    <w:rsid w:val="00D40A95"/>
    <w:rsid w:val="00D41123"/>
    <w:rsid w:val="00D428C9"/>
    <w:rsid w:val="00D42B26"/>
    <w:rsid w:val="00D45B64"/>
    <w:rsid w:val="00D46B7F"/>
    <w:rsid w:val="00D510F7"/>
    <w:rsid w:val="00D52AC3"/>
    <w:rsid w:val="00D549A3"/>
    <w:rsid w:val="00D56399"/>
    <w:rsid w:val="00D56B2B"/>
    <w:rsid w:val="00D57764"/>
    <w:rsid w:val="00D60B9F"/>
    <w:rsid w:val="00D61AB8"/>
    <w:rsid w:val="00D62CBF"/>
    <w:rsid w:val="00D645EA"/>
    <w:rsid w:val="00D64A1F"/>
    <w:rsid w:val="00D6643C"/>
    <w:rsid w:val="00D70920"/>
    <w:rsid w:val="00D75993"/>
    <w:rsid w:val="00D76DA3"/>
    <w:rsid w:val="00D82F6B"/>
    <w:rsid w:val="00D83954"/>
    <w:rsid w:val="00D84BA9"/>
    <w:rsid w:val="00D86A3D"/>
    <w:rsid w:val="00D87DE6"/>
    <w:rsid w:val="00D90C42"/>
    <w:rsid w:val="00D91594"/>
    <w:rsid w:val="00D91EC1"/>
    <w:rsid w:val="00D930DD"/>
    <w:rsid w:val="00D941F8"/>
    <w:rsid w:val="00D95190"/>
    <w:rsid w:val="00D96457"/>
    <w:rsid w:val="00D97B51"/>
    <w:rsid w:val="00D97E7C"/>
    <w:rsid w:val="00D97F8D"/>
    <w:rsid w:val="00DA0A6B"/>
    <w:rsid w:val="00DA1F6B"/>
    <w:rsid w:val="00DA298B"/>
    <w:rsid w:val="00DB009C"/>
    <w:rsid w:val="00DB2F87"/>
    <w:rsid w:val="00DB30C8"/>
    <w:rsid w:val="00DB4E38"/>
    <w:rsid w:val="00DB563C"/>
    <w:rsid w:val="00DB610F"/>
    <w:rsid w:val="00DC0592"/>
    <w:rsid w:val="00DC1883"/>
    <w:rsid w:val="00DC1DFB"/>
    <w:rsid w:val="00DC2EA9"/>
    <w:rsid w:val="00DC32FB"/>
    <w:rsid w:val="00DC3EBA"/>
    <w:rsid w:val="00DC3FF8"/>
    <w:rsid w:val="00DC6BC8"/>
    <w:rsid w:val="00DC7BC8"/>
    <w:rsid w:val="00DD005B"/>
    <w:rsid w:val="00DD013E"/>
    <w:rsid w:val="00DD057B"/>
    <w:rsid w:val="00DD0E8B"/>
    <w:rsid w:val="00DD1211"/>
    <w:rsid w:val="00DD16D9"/>
    <w:rsid w:val="00DD1F72"/>
    <w:rsid w:val="00DD2BEC"/>
    <w:rsid w:val="00DD2F17"/>
    <w:rsid w:val="00DD3843"/>
    <w:rsid w:val="00DE130E"/>
    <w:rsid w:val="00DE3215"/>
    <w:rsid w:val="00DE3803"/>
    <w:rsid w:val="00DE389F"/>
    <w:rsid w:val="00DE3B33"/>
    <w:rsid w:val="00DE42BD"/>
    <w:rsid w:val="00DE43A9"/>
    <w:rsid w:val="00DE6F47"/>
    <w:rsid w:val="00DE7606"/>
    <w:rsid w:val="00DF06D5"/>
    <w:rsid w:val="00DF0D02"/>
    <w:rsid w:val="00DF161A"/>
    <w:rsid w:val="00DF1D20"/>
    <w:rsid w:val="00DF29AC"/>
    <w:rsid w:val="00DF3EFC"/>
    <w:rsid w:val="00DF40D3"/>
    <w:rsid w:val="00DF40E5"/>
    <w:rsid w:val="00DF4C73"/>
    <w:rsid w:val="00DF5307"/>
    <w:rsid w:val="00DF5788"/>
    <w:rsid w:val="00DF5982"/>
    <w:rsid w:val="00DF6464"/>
    <w:rsid w:val="00DF6A93"/>
    <w:rsid w:val="00DF7B66"/>
    <w:rsid w:val="00E051E2"/>
    <w:rsid w:val="00E072DF"/>
    <w:rsid w:val="00E114F2"/>
    <w:rsid w:val="00E140D5"/>
    <w:rsid w:val="00E142B9"/>
    <w:rsid w:val="00E15219"/>
    <w:rsid w:val="00E17F2D"/>
    <w:rsid w:val="00E20E09"/>
    <w:rsid w:val="00E20E23"/>
    <w:rsid w:val="00E21000"/>
    <w:rsid w:val="00E21FB7"/>
    <w:rsid w:val="00E27D07"/>
    <w:rsid w:val="00E3202D"/>
    <w:rsid w:val="00E34885"/>
    <w:rsid w:val="00E35BC7"/>
    <w:rsid w:val="00E3688A"/>
    <w:rsid w:val="00E4138B"/>
    <w:rsid w:val="00E41B02"/>
    <w:rsid w:val="00E4298E"/>
    <w:rsid w:val="00E42D73"/>
    <w:rsid w:val="00E435E2"/>
    <w:rsid w:val="00E435EB"/>
    <w:rsid w:val="00E4373F"/>
    <w:rsid w:val="00E43885"/>
    <w:rsid w:val="00E45433"/>
    <w:rsid w:val="00E52692"/>
    <w:rsid w:val="00E53474"/>
    <w:rsid w:val="00E5413F"/>
    <w:rsid w:val="00E5544E"/>
    <w:rsid w:val="00E56EEC"/>
    <w:rsid w:val="00E57395"/>
    <w:rsid w:val="00E60F8F"/>
    <w:rsid w:val="00E63B4D"/>
    <w:rsid w:val="00E65B4C"/>
    <w:rsid w:val="00E67C61"/>
    <w:rsid w:val="00E70930"/>
    <w:rsid w:val="00E70A2F"/>
    <w:rsid w:val="00E7180E"/>
    <w:rsid w:val="00E71C2C"/>
    <w:rsid w:val="00E72208"/>
    <w:rsid w:val="00E72FEC"/>
    <w:rsid w:val="00E751E3"/>
    <w:rsid w:val="00E777A5"/>
    <w:rsid w:val="00E81E00"/>
    <w:rsid w:val="00E81FA1"/>
    <w:rsid w:val="00E83C38"/>
    <w:rsid w:val="00E86002"/>
    <w:rsid w:val="00E86547"/>
    <w:rsid w:val="00E87B61"/>
    <w:rsid w:val="00E913AF"/>
    <w:rsid w:val="00E9422A"/>
    <w:rsid w:val="00E95508"/>
    <w:rsid w:val="00E960A2"/>
    <w:rsid w:val="00E96421"/>
    <w:rsid w:val="00E96706"/>
    <w:rsid w:val="00E97395"/>
    <w:rsid w:val="00EA6043"/>
    <w:rsid w:val="00EA65A4"/>
    <w:rsid w:val="00EB27CC"/>
    <w:rsid w:val="00EB4EEF"/>
    <w:rsid w:val="00EC0393"/>
    <w:rsid w:val="00EC097F"/>
    <w:rsid w:val="00EC1C69"/>
    <w:rsid w:val="00EC214A"/>
    <w:rsid w:val="00EC2465"/>
    <w:rsid w:val="00EC27FD"/>
    <w:rsid w:val="00EC518B"/>
    <w:rsid w:val="00EC687D"/>
    <w:rsid w:val="00ED188B"/>
    <w:rsid w:val="00ED4D86"/>
    <w:rsid w:val="00ED53E2"/>
    <w:rsid w:val="00ED64BD"/>
    <w:rsid w:val="00ED6546"/>
    <w:rsid w:val="00ED74CF"/>
    <w:rsid w:val="00EE0D65"/>
    <w:rsid w:val="00EE3F8B"/>
    <w:rsid w:val="00EE4674"/>
    <w:rsid w:val="00EE47EF"/>
    <w:rsid w:val="00EE52E9"/>
    <w:rsid w:val="00EE586F"/>
    <w:rsid w:val="00EE6BDD"/>
    <w:rsid w:val="00EE7702"/>
    <w:rsid w:val="00EE7AC6"/>
    <w:rsid w:val="00EF1020"/>
    <w:rsid w:val="00EF1FF4"/>
    <w:rsid w:val="00EF2487"/>
    <w:rsid w:val="00EF2C8F"/>
    <w:rsid w:val="00EF59F4"/>
    <w:rsid w:val="00EF6738"/>
    <w:rsid w:val="00EF7D69"/>
    <w:rsid w:val="00EF7EEC"/>
    <w:rsid w:val="00F01A68"/>
    <w:rsid w:val="00F03D37"/>
    <w:rsid w:val="00F0462F"/>
    <w:rsid w:val="00F04806"/>
    <w:rsid w:val="00F064ED"/>
    <w:rsid w:val="00F077C6"/>
    <w:rsid w:val="00F1001A"/>
    <w:rsid w:val="00F14EDD"/>
    <w:rsid w:val="00F15570"/>
    <w:rsid w:val="00F157F1"/>
    <w:rsid w:val="00F16C9D"/>
    <w:rsid w:val="00F17F39"/>
    <w:rsid w:val="00F227D2"/>
    <w:rsid w:val="00F23C3A"/>
    <w:rsid w:val="00F252AE"/>
    <w:rsid w:val="00F2626D"/>
    <w:rsid w:val="00F309D3"/>
    <w:rsid w:val="00F31244"/>
    <w:rsid w:val="00F34586"/>
    <w:rsid w:val="00F348DB"/>
    <w:rsid w:val="00F36393"/>
    <w:rsid w:val="00F36CAD"/>
    <w:rsid w:val="00F40538"/>
    <w:rsid w:val="00F41992"/>
    <w:rsid w:val="00F43413"/>
    <w:rsid w:val="00F4458E"/>
    <w:rsid w:val="00F46C3C"/>
    <w:rsid w:val="00F46C4E"/>
    <w:rsid w:val="00F47DFD"/>
    <w:rsid w:val="00F5087E"/>
    <w:rsid w:val="00F50E85"/>
    <w:rsid w:val="00F51445"/>
    <w:rsid w:val="00F52FC7"/>
    <w:rsid w:val="00F552B9"/>
    <w:rsid w:val="00F56EF4"/>
    <w:rsid w:val="00F57A51"/>
    <w:rsid w:val="00F60BC3"/>
    <w:rsid w:val="00F6283A"/>
    <w:rsid w:val="00F63311"/>
    <w:rsid w:val="00F63974"/>
    <w:rsid w:val="00F6635E"/>
    <w:rsid w:val="00F66D9A"/>
    <w:rsid w:val="00F66F57"/>
    <w:rsid w:val="00F7067B"/>
    <w:rsid w:val="00F728A2"/>
    <w:rsid w:val="00F728CA"/>
    <w:rsid w:val="00F73D5F"/>
    <w:rsid w:val="00F75AD7"/>
    <w:rsid w:val="00F760E2"/>
    <w:rsid w:val="00F76FDE"/>
    <w:rsid w:val="00F77869"/>
    <w:rsid w:val="00F829E6"/>
    <w:rsid w:val="00F87BE4"/>
    <w:rsid w:val="00F945AD"/>
    <w:rsid w:val="00F9479C"/>
    <w:rsid w:val="00F95CB3"/>
    <w:rsid w:val="00F9663B"/>
    <w:rsid w:val="00F96AEA"/>
    <w:rsid w:val="00F97588"/>
    <w:rsid w:val="00F97F9B"/>
    <w:rsid w:val="00FA0B46"/>
    <w:rsid w:val="00FA12A4"/>
    <w:rsid w:val="00FA2C6E"/>
    <w:rsid w:val="00FA3FC2"/>
    <w:rsid w:val="00FA5CD0"/>
    <w:rsid w:val="00FA7023"/>
    <w:rsid w:val="00FB1DFD"/>
    <w:rsid w:val="00FB5592"/>
    <w:rsid w:val="00FB6287"/>
    <w:rsid w:val="00FC01A7"/>
    <w:rsid w:val="00FC0D10"/>
    <w:rsid w:val="00FC0EFA"/>
    <w:rsid w:val="00FC2CDB"/>
    <w:rsid w:val="00FC4D31"/>
    <w:rsid w:val="00FC5B3D"/>
    <w:rsid w:val="00FC697B"/>
    <w:rsid w:val="00FD21B8"/>
    <w:rsid w:val="00FD4AFB"/>
    <w:rsid w:val="00FD5D47"/>
    <w:rsid w:val="00FD740E"/>
    <w:rsid w:val="00FD7658"/>
    <w:rsid w:val="00FD7AC5"/>
    <w:rsid w:val="00FD7C12"/>
    <w:rsid w:val="00FE2D40"/>
    <w:rsid w:val="00FE4E45"/>
    <w:rsid w:val="00FE53AA"/>
    <w:rsid w:val="00FE56DD"/>
    <w:rsid w:val="00FE5C93"/>
    <w:rsid w:val="00FE7962"/>
    <w:rsid w:val="00FE7D35"/>
    <w:rsid w:val="00FF02CC"/>
    <w:rsid w:val="00FF04DB"/>
    <w:rsid w:val="00FF1528"/>
    <w:rsid w:val="00FF1C5A"/>
    <w:rsid w:val="00FF3E1A"/>
    <w:rsid w:val="00FF6338"/>
    <w:rsid w:val="00FF727B"/>
    <w:rsid w:val="00FF740B"/>
    <w:rsid w:val="00FF7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C51B5"/>
  <w15:chartTrackingRefBased/>
  <w15:docId w15:val="{CB3CCDE7-2706-4C3F-92F0-30435BB8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FA0"/>
    <w:pPr>
      <w:spacing w:after="200" w:line="276" w:lineRule="auto"/>
    </w:pPr>
    <w:rPr>
      <w:rFonts w:eastAsiaTheme="minorEastAsia"/>
      <w:lang w:eastAsia="ru-RU"/>
    </w:rPr>
  </w:style>
  <w:style w:type="paragraph" w:styleId="1">
    <w:name w:val="heading 1"/>
    <w:basedOn w:val="a"/>
    <w:link w:val="10"/>
    <w:uiPriority w:val="9"/>
    <w:qFormat/>
    <w:rsid w:val="004145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0A3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6C0A33"/>
    <w:pPr>
      <w:spacing w:after="0" w:line="240" w:lineRule="auto"/>
    </w:pPr>
  </w:style>
  <w:style w:type="paragraph" w:styleId="a5">
    <w:name w:val="header"/>
    <w:basedOn w:val="a"/>
    <w:link w:val="a6"/>
    <w:uiPriority w:val="99"/>
    <w:unhideWhenUsed/>
    <w:rsid w:val="006C0A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0A33"/>
    <w:rPr>
      <w:rFonts w:eastAsiaTheme="minorEastAsia"/>
      <w:lang w:eastAsia="ru-RU"/>
    </w:rPr>
  </w:style>
  <w:style w:type="paragraph" w:styleId="a7">
    <w:name w:val="footer"/>
    <w:basedOn w:val="a"/>
    <w:link w:val="a8"/>
    <w:uiPriority w:val="99"/>
    <w:unhideWhenUsed/>
    <w:rsid w:val="006C0A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0A33"/>
    <w:rPr>
      <w:rFonts w:eastAsiaTheme="minorEastAsia"/>
      <w:lang w:eastAsia="ru-RU"/>
    </w:rPr>
  </w:style>
  <w:style w:type="paragraph" w:styleId="a9">
    <w:name w:val="Balloon Text"/>
    <w:basedOn w:val="a"/>
    <w:link w:val="aa"/>
    <w:uiPriority w:val="99"/>
    <w:semiHidden/>
    <w:unhideWhenUsed/>
    <w:rsid w:val="006C0A3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0A33"/>
    <w:rPr>
      <w:rFonts w:ascii="Tahoma" w:eastAsiaTheme="minorEastAsia" w:hAnsi="Tahoma" w:cs="Tahoma"/>
      <w:sz w:val="16"/>
      <w:szCs w:val="16"/>
      <w:lang w:eastAsia="ru-RU"/>
    </w:rPr>
  </w:style>
  <w:style w:type="paragraph" w:styleId="ab">
    <w:name w:val="List Paragraph"/>
    <w:basedOn w:val="a"/>
    <w:uiPriority w:val="34"/>
    <w:qFormat/>
    <w:rsid w:val="006C0A33"/>
    <w:pPr>
      <w:ind w:left="720"/>
      <w:contextualSpacing/>
    </w:pPr>
  </w:style>
  <w:style w:type="character" w:customStyle="1" w:styleId="11">
    <w:name w:val="Верхний колонтитул Знак1"/>
    <w:basedOn w:val="a0"/>
    <w:uiPriority w:val="99"/>
    <w:semiHidden/>
    <w:rsid w:val="006C0A33"/>
    <w:rPr>
      <w:rFonts w:ascii="Times New Roman" w:eastAsiaTheme="minorEastAsia" w:hAnsi="Times New Roman" w:cs="Times New Roman" w:hint="default"/>
      <w:lang w:eastAsia="ru-RU"/>
    </w:rPr>
  </w:style>
  <w:style w:type="character" w:customStyle="1" w:styleId="12">
    <w:name w:val="Нижний колонтитул Знак1"/>
    <w:basedOn w:val="a0"/>
    <w:uiPriority w:val="99"/>
    <w:semiHidden/>
    <w:rsid w:val="006C0A33"/>
    <w:rPr>
      <w:rFonts w:ascii="Times New Roman" w:eastAsiaTheme="minorEastAsia" w:hAnsi="Times New Roman" w:cs="Times New Roman" w:hint="default"/>
      <w:lang w:eastAsia="ru-RU"/>
    </w:rPr>
  </w:style>
  <w:style w:type="character" w:customStyle="1" w:styleId="13">
    <w:name w:val="Текст выноски Знак1"/>
    <w:basedOn w:val="a0"/>
    <w:uiPriority w:val="99"/>
    <w:semiHidden/>
    <w:rsid w:val="006C0A33"/>
    <w:rPr>
      <w:rFonts w:ascii="Tahoma" w:eastAsiaTheme="minorEastAsia" w:hAnsi="Tahoma" w:cs="Tahoma" w:hint="default"/>
      <w:sz w:val="16"/>
      <w:szCs w:val="16"/>
      <w:lang w:eastAsia="ru-RU"/>
    </w:rPr>
  </w:style>
  <w:style w:type="character" w:customStyle="1" w:styleId="ac">
    <w:name w:val="Основной текст Знак"/>
    <w:basedOn w:val="a0"/>
    <w:uiPriority w:val="99"/>
    <w:semiHidden/>
    <w:rsid w:val="006C0A33"/>
  </w:style>
  <w:style w:type="character" w:styleId="ad">
    <w:name w:val="Strong"/>
    <w:basedOn w:val="a0"/>
    <w:uiPriority w:val="22"/>
    <w:qFormat/>
    <w:rsid w:val="006C0A33"/>
    <w:rPr>
      <w:b/>
      <w:bCs/>
    </w:rPr>
  </w:style>
  <w:style w:type="character" w:styleId="ae">
    <w:name w:val="Hyperlink"/>
    <w:basedOn w:val="a0"/>
    <w:uiPriority w:val="99"/>
    <w:unhideWhenUsed/>
    <w:rsid w:val="006C0A33"/>
    <w:rPr>
      <w:color w:val="0000FF"/>
      <w:u w:val="single"/>
    </w:rPr>
  </w:style>
  <w:style w:type="character" w:styleId="af">
    <w:name w:val="FollowedHyperlink"/>
    <w:basedOn w:val="a0"/>
    <w:uiPriority w:val="99"/>
    <w:semiHidden/>
    <w:unhideWhenUsed/>
    <w:rsid w:val="006C0A33"/>
    <w:rPr>
      <w:color w:val="800080"/>
      <w:u w:val="single"/>
    </w:rPr>
  </w:style>
  <w:style w:type="table" w:styleId="af0">
    <w:name w:val="Table Grid"/>
    <w:basedOn w:val="a1"/>
    <w:uiPriority w:val="39"/>
    <w:rsid w:val="006C0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402B5B"/>
  </w:style>
  <w:style w:type="paragraph" w:styleId="af1">
    <w:name w:val="Bibliography"/>
    <w:basedOn w:val="a"/>
    <w:next w:val="a"/>
    <w:uiPriority w:val="37"/>
    <w:unhideWhenUsed/>
    <w:rsid w:val="0035378C"/>
  </w:style>
  <w:style w:type="paragraph" w:customStyle="1" w:styleId="p">
    <w:name w:val="p"/>
    <w:basedOn w:val="a"/>
    <w:rsid w:val="00E3202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5349BD"/>
    <w:rPr>
      <w:i/>
      <w:iCs/>
    </w:rPr>
  </w:style>
  <w:style w:type="character" w:customStyle="1" w:styleId="mixed-citation">
    <w:name w:val="mixed-citation"/>
    <w:basedOn w:val="a0"/>
    <w:rsid w:val="00437776"/>
  </w:style>
  <w:style w:type="character" w:customStyle="1" w:styleId="10">
    <w:name w:val="Заголовок 1 Знак"/>
    <w:basedOn w:val="a0"/>
    <w:link w:val="1"/>
    <w:uiPriority w:val="9"/>
    <w:rsid w:val="0041456A"/>
    <w:rPr>
      <w:rFonts w:ascii="Times New Roman" w:eastAsia="Times New Roman" w:hAnsi="Times New Roman" w:cs="Times New Roman"/>
      <w:b/>
      <w:bCs/>
      <w:kern w:val="36"/>
      <w:sz w:val="48"/>
      <w:szCs w:val="48"/>
      <w:lang w:eastAsia="ru-RU"/>
    </w:rPr>
  </w:style>
  <w:style w:type="character" w:customStyle="1" w:styleId="author-sup-separator">
    <w:name w:val="author-sup-separator"/>
    <w:basedOn w:val="a0"/>
    <w:rsid w:val="00D56399"/>
  </w:style>
  <w:style w:type="character" w:styleId="af3">
    <w:name w:val="annotation reference"/>
    <w:basedOn w:val="a0"/>
    <w:uiPriority w:val="99"/>
    <w:semiHidden/>
    <w:unhideWhenUsed/>
    <w:rsid w:val="000A0294"/>
    <w:rPr>
      <w:sz w:val="16"/>
      <w:szCs w:val="16"/>
    </w:rPr>
  </w:style>
  <w:style w:type="paragraph" w:styleId="af4">
    <w:name w:val="annotation text"/>
    <w:basedOn w:val="a"/>
    <w:link w:val="af5"/>
    <w:uiPriority w:val="99"/>
    <w:semiHidden/>
    <w:unhideWhenUsed/>
    <w:rsid w:val="000A0294"/>
    <w:pPr>
      <w:spacing w:line="240" w:lineRule="auto"/>
    </w:pPr>
    <w:rPr>
      <w:sz w:val="20"/>
      <w:szCs w:val="20"/>
    </w:rPr>
  </w:style>
  <w:style w:type="character" w:customStyle="1" w:styleId="af5">
    <w:name w:val="Текст примечания Знак"/>
    <w:basedOn w:val="a0"/>
    <w:link w:val="af4"/>
    <w:uiPriority w:val="99"/>
    <w:semiHidden/>
    <w:rsid w:val="000A0294"/>
    <w:rPr>
      <w:rFonts w:eastAsiaTheme="minorEastAsia"/>
      <w:sz w:val="20"/>
      <w:szCs w:val="20"/>
      <w:lang w:eastAsia="ru-RU"/>
    </w:rPr>
  </w:style>
  <w:style w:type="paragraph" w:styleId="af6">
    <w:name w:val="annotation subject"/>
    <w:basedOn w:val="af4"/>
    <w:next w:val="af4"/>
    <w:link w:val="af7"/>
    <w:uiPriority w:val="99"/>
    <w:semiHidden/>
    <w:unhideWhenUsed/>
    <w:rsid w:val="000A0294"/>
    <w:rPr>
      <w:b/>
      <w:bCs/>
    </w:rPr>
  </w:style>
  <w:style w:type="character" w:customStyle="1" w:styleId="af7">
    <w:name w:val="Тема примечания Знак"/>
    <w:basedOn w:val="af5"/>
    <w:link w:val="af6"/>
    <w:uiPriority w:val="99"/>
    <w:semiHidden/>
    <w:rsid w:val="000A0294"/>
    <w:rPr>
      <w:rFonts w:eastAsiaTheme="minorEastAsia"/>
      <w:b/>
      <w:bCs/>
      <w:sz w:val="20"/>
      <w:szCs w:val="20"/>
      <w:lang w:eastAsia="ru-RU"/>
    </w:rPr>
  </w:style>
  <w:style w:type="character" w:styleId="af8">
    <w:name w:val="Placeholder Text"/>
    <w:basedOn w:val="a0"/>
    <w:uiPriority w:val="99"/>
    <w:semiHidden/>
    <w:rsid w:val="000A0294"/>
    <w:rPr>
      <w:color w:val="808080"/>
    </w:rPr>
  </w:style>
  <w:style w:type="table" w:styleId="14">
    <w:name w:val="Plain Table 1"/>
    <w:basedOn w:val="a1"/>
    <w:uiPriority w:val="41"/>
    <w:rsid w:val="00374D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9">
    <w:name w:val="Grid Table Light"/>
    <w:basedOn w:val="a1"/>
    <w:uiPriority w:val="40"/>
    <w:rsid w:val="00374D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a">
    <w:name w:val="Revision"/>
    <w:hidden/>
    <w:uiPriority w:val="99"/>
    <w:semiHidden/>
    <w:rsid w:val="00374DC5"/>
    <w:pPr>
      <w:spacing w:after="0" w:line="240" w:lineRule="auto"/>
    </w:pPr>
  </w:style>
  <w:style w:type="character" w:customStyle="1" w:styleId="15">
    <w:name w:val="Неразрешенное упоминание1"/>
    <w:basedOn w:val="a0"/>
    <w:uiPriority w:val="99"/>
    <w:semiHidden/>
    <w:unhideWhenUsed/>
    <w:rsid w:val="00C87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7336">
      <w:bodyDiv w:val="1"/>
      <w:marLeft w:val="0"/>
      <w:marRight w:val="0"/>
      <w:marTop w:val="0"/>
      <w:marBottom w:val="0"/>
      <w:divBdr>
        <w:top w:val="none" w:sz="0" w:space="0" w:color="auto"/>
        <w:left w:val="none" w:sz="0" w:space="0" w:color="auto"/>
        <w:bottom w:val="none" w:sz="0" w:space="0" w:color="auto"/>
        <w:right w:val="none" w:sz="0" w:space="0" w:color="auto"/>
      </w:divBdr>
    </w:div>
    <w:div w:id="301615883">
      <w:bodyDiv w:val="1"/>
      <w:marLeft w:val="0"/>
      <w:marRight w:val="0"/>
      <w:marTop w:val="0"/>
      <w:marBottom w:val="0"/>
      <w:divBdr>
        <w:top w:val="none" w:sz="0" w:space="0" w:color="auto"/>
        <w:left w:val="none" w:sz="0" w:space="0" w:color="auto"/>
        <w:bottom w:val="none" w:sz="0" w:space="0" w:color="auto"/>
        <w:right w:val="none" w:sz="0" w:space="0" w:color="auto"/>
      </w:divBdr>
    </w:div>
    <w:div w:id="670449840">
      <w:bodyDiv w:val="1"/>
      <w:marLeft w:val="0"/>
      <w:marRight w:val="0"/>
      <w:marTop w:val="0"/>
      <w:marBottom w:val="0"/>
      <w:divBdr>
        <w:top w:val="none" w:sz="0" w:space="0" w:color="auto"/>
        <w:left w:val="none" w:sz="0" w:space="0" w:color="auto"/>
        <w:bottom w:val="none" w:sz="0" w:space="0" w:color="auto"/>
        <w:right w:val="none" w:sz="0" w:space="0" w:color="auto"/>
      </w:divBdr>
    </w:div>
    <w:div w:id="704257382">
      <w:bodyDiv w:val="1"/>
      <w:marLeft w:val="0"/>
      <w:marRight w:val="0"/>
      <w:marTop w:val="0"/>
      <w:marBottom w:val="0"/>
      <w:divBdr>
        <w:top w:val="none" w:sz="0" w:space="0" w:color="auto"/>
        <w:left w:val="none" w:sz="0" w:space="0" w:color="auto"/>
        <w:bottom w:val="none" w:sz="0" w:space="0" w:color="auto"/>
        <w:right w:val="none" w:sz="0" w:space="0" w:color="auto"/>
      </w:divBdr>
    </w:div>
    <w:div w:id="901985830">
      <w:bodyDiv w:val="1"/>
      <w:marLeft w:val="0"/>
      <w:marRight w:val="0"/>
      <w:marTop w:val="0"/>
      <w:marBottom w:val="0"/>
      <w:divBdr>
        <w:top w:val="none" w:sz="0" w:space="0" w:color="auto"/>
        <w:left w:val="none" w:sz="0" w:space="0" w:color="auto"/>
        <w:bottom w:val="none" w:sz="0" w:space="0" w:color="auto"/>
        <w:right w:val="none" w:sz="0" w:space="0" w:color="auto"/>
      </w:divBdr>
    </w:div>
    <w:div w:id="973945102">
      <w:bodyDiv w:val="1"/>
      <w:marLeft w:val="0"/>
      <w:marRight w:val="0"/>
      <w:marTop w:val="0"/>
      <w:marBottom w:val="0"/>
      <w:divBdr>
        <w:top w:val="none" w:sz="0" w:space="0" w:color="auto"/>
        <w:left w:val="none" w:sz="0" w:space="0" w:color="auto"/>
        <w:bottom w:val="none" w:sz="0" w:space="0" w:color="auto"/>
        <w:right w:val="none" w:sz="0" w:space="0" w:color="auto"/>
      </w:divBdr>
    </w:div>
    <w:div w:id="1172716912">
      <w:bodyDiv w:val="1"/>
      <w:marLeft w:val="0"/>
      <w:marRight w:val="0"/>
      <w:marTop w:val="0"/>
      <w:marBottom w:val="0"/>
      <w:divBdr>
        <w:top w:val="none" w:sz="0" w:space="0" w:color="auto"/>
        <w:left w:val="none" w:sz="0" w:space="0" w:color="auto"/>
        <w:bottom w:val="none" w:sz="0" w:space="0" w:color="auto"/>
        <w:right w:val="none" w:sz="0" w:space="0" w:color="auto"/>
      </w:divBdr>
    </w:div>
    <w:div w:id="1386103004">
      <w:bodyDiv w:val="1"/>
      <w:marLeft w:val="0"/>
      <w:marRight w:val="0"/>
      <w:marTop w:val="0"/>
      <w:marBottom w:val="0"/>
      <w:divBdr>
        <w:top w:val="none" w:sz="0" w:space="0" w:color="auto"/>
        <w:left w:val="none" w:sz="0" w:space="0" w:color="auto"/>
        <w:bottom w:val="none" w:sz="0" w:space="0" w:color="auto"/>
        <w:right w:val="none" w:sz="0" w:space="0" w:color="auto"/>
      </w:divBdr>
    </w:div>
    <w:div w:id="1596280896">
      <w:bodyDiv w:val="1"/>
      <w:marLeft w:val="0"/>
      <w:marRight w:val="0"/>
      <w:marTop w:val="0"/>
      <w:marBottom w:val="0"/>
      <w:divBdr>
        <w:top w:val="none" w:sz="0" w:space="0" w:color="auto"/>
        <w:left w:val="none" w:sz="0" w:space="0" w:color="auto"/>
        <w:bottom w:val="none" w:sz="0" w:space="0" w:color="auto"/>
        <w:right w:val="none" w:sz="0" w:space="0" w:color="auto"/>
      </w:divBdr>
    </w:div>
    <w:div w:id="1654677323">
      <w:bodyDiv w:val="1"/>
      <w:marLeft w:val="0"/>
      <w:marRight w:val="0"/>
      <w:marTop w:val="0"/>
      <w:marBottom w:val="0"/>
      <w:divBdr>
        <w:top w:val="none" w:sz="0" w:space="0" w:color="auto"/>
        <w:left w:val="none" w:sz="0" w:space="0" w:color="auto"/>
        <w:bottom w:val="none" w:sz="0" w:space="0" w:color="auto"/>
        <w:right w:val="none" w:sz="0" w:space="0" w:color="auto"/>
      </w:divBdr>
    </w:div>
    <w:div w:id="1817917243">
      <w:bodyDiv w:val="1"/>
      <w:marLeft w:val="0"/>
      <w:marRight w:val="0"/>
      <w:marTop w:val="0"/>
      <w:marBottom w:val="0"/>
      <w:divBdr>
        <w:top w:val="none" w:sz="0" w:space="0" w:color="auto"/>
        <w:left w:val="none" w:sz="0" w:space="0" w:color="auto"/>
        <w:bottom w:val="none" w:sz="0" w:space="0" w:color="auto"/>
        <w:right w:val="none" w:sz="0" w:space="0" w:color="auto"/>
      </w:divBdr>
    </w:div>
    <w:div w:id="210255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371/journal.pone.0269474" TargetMode="External"/><Relationship Id="rId34" Type="http://schemas.microsoft.com/office/2007/relationships/diagramDrawing" Target="diagrams/drawing1.xml"/><Relationship Id="rId42" Type="http://schemas.openxmlformats.org/officeDocument/2006/relationships/footer" Target="footer3.xml"/><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hyperlink" Target="https://www.who.int/standards/classifications/classification-of-diseases" TargetMode="External"/><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png"/><Relationship Id="rId28" Type="http://schemas.microsoft.com/office/2014/relationships/chartEx" Target="charts/chartEx1.xml"/><Relationship Id="rId36" Type="http://schemas.openxmlformats.org/officeDocument/2006/relationships/image" Target="media/image12.png"/><Relationship Id="rId49" Type="http://schemas.openxmlformats.org/officeDocument/2006/relationships/image" Target="media/image20.png"/><Relationship Id="rId10" Type="http://schemas.openxmlformats.org/officeDocument/2006/relationships/hyperlink" Target="https://www.ncbi.nlm.nih.gov/pubmed/?term=Yamada%20T%5BAuthor%5D&amp;cauthor=true&amp;cauthor_uid=25892043" TargetMode="External"/><Relationship Id="rId19" Type="http://schemas.openxmlformats.org/officeDocument/2006/relationships/image" Target="media/image9.png"/><Relationship Id="rId31" Type="http://schemas.openxmlformats.org/officeDocument/2006/relationships/diagramLayout" Target="diagrams/layout1.xm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pubmed.ncbi.nlm.nih.gov/?sort=pubdate&amp;term=Gursoy+H&amp;cauthor_id=23865604" TargetMode="External"/><Relationship Id="rId14" Type="http://schemas.openxmlformats.org/officeDocument/2006/relationships/image" Target="media/image4.png"/><Relationship Id="rId30" Type="http://schemas.openxmlformats.org/officeDocument/2006/relationships/diagramData" Target="diagrams/data1.xm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hyperlink" Target="https://pubmed.ncbi.nlm.nih.gov/?sort=pubdate&amp;term=Baltussen+R&amp;cauthor_id=18621429"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diagramColors" Target="diagrams/colors1.xml"/><Relationship Id="rId38" Type="http://schemas.openxmlformats.org/officeDocument/2006/relationships/hyperlink" Target="https://aapos.org/glossary/vision-screening-description" TargetMode="External"/><Relationship Id="rId46" Type="http://schemas.openxmlformats.org/officeDocument/2006/relationships/image" Target="media/image17.png"/></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sus\Desktop\&#1058;&#1072;&#1073;&#1083;&#1080;&#1094;&#1099;%20&#1084;&#1086;&#1080;\&#1058;&#1072;&#1073;&#1083;&#1080;&#1094;&#1099;%20&#1076;&#1083;&#1103;%20&#1075;&#1088;&#1072;&#1092;&#1080;&#1082;&#1086;&#1074;.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'SER (4)'!$A$2:$A$1232</cx:f>
        <cx:lvl ptCount="1231">
          <cx:pt idx="0">1 класс</cx:pt>
          <cx:pt idx="1">1 класс</cx:pt>
          <cx:pt idx="2">1 класс</cx:pt>
          <cx:pt idx="3">1 класс</cx:pt>
          <cx:pt idx="4">1 класс</cx:pt>
          <cx:pt idx="5">1 класс</cx:pt>
          <cx:pt idx="6">1 класс</cx:pt>
          <cx:pt idx="7">1 класс</cx:pt>
          <cx:pt idx="8">1 класс</cx:pt>
          <cx:pt idx="9">1 класс</cx:pt>
          <cx:pt idx="10">1 класс</cx:pt>
          <cx:pt idx="11">1 класс</cx:pt>
          <cx:pt idx="12">1 класс</cx:pt>
          <cx:pt idx="13">1 класс</cx:pt>
          <cx:pt idx="14">1 класс</cx:pt>
          <cx:pt idx="15">1 класс</cx:pt>
          <cx:pt idx="16">1 класс</cx:pt>
          <cx:pt idx="17">1 класс</cx:pt>
          <cx:pt idx="18">1 класс</cx:pt>
          <cx:pt idx="19">1 класс</cx:pt>
          <cx:pt idx="20">1 класс</cx:pt>
          <cx:pt idx="21">1 класс</cx:pt>
          <cx:pt idx="22">1 класс</cx:pt>
          <cx:pt idx="23">1 класс</cx:pt>
          <cx:pt idx="24">1 класс</cx:pt>
          <cx:pt idx="25">1 класс</cx:pt>
          <cx:pt idx="26">1 класс</cx:pt>
          <cx:pt idx="27">1 класс</cx:pt>
          <cx:pt idx="28">1 класс</cx:pt>
          <cx:pt idx="29">1 класс</cx:pt>
          <cx:pt idx="30">1 класс</cx:pt>
          <cx:pt idx="31">1 класс</cx:pt>
          <cx:pt idx="32">1 класс</cx:pt>
          <cx:pt idx="33">1 класс</cx:pt>
          <cx:pt idx="34">1 класс</cx:pt>
          <cx:pt idx="35">1 класс</cx:pt>
          <cx:pt idx="36">1 класс</cx:pt>
          <cx:pt idx="37">1 класс</cx:pt>
          <cx:pt idx="38">1 класс</cx:pt>
          <cx:pt idx="39">1 класс</cx:pt>
          <cx:pt idx="40">1 класс</cx:pt>
          <cx:pt idx="41">1 класс</cx:pt>
          <cx:pt idx="42">1 класс</cx:pt>
          <cx:pt idx="43">1 класс</cx:pt>
          <cx:pt idx="44">1 класс</cx:pt>
          <cx:pt idx="45">1 класс</cx:pt>
          <cx:pt idx="46">1 класс</cx:pt>
          <cx:pt idx="47">1 класс</cx:pt>
          <cx:pt idx="48">1 класс</cx:pt>
          <cx:pt idx="49">1 класс</cx:pt>
          <cx:pt idx="50">1 класс</cx:pt>
          <cx:pt idx="51">1 класс</cx:pt>
          <cx:pt idx="52">1 класс</cx:pt>
          <cx:pt idx="53">1 класс</cx:pt>
          <cx:pt idx="54">1 класс</cx:pt>
          <cx:pt idx="55">1 класс</cx:pt>
          <cx:pt idx="56">1 класс</cx:pt>
          <cx:pt idx="57">1 класс</cx:pt>
          <cx:pt idx="58">1 класс</cx:pt>
          <cx:pt idx="59">1 класс</cx:pt>
          <cx:pt idx="60">1 класс</cx:pt>
          <cx:pt idx="61">1 класс</cx:pt>
          <cx:pt idx="62">1 класс</cx:pt>
          <cx:pt idx="63">1 класс</cx:pt>
          <cx:pt idx="64">1 класс</cx:pt>
          <cx:pt idx="65">1 класс</cx:pt>
          <cx:pt idx="66">1 класс</cx:pt>
          <cx:pt idx="67">1 класс</cx:pt>
          <cx:pt idx="68">1 класс</cx:pt>
          <cx:pt idx="69">1 класс</cx:pt>
          <cx:pt idx="70">1 класс</cx:pt>
          <cx:pt idx="71">1 класс</cx:pt>
          <cx:pt idx="72">1 класс</cx:pt>
          <cx:pt idx="73">1 класс</cx:pt>
          <cx:pt idx="74">1 класс</cx:pt>
          <cx:pt idx="75">1 класс</cx:pt>
          <cx:pt idx="76">1 класс</cx:pt>
          <cx:pt idx="77">1 класс</cx:pt>
          <cx:pt idx="78">1 класс</cx:pt>
          <cx:pt idx="79">1 класс</cx:pt>
          <cx:pt idx="80">1 класс</cx:pt>
          <cx:pt idx="81">1 класс</cx:pt>
          <cx:pt idx="82">1 класс</cx:pt>
          <cx:pt idx="83">1 класс</cx:pt>
          <cx:pt idx="84">1 класс</cx:pt>
          <cx:pt idx="85">1 класс</cx:pt>
          <cx:pt idx="86">1 класс</cx:pt>
          <cx:pt idx="87">1 класс</cx:pt>
          <cx:pt idx="88">1 класс</cx:pt>
          <cx:pt idx="89">1 класс</cx:pt>
          <cx:pt idx="90">1 класс</cx:pt>
          <cx:pt idx="91">1 класс</cx:pt>
          <cx:pt idx="92">1 класс</cx:pt>
          <cx:pt idx="93">1 класс</cx:pt>
          <cx:pt idx="94">1 класс</cx:pt>
          <cx:pt idx="95">1 класс</cx:pt>
          <cx:pt idx="96">1 класс</cx:pt>
          <cx:pt idx="97">1 класс</cx:pt>
          <cx:pt idx="98">1 класс</cx:pt>
          <cx:pt idx="99">1 класс</cx:pt>
          <cx:pt idx="100">1 класс</cx:pt>
          <cx:pt idx="101">1 класс</cx:pt>
          <cx:pt idx="102">1 класс</cx:pt>
          <cx:pt idx="103">1 класс</cx:pt>
          <cx:pt idx="104">1 класс</cx:pt>
          <cx:pt idx="105">1 класс</cx:pt>
          <cx:pt idx="106">1 класс</cx:pt>
          <cx:pt idx="107">1 класс</cx:pt>
          <cx:pt idx="108">1 класс</cx:pt>
          <cx:pt idx="109">1 класс</cx:pt>
          <cx:pt idx="110">1 класс</cx:pt>
          <cx:pt idx="111">1 класс</cx:pt>
          <cx:pt idx="112">1 класс</cx:pt>
          <cx:pt idx="113">1 класс</cx:pt>
          <cx:pt idx="114">1 класс</cx:pt>
          <cx:pt idx="115">1 класс</cx:pt>
          <cx:pt idx="116">1 класс</cx:pt>
          <cx:pt idx="117">1 класс</cx:pt>
          <cx:pt idx="118">1 класс</cx:pt>
          <cx:pt idx="119">1 класс</cx:pt>
          <cx:pt idx="120">1 класс</cx:pt>
          <cx:pt idx="121">1 класс</cx:pt>
          <cx:pt idx="122">1 класс</cx:pt>
          <cx:pt idx="123">1 класс</cx:pt>
          <cx:pt idx="124">1 класс</cx:pt>
          <cx:pt idx="125">1 класс</cx:pt>
          <cx:pt idx="126">1 класс</cx:pt>
          <cx:pt idx="127">1 класс</cx:pt>
          <cx:pt idx="128">1 класс</cx:pt>
          <cx:pt idx="129">1 класс</cx:pt>
          <cx:pt idx="130">1 класс</cx:pt>
          <cx:pt idx="131">1 класс</cx:pt>
          <cx:pt idx="132">1 класс</cx:pt>
          <cx:pt idx="133">1 класс</cx:pt>
          <cx:pt idx="134">1 класс</cx:pt>
          <cx:pt idx="135">1 класс</cx:pt>
          <cx:pt idx="136">1 класс</cx:pt>
          <cx:pt idx="137">1 класс</cx:pt>
          <cx:pt idx="138">1 класс</cx:pt>
          <cx:pt idx="139">1 класс</cx:pt>
          <cx:pt idx="140">1 класс</cx:pt>
          <cx:pt idx="141">1 класс</cx:pt>
          <cx:pt idx="142">1 класс</cx:pt>
          <cx:pt idx="143">1 класс</cx:pt>
          <cx:pt idx="144">1 класс</cx:pt>
          <cx:pt idx="145">1 класс</cx:pt>
          <cx:pt idx="146">1 класс</cx:pt>
          <cx:pt idx="147">1 класс</cx:pt>
          <cx:pt idx="148">1 класс</cx:pt>
          <cx:pt idx="149">1 класс</cx:pt>
          <cx:pt idx="150">1 класс</cx:pt>
          <cx:pt idx="151">1 класс</cx:pt>
          <cx:pt idx="152">1 класс</cx:pt>
          <cx:pt idx="153">1 класс</cx:pt>
          <cx:pt idx="154">1 класс</cx:pt>
          <cx:pt idx="155">1 класс</cx:pt>
          <cx:pt idx="156">1 класс</cx:pt>
          <cx:pt idx="157">1 класс</cx:pt>
          <cx:pt idx="158">1 класс</cx:pt>
          <cx:pt idx="159">1 класс</cx:pt>
          <cx:pt idx="160">1 класс</cx:pt>
          <cx:pt idx="161">1 класс</cx:pt>
          <cx:pt idx="162">1 класс</cx:pt>
          <cx:pt idx="163">1 класс</cx:pt>
          <cx:pt idx="164">1 класс</cx:pt>
          <cx:pt idx="165">1 класс</cx:pt>
          <cx:pt idx="166">1 класс</cx:pt>
          <cx:pt idx="167">1 класс</cx:pt>
          <cx:pt idx="168">1 класс</cx:pt>
          <cx:pt idx="169">1 класс</cx:pt>
          <cx:pt idx="170">1 класс</cx:pt>
          <cx:pt idx="171">1 класс</cx:pt>
          <cx:pt idx="172">1 класс</cx:pt>
          <cx:pt idx="173">1 класс</cx:pt>
          <cx:pt idx="174">1 класс</cx:pt>
          <cx:pt idx="175">1 класс</cx:pt>
          <cx:pt idx="176">1 класс</cx:pt>
          <cx:pt idx="177">1 класс</cx:pt>
          <cx:pt idx="178">1 класс</cx:pt>
          <cx:pt idx="179">1 класс</cx:pt>
          <cx:pt idx="180">1 класс</cx:pt>
          <cx:pt idx="181">1 класс</cx:pt>
          <cx:pt idx="182">1 класс</cx:pt>
          <cx:pt idx="183">1 класс</cx:pt>
          <cx:pt idx="184">1 класс</cx:pt>
          <cx:pt idx="185">1 класс</cx:pt>
          <cx:pt idx="186">1 класс</cx:pt>
          <cx:pt idx="187">1 класс</cx:pt>
          <cx:pt idx="188">1 класс</cx:pt>
          <cx:pt idx="189">1 класс</cx:pt>
          <cx:pt idx="190">1 класс</cx:pt>
          <cx:pt idx="191">1 класс</cx:pt>
          <cx:pt idx="192">1 класс</cx:pt>
          <cx:pt idx="193">1 класс</cx:pt>
          <cx:pt idx="194">1 класс</cx:pt>
          <cx:pt idx="195">1 класс</cx:pt>
          <cx:pt idx="196">1 класс</cx:pt>
          <cx:pt idx="197">1 класс</cx:pt>
          <cx:pt idx="198">1 класс</cx:pt>
          <cx:pt idx="199">1 класс</cx:pt>
          <cx:pt idx="200">1 класс</cx:pt>
          <cx:pt idx="201">1 класс</cx:pt>
          <cx:pt idx="202">1 класс</cx:pt>
          <cx:pt idx="203">1 класс</cx:pt>
          <cx:pt idx="204">1 класс</cx:pt>
          <cx:pt idx="205">1 класс</cx:pt>
          <cx:pt idx="206">1 класс</cx:pt>
          <cx:pt idx="207">1 класс</cx:pt>
          <cx:pt idx="208">1 класс</cx:pt>
          <cx:pt idx="209">1 класс</cx:pt>
          <cx:pt idx="210">1 класс</cx:pt>
          <cx:pt idx="211">1 класс</cx:pt>
          <cx:pt idx="212">1 класс</cx:pt>
          <cx:pt idx="213">1 класс</cx:pt>
          <cx:pt idx="214">1 класс</cx:pt>
          <cx:pt idx="215">1 класс</cx:pt>
          <cx:pt idx="216">1 класс</cx:pt>
          <cx:pt idx="217">1 класс</cx:pt>
          <cx:pt idx="218">1 класс</cx:pt>
          <cx:pt idx="219">1 класс</cx:pt>
          <cx:pt idx="220">1 класс</cx:pt>
          <cx:pt idx="221">1 класс</cx:pt>
          <cx:pt idx="222">1 класс</cx:pt>
          <cx:pt idx="223">1 класс</cx:pt>
          <cx:pt idx="224">1 класс</cx:pt>
          <cx:pt idx="225">1 класс</cx:pt>
          <cx:pt idx="226">1 класс</cx:pt>
          <cx:pt idx="227">1 класс</cx:pt>
          <cx:pt idx="228">1 класс</cx:pt>
          <cx:pt idx="229">1 класс</cx:pt>
          <cx:pt idx="230">1 класс</cx:pt>
          <cx:pt idx="231">1 класс</cx:pt>
          <cx:pt idx="232">1 класс</cx:pt>
          <cx:pt idx="233">1 класс</cx:pt>
          <cx:pt idx="234">1 класс</cx:pt>
          <cx:pt idx="235">1 класс</cx:pt>
          <cx:pt idx="236">1 класс</cx:pt>
          <cx:pt idx="237">1 класс</cx:pt>
          <cx:pt idx="238">1 класс</cx:pt>
          <cx:pt idx="239">1 класс</cx:pt>
          <cx:pt idx="240">1 класс</cx:pt>
          <cx:pt idx="241">1 класс</cx:pt>
          <cx:pt idx="242">1 класс</cx:pt>
          <cx:pt idx="243">1 класс</cx:pt>
          <cx:pt idx="244">1 класс</cx:pt>
          <cx:pt idx="245">1 класс</cx:pt>
          <cx:pt idx="246">1 класс</cx:pt>
          <cx:pt idx="247">1 класс</cx:pt>
          <cx:pt idx="248">1 класс</cx:pt>
          <cx:pt idx="249">1 класс</cx:pt>
          <cx:pt idx="250">1 класс</cx:pt>
          <cx:pt idx="251">1 класс</cx:pt>
          <cx:pt idx="252">1 класс</cx:pt>
          <cx:pt idx="253">1 класс</cx:pt>
          <cx:pt idx="254">1 класс</cx:pt>
          <cx:pt idx="255">1 класс</cx:pt>
          <cx:pt idx="256">1 класс</cx:pt>
          <cx:pt idx="257">1 класс</cx:pt>
          <cx:pt idx="258">1 класс</cx:pt>
          <cx:pt idx="259">1 класс</cx:pt>
          <cx:pt idx="260">1 класс</cx:pt>
          <cx:pt idx="261">1 класс</cx:pt>
          <cx:pt idx="262">1 класс</cx:pt>
          <cx:pt idx="263">1 класс</cx:pt>
          <cx:pt idx="264">1 класс</cx:pt>
          <cx:pt idx="265">1 класс</cx:pt>
          <cx:pt idx="266">1 класс</cx:pt>
          <cx:pt idx="267">1 класс</cx:pt>
          <cx:pt idx="268">1 класс</cx:pt>
          <cx:pt idx="269">1 класс</cx:pt>
          <cx:pt idx="270">1 класс</cx:pt>
          <cx:pt idx="271">1 класс</cx:pt>
          <cx:pt idx="272">1 класс</cx:pt>
          <cx:pt idx="273">1 класс</cx:pt>
          <cx:pt idx="274">1 класс</cx:pt>
          <cx:pt idx="275">1 класс</cx:pt>
          <cx:pt idx="276">1 класс</cx:pt>
          <cx:pt idx="277">1 класс</cx:pt>
          <cx:pt idx="278">1 класс</cx:pt>
          <cx:pt idx="279">1 класс</cx:pt>
          <cx:pt idx="280">1 класс</cx:pt>
          <cx:pt idx="281">1 класс</cx:pt>
          <cx:pt idx="282">1 класс</cx:pt>
          <cx:pt idx="283">1 класс</cx:pt>
          <cx:pt idx="284">1 класс</cx:pt>
          <cx:pt idx="285">1 класс</cx:pt>
          <cx:pt idx="286">1 класс</cx:pt>
          <cx:pt idx="287">1 класс</cx:pt>
          <cx:pt idx="288">1 класс</cx:pt>
          <cx:pt idx="289">1 класс</cx:pt>
          <cx:pt idx="290">1 класс</cx:pt>
          <cx:pt idx="291">1 класс</cx:pt>
          <cx:pt idx="292">1 класс</cx:pt>
          <cx:pt idx="293">1 класс</cx:pt>
          <cx:pt idx="294">1 класс</cx:pt>
          <cx:pt idx="295">1 класс</cx:pt>
          <cx:pt idx="296">1 класс</cx:pt>
          <cx:pt idx="297">1 класс</cx:pt>
          <cx:pt idx="298">1 класс</cx:pt>
          <cx:pt idx="299">1 класс</cx:pt>
          <cx:pt idx="300">1 класс</cx:pt>
          <cx:pt idx="301">1 класс</cx:pt>
          <cx:pt idx="302">1 класс</cx:pt>
          <cx:pt idx="303">1 класс</cx:pt>
          <cx:pt idx="304">1 класс</cx:pt>
          <cx:pt idx="305">1 класс</cx:pt>
          <cx:pt idx="306">1 класс</cx:pt>
          <cx:pt idx="307">1 класс</cx:pt>
          <cx:pt idx="308">1 класс</cx:pt>
          <cx:pt idx="309">1 класс</cx:pt>
          <cx:pt idx="310">1 класс</cx:pt>
          <cx:pt idx="311">1 класс</cx:pt>
          <cx:pt idx="312">1 класс</cx:pt>
          <cx:pt idx="313">1 класс</cx:pt>
          <cx:pt idx="314">1 класс</cx:pt>
          <cx:pt idx="315">1 класс</cx:pt>
          <cx:pt idx="316">1 класс</cx:pt>
          <cx:pt idx="317">1 класс</cx:pt>
          <cx:pt idx="318">1 класс</cx:pt>
          <cx:pt idx="319">1 класс</cx:pt>
          <cx:pt idx="320">1 класс</cx:pt>
          <cx:pt idx="321">1 класс</cx:pt>
          <cx:pt idx="322">1 класс</cx:pt>
          <cx:pt idx="323">1 класс</cx:pt>
          <cx:pt idx="324">1 класс</cx:pt>
          <cx:pt idx="325">1 класс</cx:pt>
          <cx:pt idx="326">1 класс</cx:pt>
          <cx:pt idx="327">1 класс</cx:pt>
          <cx:pt idx="328">1 класс</cx:pt>
          <cx:pt idx="329">1 класс</cx:pt>
          <cx:pt idx="330">1 класс</cx:pt>
          <cx:pt idx="331">1 класс</cx:pt>
          <cx:pt idx="332">1 класс</cx:pt>
          <cx:pt idx="333">1 класс</cx:pt>
          <cx:pt idx="334">1 класс</cx:pt>
          <cx:pt idx="335">1 класс</cx:pt>
          <cx:pt idx="336">1 класс</cx:pt>
          <cx:pt idx="337">1 класс</cx:pt>
          <cx:pt idx="338">1 класс</cx:pt>
          <cx:pt idx="339">1 класс</cx:pt>
          <cx:pt idx="340">1 класс</cx:pt>
          <cx:pt idx="341">1 класс</cx:pt>
          <cx:pt idx="342">1 класс</cx:pt>
          <cx:pt idx="343">1 класс</cx:pt>
          <cx:pt idx="344">1 класс</cx:pt>
          <cx:pt idx="345">1 класс</cx:pt>
          <cx:pt idx="346">1 класс</cx:pt>
          <cx:pt idx="347">1 класс</cx:pt>
          <cx:pt idx="348">1 класс</cx:pt>
          <cx:pt idx="349">1 класс</cx:pt>
          <cx:pt idx="350">1 класс</cx:pt>
          <cx:pt idx="351">1 класс</cx:pt>
          <cx:pt idx="352">1 класс</cx:pt>
          <cx:pt idx="353">1 класс</cx:pt>
          <cx:pt idx="354">1 класс</cx:pt>
          <cx:pt idx="355">1 класс</cx:pt>
          <cx:pt idx="356">1 класс</cx:pt>
          <cx:pt idx="357">1 класс</cx:pt>
          <cx:pt idx="358">1 класс</cx:pt>
          <cx:pt idx="359">1 класс</cx:pt>
          <cx:pt idx="360">1 класс</cx:pt>
          <cx:pt idx="361">1 класс</cx:pt>
          <cx:pt idx="362">1 класс</cx:pt>
          <cx:pt idx="363">1 класс</cx:pt>
          <cx:pt idx="364">1 класс</cx:pt>
          <cx:pt idx="365">1 класс</cx:pt>
          <cx:pt idx="366">1 класс</cx:pt>
          <cx:pt idx="367">1 класс</cx:pt>
          <cx:pt idx="368">1 класс</cx:pt>
          <cx:pt idx="369">1 класс</cx:pt>
          <cx:pt idx="370">1 класс</cx:pt>
          <cx:pt idx="371">1 класс</cx:pt>
          <cx:pt idx="372">1 класс</cx:pt>
          <cx:pt idx="373">1 класс</cx:pt>
          <cx:pt idx="374">1 класс</cx:pt>
          <cx:pt idx="375">1 класс</cx:pt>
          <cx:pt idx="376">1 класс</cx:pt>
          <cx:pt idx="377">1 класс</cx:pt>
          <cx:pt idx="378">1 класс</cx:pt>
          <cx:pt idx="379">1 класс</cx:pt>
          <cx:pt idx="380">1 класс</cx:pt>
          <cx:pt idx="381">1 класс</cx:pt>
          <cx:pt idx="382">1 класс</cx:pt>
          <cx:pt idx="383">1 класс</cx:pt>
          <cx:pt idx="384">1 класс</cx:pt>
          <cx:pt idx="385">1 класс</cx:pt>
          <cx:pt idx="386">1 класс</cx:pt>
          <cx:pt idx="387">1 класс</cx:pt>
          <cx:pt idx="388">1 класс</cx:pt>
          <cx:pt idx="389">1 класс</cx:pt>
          <cx:pt idx="390">1 класс</cx:pt>
          <cx:pt idx="391">1 класс</cx:pt>
          <cx:pt idx="392">1 класс</cx:pt>
          <cx:pt idx="393">1 класс</cx:pt>
          <cx:pt idx="394">1 класс</cx:pt>
          <cx:pt idx="395">1 класс</cx:pt>
          <cx:pt idx="396">1 класс</cx:pt>
          <cx:pt idx="397">1 класс</cx:pt>
          <cx:pt idx="398">1 класс</cx:pt>
          <cx:pt idx="399">1 класс</cx:pt>
          <cx:pt idx="400">1 класс</cx:pt>
          <cx:pt idx="401">1 класс</cx:pt>
          <cx:pt idx="402">1 класс</cx:pt>
          <cx:pt idx="403">1 класс</cx:pt>
          <cx:pt idx="404">1 класс</cx:pt>
          <cx:pt idx="405">1 класс</cx:pt>
          <cx:pt idx="406">1 класс</cx:pt>
          <cx:pt idx="407">1 класс</cx:pt>
          <cx:pt idx="408">1 класс</cx:pt>
          <cx:pt idx="409">1 класс</cx:pt>
          <cx:pt idx="410">1 класс</cx:pt>
          <cx:pt idx="411">1 класс</cx:pt>
          <cx:pt idx="412">1 класс</cx:pt>
          <cx:pt idx="413">5 класс</cx:pt>
          <cx:pt idx="414">5 класс</cx:pt>
          <cx:pt idx="415">5 класс</cx:pt>
          <cx:pt idx="416">5 класс</cx:pt>
          <cx:pt idx="417">5 класс</cx:pt>
          <cx:pt idx="418">5 класс</cx:pt>
          <cx:pt idx="419">5 класс</cx:pt>
          <cx:pt idx="420">5 класс</cx:pt>
          <cx:pt idx="421">5 класс</cx:pt>
          <cx:pt idx="422">5 класс</cx:pt>
          <cx:pt idx="423">5 класс</cx:pt>
          <cx:pt idx="424">5 класс</cx:pt>
          <cx:pt idx="425">5 класс</cx:pt>
          <cx:pt idx="426">5 класс</cx:pt>
          <cx:pt idx="427">5 класс</cx:pt>
          <cx:pt idx="428">5 класс</cx:pt>
          <cx:pt idx="429">5 класс</cx:pt>
          <cx:pt idx="430">5 класс</cx:pt>
          <cx:pt idx="431">5 класс</cx:pt>
          <cx:pt idx="432">5 класс</cx:pt>
          <cx:pt idx="433">5 класс</cx:pt>
          <cx:pt idx="434">5 класс</cx:pt>
          <cx:pt idx="435">5 класс</cx:pt>
          <cx:pt idx="436">5 класс</cx:pt>
          <cx:pt idx="437">5 класс</cx:pt>
          <cx:pt idx="438">5 класс</cx:pt>
          <cx:pt idx="439">5 класс</cx:pt>
          <cx:pt idx="440">5 класс</cx:pt>
          <cx:pt idx="441">5 класс</cx:pt>
          <cx:pt idx="442">5 класс</cx:pt>
          <cx:pt idx="443">5 класс</cx:pt>
          <cx:pt idx="444">5 класс</cx:pt>
          <cx:pt idx="445">5 класс</cx:pt>
          <cx:pt idx="446">5 класс</cx:pt>
          <cx:pt idx="447">5 класс</cx:pt>
          <cx:pt idx="448">5 класс</cx:pt>
          <cx:pt idx="449">5 класс</cx:pt>
          <cx:pt idx="450">5 класс</cx:pt>
          <cx:pt idx="451">5 класс</cx:pt>
          <cx:pt idx="452">5 класс</cx:pt>
          <cx:pt idx="453">5 класс</cx:pt>
          <cx:pt idx="454">5 класс</cx:pt>
          <cx:pt idx="455">5 класс</cx:pt>
          <cx:pt idx="456">5 класс</cx:pt>
          <cx:pt idx="457">5 класс</cx:pt>
          <cx:pt idx="458">5 класс</cx:pt>
          <cx:pt idx="459">5 класс</cx:pt>
          <cx:pt idx="460">5 класс</cx:pt>
          <cx:pt idx="461">5 класс</cx:pt>
          <cx:pt idx="462">5 класс</cx:pt>
          <cx:pt idx="463">5 класс</cx:pt>
          <cx:pt idx="464">5 класс</cx:pt>
          <cx:pt idx="465">5 класс</cx:pt>
          <cx:pt idx="466">5 класс</cx:pt>
          <cx:pt idx="467">5 класс</cx:pt>
          <cx:pt idx="468">5 класс</cx:pt>
          <cx:pt idx="469">5 класс</cx:pt>
          <cx:pt idx="470">5 класс</cx:pt>
          <cx:pt idx="471">5 класс</cx:pt>
          <cx:pt idx="472">5 класс</cx:pt>
          <cx:pt idx="473">5 класс</cx:pt>
          <cx:pt idx="474">5 класс</cx:pt>
          <cx:pt idx="475">5 класс</cx:pt>
          <cx:pt idx="476">5 класс</cx:pt>
          <cx:pt idx="477">5 класс</cx:pt>
          <cx:pt idx="478">5 класс</cx:pt>
          <cx:pt idx="479">5 класс</cx:pt>
          <cx:pt idx="480">5 класс</cx:pt>
          <cx:pt idx="481">5 класс</cx:pt>
          <cx:pt idx="482">5 класс</cx:pt>
          <cx:pt idx="483">5 класс</cx:pt>
          <cx:pt idx="484">5 класс</cx:pt>
          <cx:pt idx="485">5 класс</cx:pt>
          <cx:pt idx="486">5 класс</cx:pt>
          <cx:pt idx="487">5 класс</cx:pt>
          <cx:pt idx="488">5 класс</cx:pt>
          <cx:pt idx="489">5 класс</cx:pt>
          <cx:pt idx="490">5 класс</cx:pt>
          <cx:pt idx="491">5 класс</cx:pt>
          <cx:pt idx="492">5 класс</cx:pt>
          <cx:pt idx="493">5 класс</cx:pt>
          <cx:pt idx="494">5 класс</cx:pt>
          <cx:pt idx="495">5 класс</cx:pt>
          <cx:pt idx="496">5 класс</cx:pt>
          <cx:pt idx="497">5 класс</cx:pt>
          <cx:pt idx="498">5 класс</cx:pt>
          <cx:pt idx="499">5 класс</cx:pt>
          <cx:pt idx="500">5 класс</cx:pt>
          <cx:pt idx="501">5 класс</cx:pt>
          <cx:pt idx="502">5 класс</cx:pt>
          <cx:pt idx="503">5 класс</cx:pt>
          <cx:pt idx="504">5 класс</cx:pt>
          <cx:pt idx="505">5 класс</cx:pt>
          <cx:pt idx="506">5 класс</cx:pt>
          <cx:pt idx="507">5 класс</cx:pt>
          <cx:pt idx="508">5 класс</cx:pt>
          <cx:pt idx="509">5 класс</cx:pt>
          <cx:pt idx="510">5 класс</cx:pt>
          <cx:pt idx="511">5 класс</cx:pt>
          <cx:pt idx="512">5 класс</cx:pt>
          <cx:pt idx="513">5 класс</cx:pt>
          <cx:pt idx="514">5 класс</cx:pt>
          <cx:pt idx="515">5 класс</cx:pt>
          <cx:pt idx="516">5 класс</cx:pt>
          <cx:pt idx="517">5 класс</cx:pt>
          <cx:pt idx="518">5 класс</cx:pt>
          <cx:pt idx="519">5 класс</cx:pt>
          <cx:pt idx="520">5 класс</cx:pt>
          <cx:pt idx="521">5 класс</cx:pt>
          <cx:pt idx="522">5 класс</cx:pt>
          <cx:pt idx="523">5 класс</cx:pt>
          <cx:pt idx="524">5 класс</cx:pt>
          <cx:pt idx="525">5 класс</cx:pt>
          <cx:pt idx="526">5 класс</cx:pt>
          <cx:pt idx="527">5 класс</cx:pt>
          <cx:pt idx="528">5 класс</cx:pt>
          <cx:pt idx="529">5 класс</cx:pt>
          <cx:pt idx="530">5 класс</cx:pt>
          <cx:pt idx="531">5 класс</cx:pt>
          <cx:pt idx="532">5 класс</cx:pt>
          <cx:pt idx="533">5 класс</cx:pt>
          <cx:pt idx="534">5 класс</cx:pt>
          <cx:pt idx="535">5 класс</cx:pt>
          <cx:pt idx="536">5 класс</cx:pt>
          <cx:pt idx="537">5 класс</cx:pt>
          <cx:pt idx="538">5 класс</cx:pt>
          <cx:pt idx="539">5 класс</cx:pt>
          <cx:pt idx="540">5 класс</cx:pt>
          <cx:pt idx="541">5 класс</cx:pt>
          <cx:pt idx="542">5 класс</cx:pt>
          <cx:pt idx="543">5 класс</cx:pt>
          <cx:pt idx="544">5 класс</cx:pt>
          <cx:pt idx="545">5 класс</cx:pt>
          <cx:pt idx="546">5 класс</cx:pt>
          <cx:pt idx="547">5 класс</cx:pt>
          <cx:pt idx="548">5 класс</cx:pt>
          <cx:pt idx="549">5 класс</cx:pt>
          <cx:pt idx="550">5 класс</cx:pt>
          <cx:pt idx="551">5 класс</cx:pt>
          <cx:pt idx="552">5 класс</cx:pt>
          <cx:pt idx="553">5 класс</cx:pt>
          <cx:pt idx="554">5 класс</cx:pt>
          <cx:pt idx="555">5 класс</cx:pt>
          <cx:pt idx="556">5 класс</cx:pt>
          <cx:pt idx="557">5 класс</cx:pt>
          <cx:pt idx="558">5 класс</cx:pt>
          <cx:pt idx="559">5 класс</cx:pt>
          <cx:pt idx="560">5 класс</cx:pt>
          <cx:pt idx="561">5 класс</cx:pt>
          <cx:pt idx="562">5 класс</cx:pt>
          <cx:pt idx="563">5 класс</cx:pt>
          <cx:pt idx="564">5 класс</cx:pt>
          <cx:pt idx="565">5 класс</cx:pt>
          <cx:pt idx="566">5 класс</cx:pt>
          <cx:pt idx="567">5 класс</cx:pt>
          <cx:pt idx="568">5 класс</cx:pt>
          <cx:pt idx="569">5 класс</cx:pt>
          <cx:pt idx="570">5 класс</cx:pt>
          <cx:pt idx="571">5 класс</cx:pt>
          <cx:pt idx="572">5 класс</cx:pt>
          <cx:pt idx="573">5 класс</cx:pt>
          <cx:pt idx="574">5 класс</cx:pt>
          <cx:pt idx="575">5 класс</cx:pt>
          <cx:pt idx="576">5 класс</cx:pt>
          <cx:pt idx="577">5 класс</cx:pt>
          <cx:pt idx="578">5 класс</cx:pt>
          <cx:pt idx="579">5 класс</cx:pt>
          <cx:pt idx="580">5 класс</cx:pt>
          <cx:pt idx="581">5 класс</cx:pt>
          <cx:pt idx="582">5 класс</cx:pt>
          <cx:pt idx="583">5 класс</cx:pt>
          <cx:pt idx="584">5 класс</cx:pt>
          <cx:pt idx="585">5 класс</cx:pt>
          <cx:pt idx="586">5 класс</cx:pt>
          <cx:pt idx="587">5 класс</cx:pt>
          <cx:pt idx="588">5 класс</cx:pt>
          <cx:pt idx="589">5 класс</cx:pt>
          <cx:pt idx="590">5 класс</cx:pt>
          <cx:pt idx="591">5 класс</cx:pt>
          <cx:pt idx="592">5 класс</cx:pt>
          <cx:pt idx="593">5 класс</cx:pt>
          <cx:pt idx="594">5 класс</cx:pt>
          <cx:pt idx="595">5 класс</cx:pt>
          <cx:pt idx="596">5 класс</cx:pt>
          <cx:pt idx="597">5 класс</cx:pt>
          <cx:pt idx="598">5 класс</cx:pt>
          <cx:pt idx="599">5 класс</cx:pt>
          <cx:pt idx="600">5 класс</cx:pt>
          <cx:pt idx="601">5 класс</cx:pt>
          <cx:pt idx="602">5 класс</cx:pt>
          <cx:pt idx="603">5 класс</cx:pt>
          <cx:pt idx="604">5 класс</cx:pt>
          <cx:pt idx="605">5 класс</cx:pt>
          <cx:pt idx="606">5 класс</cx:pt>
          <cx:pt idx="607">5 класс</cx:pt>
          <cx:pt idx="608">5 класс</cx:pt>
          <cx:pt idx="609">5 класс</cx:pt>
          <cx:pt idx="610">5 класс</cx:pt>
          <cx:pt idx="611">5 класс</cx:pt>
          <cx:pt idx="612">5 класс</cx:pt>
          <cx:pt idx="613">5 класс</cx:pt>
          <cx:pt idx="614">5 класс</cx:pt>
          <cx:pt idx="615">5 класс</cx:pt>
          <cx:pt idx="616">5 класс</cx:pt>
          <cx:pt idx="617">5 класс</cx:pt>
          <cx:pt idx="618">5 класс</cx:pt>
          <cx:pt idx="619">5 класс</cx:pt>
          <cx:pt idx="620">5 класс</cx:pt>
          <cx:pt idx="621">5 класс</cx:pt>
          <cx:pt idx="622">5 класс</cx:pt>
          <cx:pt idx="623">5 класс</cx:pt>
          <cx:pt idx="624">5 класс</cx:pt>
          <cx:pt idx="625">5 класс</cx:pt>
          <cx:pt idx="626">5 класс</cx:pt>
          <cx:pt idx="627">5 класс</cx:pt>
          <cx:pt idx="628">5 класс</cx:pt>
          <cx:pt idx="629">5 класс</cx:pt>
          <cx:pt idx="630">5 класс</cx:pt>
          <cx:pt idx="631">5 класс</cx:pt>
          <cx:pt idx="632">5 класс</cx:pt>
          <cx:pt idx="633">5 класс</cx:pt>
          <cx:pt idx="634">5 класс</cx:pt>
          <cx:pt idx="635">5 класс</cx:pt>
          <cx:pt idx="636">5 класс</cx:pt>
          <cx:pt idx="637">5 класс</cx:pt>
          <cx:pt idx="638">5 класс</cx:pt>
          <cx:pt idx="639">5 класс</cx:pt>
          <cx:pt idx="640">5 класс</cx:pt>
          <cx:pt idx="641">5 класс</cx:pt>
          <cx:pt idx="642">5 класс</cx:pt>
          <cx:pt idx="643">5 класс</cx:pt>
          <cx:pt idx="644">5 класс</cx:pt>
          <cx:pt idx="645">5 класс</cx:pt>
          <cx:pt idx="646">5 класс</cx:pt>
          <cx:pt idx="647">5 класс</cx:pt>
          <cx:pt idx="648">5 класс</cx:pt>
          <cx:pt idx="649">5 класс</cx:pt>
          <cx:pt idx="650">5 класс</cx:pt>
          <cx:pt idx="651">5 класс</cx:pt>
          <cx:pt idx="652">5 класс</cx:pt>
          <cx:pt idx="653">5 класс</cx:pt>
          <cx:pt idx="654">5 класс</cx:pt>
          <cx:pt idx="655">5 класс</cx:pt>
          <cx:pt idx="656">5 класс</cx:pt>
          <cx:pt idx="657">5 класс</cx:pt>
          <cx:pt idx="658">5 класс</cx:pt>
          <cx:pt idx="659">5 класс</cx:pt>
          <cx:pt idx="660">5 класс</cx:pt>
          <cx:pt idx="661">5 класс</cx:pt>
          <cx:pt idx="662">5 класс</cx:pt>
          <cx:pt idx="663">5 класс</cx:pt>
          <cx:pt idx="664">5 класс</cx:pt>
          <cx:pt idx="665">5 класс</cx:pt>
          <cx:pt idx="666">5 класс</cx:pt>
          <cx:pt idx="667">5 класс</cx:pt>
          <cx:pt idx="668">5 класс</cx:pt>
          <cx:pt idx="669">5 класс</cx:pt>
          <cx:pt idx="670">5 класс</cx:pt>
          <cx:pt idx="671">5 класс</cx:pt>
          <cx:pt idx="672">5 класс</cx:pt>
          <cx:pt idx="673">5 класс</cx:pt>
          <cx:pt idx="674">5 класс</cx:pt>
          <cx:pt idx="675">5 класс</cx:pt>
          <cx:pt idx="676">5 класс</cx:pt>
          <cx:pt idx="677">5 класс</cx:pt>
          <cx:pt idx="678">5 класс</cx:pt>
          <cx:pt idx="679">5 класс</cx:pt>
          <cx:pt idx="680">5 класс</cx:pt>
          <cx:pt idx="681">5 класс</cx:pt>
          <cx:pt idx="682">5 класс</cx:pt>
          <cx:pt idx="683">5 класс</cx:pt>
          <cx:pt idx="684">5 класс</cx:pt>
          <cx:pt idx="685">5 класс</cx:pt>
          <cx:pt idx="686">5 класс</cx:pt>
          <cx:pt idx="687">5 класс</cx:pt>
          <cx:pt idx="688">5 класс</cx:pt>
          <cx:pt idx="689">5 класс</cx:pt>
          <cx:pt idx="690">5 класс</cx:pt>
          <cx:pt idx="691">5 класс</cx:pt>
          <cx:pt idx="692">5 класс</cx:pt>
          <cx:pt idx="693">5 класс</cx:pt>
          <cx:pt idx="694">5 класс</cx:pt>
          <cx:pt idx="695">5 класс</cx:pt>
          <cx:pt idx="696">5 класс</cx:pt>
          <cx:pt idx="697">5 класс</cx:pt>
          <cx:pt idx="698">5 класс</cx:pt>
          <cx:pt idx="699">5 класс</cx:pt>
          <cx:pt idx="700">5 класс</cx:pt>
          <cx:pt idx="701">5 класс</cx:pt>
          <cx:pt idx="702">5 класс</cx:pt>
          <cx:pt idx="703">5 класс</cx:pt>
          <cx:pt idx="704">5 класс</cx:pt>
          <cx:pt idx="705">5 класс</cx:pt>
          <cx:pt idx="706">5 класс</cx:pt>
          <cx:pt idx="707">5 класс</cx:pt>
          <cx:pt idx="708">5 класс</cx:pt>
          <cx:pt idx="709">5 класс</cx:pt>
          <cx:pt idx="710">5 класс</cx:pt>
          <cx:pt idx="711">5 класс</cx:pt>
          <cx:pt idx="712">5 класс</cx:pt>
          <cx:pt idx="713">5 класс</cx:pt>
          <cx:pt idx="714">5 класс</cx:pt>
          <cx:pt idx="715">5 класс</cx:pt>
          <cx:pt idx="716">5 класс</cx:pt>
          <cx:pt idx="717">5 класс</cx:pt>
          <cx:pt idx="718">5 класс</cx:pt>
          <cx:pt idx="719">5 класс</cx:pt>
          <cx:pt idx="720">5 класс</cx:pt>
          <cx:pt idx="721">5 класс</cx:pt>
          <cx:pt idx="722">5 класс</cx:pt>
          <cx:pt idx="723">5 класс</cx:pt>
          <cx:pt idx="724">5 класс</cx:pt>
          <cx:pt idx="725">5 класс</cx:pt>
          <cx:pt idx="726">5 класс</cx:pt>
          <cx:pt idx="727">5 класс</cx:pt>
          <cx:pt idx="728">5 класс</cx:pt>
          <cx:pt idx="729">5 класс</cx:pt>
          <cx:pt idx="730">5 класс</cx:pt>
          <cx:pt idx="731">5 класс</cx:pt>
          <cx:pt idx="732">5 класс</cx:pt>
          <cx:pt idx="733">5 класс</cx:pt>
          <cx:pt idx="734">5 класс</cx:pt>
          <cx:pt idx="735">5 класс</cx:pt>
          <cx:pt idx="736">5 класс</cx:pt>
          <cx:pt idx="737">5 класс</cx:pt>
          <cx:pt idx="738">5 класс</cx:pt>
          <cx:pt idx="739">5 класс</cx:pt>
          <cx:pt idx="740">5 класс</cx:pt>
          <cx:pt idx="741">5 класс</cx:pt>
          <cx:pt idx="742">5 класс</cx:pt>
          <cx:pt idx="743">5 класс</cx:pt>
          <cx:pt idx="744">5 класс</cx:pt>
          <cx:pt idx="745">5 класс</cx:pt>
          <cx:pt idx="746">5 класс</cx:pt>
          <cx:pt idx="747">5 класс</cx:pt>
          <cx:pt idx="748">5 класс</cx:pt>
          <cx:pt idx="749">5 класс</cx:pt>
          <cx:pt idx="750">5 класс</cx:pt>
          <cx:pt idx="751">5 класс</cx:pt>
          <cx:pt idx="752">5 класс</cx:pt>
          <cx:pt idx="753">5 класс</cx:pt>
          <cx:pt idx="754">5 класс</cx:pt>
          <cx:pt idx="755">5 класс</cx:pt>
          <cx:pt idx="756">5 класс</cx:pt>
          <cx:pt idx="757">5 класс</cx:pt>
          <cx:pt idx="758">5 класс</cx:pt>
          <cx:pt idx="759">5 класс</cx:pt>
          <cx:pt idx="760">5 класс</cx:pt>
          <cx:pt idx="761">5 класс</cx:pt>
          <cx:pt idx="762">5 класс</cx:pt>
          <cx:pt idx="763">5 класс</cx:pt>
          <cx:pt idx="764">5 класс</cx:pt>
          <cx:pt idx="765">5 класс</cx:pt>
          <cx:pt idx="766">5 класс</cx:pt>
          <cx:pt idx="767">5 класс</cx:pt>
          <cx:pt idx="768">5 класс</cx:pt>
          <cx:pt idx="769">5 класс</cx:pt>
          <cx:pt idx="770">5 класс</cx:pt>
          <cx:pt idx="771">5 класс</cx:pt>
          <cx:pt idx="772">5 класс</cx:pt>
          <cx:pt idx="773">5 класс</cx:pt>
          <cx:pt idx="774">5 класс</cx:pt>
          <cx:pt idx="775">5 класс</cx:pt>
          <cx:pt idx="776">5 класс</cx:pt>
          <cx:pt idx="777">5 класс</cx:pt>
          <cx:pt idx="778">5 класс</cx:pt>
          <cx:pt idx="779">5 класс</cx:pt>
          <cx:pt idx="780">5 класс</cx:pt>
          <cx:pt idx="781">5 класс</cx:pt>
          <cx:pt idx="782">5 класс</cx:pt>
          <cx:pt idx="783">5 класс</cx:pt>
          <cx:pt idx="784">5 класс</cx:pt>
          <cx:pt idx="785">5 класс</cx:pt>
          <cx:pt idx="786">5 класс</cx:pt>
          <cx:pt idx="787">5 класс</cx:pt>
          <cx:pt idx="788">5 класс</cx:pt>
          <cx:pt idx="789">5 класс</cx:pt>
          <cx:pt idx="790">5 класс</cx:pt>
          <cx:pt idx="791">5 класс</cx:pt>
          <cx:pt idx="792">5 класс</cx:pt>
          <cx:pt idx="793">5 класс</cx:pt>
          <cx:pt idx="794">5 класс</cx:pt>
          <cx:pt idx="795">5 класс</cx:pt>
          <cx:pt idx="796">5 класс</cx:pt>
          <cx:pt idx="797">5 класс</cx:pt>
          <cx:pt idx="798">5 класс</cx:pt>
          <cx:pt idx="799">5 класс</cx:pt>
          <cx:pt idx="800">5 класс</cx:pt>
          <cx:pt idx="801">5 класс</cx:pt>
          <cx:pt idx="802">5 класс</cx:pt>
          <cx:pt idx="803">5 класс</cx:pt>
          <cx:pt idx="804">5 класс</cx:pt>
          <cx:pt idx="805">5 класс</cx:pt>
          <cx:pt idx="806">5 класс</cx:pt>
          <cx:pt idx="807">5 класс</cx:pt>
          <cx:pt idx="808">5 класс</cx:pt>
          <cx:pt idx="809">5 класс</cx:pt>
          <cx:pt idx="810">5 класс</cx:pt>
          <cx:pt idx="811">5 класс</cx:pt>
          <cx:pt idx="812">5 класс</cx:pt>
          <cx:pt idx="813">5 класс</cx:pt>
          <cx:pt idx="814">5 класс</cx:pt>
          <cx:pt idx="815">9 класс</cx:pt>
          <cx:pt idx="816">9 класс</cx:pt>
          <cx:pt idx="817">9 класс</cx:pt>
          <cx:pt idx="818">9 класс</cx:pt>
          <cx:pt idx="819">9 класс</cx:pt>
          <cx:pt idx="820">9 класс</cx:pt>
          <cx:pt idx="821">9 класс</cx:pt>
          <cx:pt idx="822">9 класс</cx:pt>
          <cx:pt idx="823">9 класс</cx:pt>
          <cx:pt idx="824">9 класс</cx:pt>
          <cx:pt idx="825">9 класс</cx:pt>
          <cx:pt idx="826">9 класс</cx:pt>
          <cx:pt idx="827">9 класс</cx:pt>
          <cx:pt idx="828">9 класс</cx:pt>
          <cx:pt idx="829">9 класс</cx:pt>
          <cx:pt idx="830">9 класс</cx:pt>
          <cx:pt idx="831">9 класс</cx:pt>
          <cx:pt idx="832">9 класс</cx:pt>
          <cx:pt idx="833">9 класс</cx:pt>
          <cx:pt idx="834">9 класс</cx:pt>
          <cx:pt idx="835">9 класс</cx:pt>
          <cx:pt idx="836">9 класс</cx:pt>
          <cx:pt idx="837">9 класс</cx:pt>
          <cx:pt idx="838">9 класс</cx:pt>
          <cx:pt idx="839">9 класс</cx:pt>
          <cx:pt idx="840">9 класс</cx:pt>
          <cx:pt idx="841">9 класс</cx:pt>
          <cx:pt idx="842">9 класс</cx:pt>
          <cx:pt idx="843">9 класс</cx:pt>
          <cx:pt idx="844">9 класс</cx:pt>
          <cx:pt idx="845">9 класс</cx:pt>
          <cx:pt idx="846">9 класс</cx:pt>
          <cx:pt idx="847">9 класс</cx:pt>
          <cx:pt idx="848">9 класс</cx:pt>
          <cx:pt idx="849">9 класс</cx:pt>
          <cx:pt idx="850">9 класс</cx:pt>
          <cx:pt idx="851">9 класс</cx:pt>
          <cx:pt idx="852">9 класс</cx:pt>
          <cx:pt idx="853">9 класс</cx:pt>
          <cx:pt idx="854">9 класс</cx:pt>
          <cx:pt idx="855">9 класс</cx:pt>
          <cx:pt idx="856">9 класс</cx:pt>
          <cx:pt idx="857">9 класс</cx:pt>
          <cx:pt idx="858">9 класс</cx:pt>
          <cx:pt idx="859">9 класс</cx:pt>
          <cx:pt idx="860">9 класс</cx:pt>
          <cx:pt idx="861">9 класс</cx:pt>
          <cx:pt idx="862">9 класс</cx:pt>
          <cx:pt idx="863">9 класс</cx:pt>
          <cx:pt idx="864">9 класс</cx:pt>
          <cx:pt idx="865">9 класс</cx:pt>
          <cx:pt idx="866">9 класс</cx:pt>
          <cx:pt idx="867">9 класс</cx:pt>
          <cx:pt idx="868">9 класс</cx:pt>
          <cx:pt idx="869">9 класс</cx:pt>
          <cx:pt idx="870">9 класс</cx:pt>
          <cx:pt idx="871">9 класс</cx:pt>
          <cx:pt idx="872">9 класс</cx:pt>
          <cx:pt idx="873">9 класс</cx:pt>
          <cx:pt idx="874">9 класс</cx:pt>
          <cx:pt idx="875">9 класс</cx:pt>
          <cx:pt idx="876">9 класс</cx:pt>
          <cx:pt idx="877">9 класс</cx:pt>
          <cx:pt idx="878">9 класс</cx:pt>
          <cx:pt idx="879">9 класс</cx:pt>
          <cx:pt idx="880">9 класс</cx:pt>
          <cx:pt idx="881">9 класс</cx:pt>
          <cx:pt idx="882">9 класс</cx:pt>
          <cx:pt idx="883">9 класс</cx:pt>
          <cx:pt idx="884">9 класс</cx:pt>
          <cx:pt idx="885">9 класс</cx:pt>
          <cx:pt idx="886">9 класс</cx:pt>
          <cx:pt idx="887">9 класс</cx:pt>
          <cx:pt idx="888">9 класс</cx:pt>
          <cx:pt idx="889">9 класс</cx:pt>
          <cx:pt idx="890">9 класс</cx:pt>
          <cx:pt idx="891">9 класс</cx:pt>
          <cx:pt idx="892">9 класс</cx:pt>
          <cx:pt idx="893">9 класс</cx:pt>
          <cx:pt idx="894">9 класс</cx:pt>
          <cx:pt idx="895">9 класс</cx:pt>
          <cx:pt idx="896">9 класс</cx:pt>
          <cx:pt idx="897">9 класс</cx:pt>
          <cx:pt idx="898">9 класс</cx:pt>
          <cx:pt idx="899">9 класс</cx:pt>
          <cx:pt idx="900">9 класс</cx:pt>
          <cx:pt idx="901">9 класс</cx:pt>
          <cx:pt idx="902">9 класс</cx:pt>
          <cx:pt idx="903">9 класс</cx:pt>
          <cx:pt idx="904">9 класс</cx:pt>
          <cx:pt idx="905">9 класс</cx:pt>
          <cx:pt idx="906">9 класс</cx:pt>
          <cx:pt idx="907">9 класс</cx:pt>
          <cx:pt idx="908">9 класс</cx:pt>
          <cx:pt idx="909">9 класс</cx:pt>
          <cx:pt idx="910">9 класс</cx:pt>
          <cx:pt idx="911">9 класс</cx:pt>
          <cx:pt idx="912">9 класс</cx:pt>
          <cx:pt idx="913">9 класс</cx:pt>
          <cx:pt idx="914">9 класс</cx:pt>
          <cx:pt idx="915">9 класс</cx:pt>
          <cx:pt idx="916">9 класс</cx:pt>
          <cx:pt idx="917">9 класс</cx:pt>
          <cx:pt idx="918">9 класс</cx:pt>
          <cx:pt idx="919">9 класс</cx:pt>
          <cx:pt idx="920">9 класс</cx:pt>
          <cx:pt idx="921">9 класс</cx:pt>
          <cx:pt idx="922">9 класс</cx:pt>
          <cx:pt idx="923">9 класс</cx:pt>
          <cx:pt idx="924">9 класс</cx:pt>
          <cx:pt idx="925">9 класс</cx:pt>
          <cx:pt idx="926">9 класс</cx:pt>
          <cx:pt idx="927">9 класс</cx:pt>
          <cx:pt idx="928">9 класс</cx:pt>
          <cx:pt idx="929">9 класс</cx:pt>
          <cx:pt idx="930">9 класс</cx:pt>
          <cx:pt idx="931">9 класс</cx:pt>
          <cx:pt idx="932">9 класс</cx:pt>
          <cx:pt idx="933">9 класс</cx:pt>
          <cx:pt idx="934">9 класс</cx:pt>
          <cx:pt idx="935">9 класс</cx:pt>
          <cx:pt idx="936">9 класс</cx:pt>
          <cx:pt idx="937">9 класс</cx:pt>
          <cx:pt idx="938">9 класс</cx:pt>
          <cx:pt idx="939">9 класс</cx:pt>
          <cx:pt idx="940">9 класс</cx:pt>
          <cx:pt idx="941">9 класс</cx:pt>
          <cx:pt idx="942">9 класс</cx:pt>
          <cx:pt idx="943">9 класс</cx:pt>
          <cx:pt idx="944">9 класс</cx:pt>
          <cx:pt idx="945">9 класс</cx:pt>
          <cx:pt idx="946">9 класс</cx:pt>
          <cx:pt idx="947">9 класс</cx:pt>
          <cx:pt idx="948">9 класс</cx:pt>
          <cx:pt idx="949">9 класс</cx:pt>
          <cx:pt idx="950">9 класс</cx:pt>
          <cx:pt idx="951">9 класс</cx:pt>
          <cx:pt idx="952">9 класс</cx:pt>
          <cx:pt idx="953">9 класс</cx:pt>
          <cx:pt idx="954">9 класс</cx:pt>
          <cx:pt idx="955">9 класс</cx:pt>
          <cx:pt idx="956">9 класс</cx:pt>
          <cx:pt idx="957">9 класс</cx:pt>
          <cx:pt idx="958">9 класс</cx:pt>
          <cx:pt idx="959">9 класс</cx:pt>
          <cx:pt idx="960">9 класс</cx:pt>
          <cx:pt idx="961">9 класс</cx:pt>
          <cx:pt idx="962">9 класс</cx:pt>
          <cx:pt idx="963">9 класс</cx:pt>
          <cx:pt idx="964">9 класс</cx:pt>
          <cx:pt idx="965">9 класс</cx:pt>
          <cx:pt idx="966">9 класс</cx:pt>
          <cx:pt idx="967">9 класс</cx:pt>
          <cx:pt idx="968">9 класс</cx:pt>
          <cx:pt idx="969">9 класс</cx:pt>
          <cx:pt idx="970">9 класс</cx:pt>
          <cx:pt idx="971">9 класс</cx:pt>
          <cx:pt idx="972">9 класс</cx:pt>
          <cx:pt idx="973">9 класс</cx:pt>
          <cx:pt idx="974">9 класс</cx:pt>
          <cx:pt idx="975">9 класс</cx:pt>
          <cx:pt idx="976">9 класс</cx:pt>
          <cx:pt idx="977">9 класс</cx:pt>
          <cx:pt idx="978">9 класс</cx:pt>
          <cx:pt idx="979">9 класс</cx:pt>
          <cx:pt idx="980">9 класс</cx:pt>
          <cx:pt idx="981">9 класс</cx:pt>
          <cx:pt idx="982">9 класс</cx:pt>
          <cx:pt idx="983">9 класс</cx:pt>
          <cx:pt idx="984">9 класс</cx:pt>
          <cx:pt idx="985">9 класс</cx:pt>
          <cx:pt idx="986">9 класс</cx:pt>
          <cx:pt idx="987">9 класс</cx:pt>
          <cx:pt idx="988">9 класс</cx:pt>
          <cx:pt idx="989">9 класс</cx:pt>
          <cx:pt idx="990">9 класс</cx:pt>
          <cx:pt idx="991">9 класс</cx:pt>
          <cx:pt idx="992">9 класс</cx:pt>
          <cx:pt idx="993">9 класс</cx:pt>
          <cx:pt idx="994">9 класс</cx:pt>
          <cx:pt idx="995">9 класс</cx:pt>
          <cx:pt idx="996">9 класс</cx:pt>
          <cx:pt idx="997">9 класс</cx:pt>
          <cx:pt idx="998">9 класс</cx:pt>
          <cx:pt idx="999">9 класс</cx:pt>
          <cx:pt idx="1000">9 класс</cx:pt>
          <cx:pt idx="1001">9 класс</cx:pt>
          <cx:pt idx="1002">9 класс</cx:pt>
          <cx:pt idx="1003">9 класс</cx:pt>
          <cx:pt idx="1004">9 класс</cx:pt>
          <cx:pt idx="1005">9 класс</cx:pt>
          <cx:pt idx="1006">9 класс</cx:pt>
          <cx:pt idx="1007">9 класс</cx:pt>
          <cx:pt idx="1008">9 класс</cx:pt>
          <cx:pt idx="1009">9 класс</cx:pt>
          <cx:pt idx="1010">9 класс</cx:pt>
          <cx:pt idx="1011">9 класс</cx:pt>
          <cx:pt idx="1012">9 класс</cx:pt>
          <cx:pt idx="1013">9 класс</cx:pt>
          <cx:pt idx="1014">9 класс</cx:pt>
          <cx:pt idx="1015">9 класс</cx:pt>
          <cx:pt idx="1016">9 класс</cx:pt>
          <cx:pt idx="1017">9 класс</cx:pt>
          <cx:pt idx="1018">9 класс</cx:pt>
          <cx:pt idx="1019">9 класс</cx:pt>
          <cx:pt idx="1020">9 класс</cx:pt>
          <cx:pt idx="1021">9 класс</cx:pt>
          <cx:pt idx="1022">9 класс</cx:pt>
          <cx:pt idx="1023">9 класс</cx:pt>
          <cx:pt idx="1024">9 класс</cx:pt>
          <cx:pt idx="1025">9 класс</cx:pt>
          <cx:pt idx="1026">9 класс</cx:pt>
          <cx:pt idx="1027">9 класс</cx:pt>
          <cx:pt idx="1028">9 класс</cx:pt>
          <cx:pt idx="1029">9 класс</cx:pt>
          <cx:pt idx="1030">9 класс</cx:pt>
          <cx:pt idx="1031">9 класс</cx:pt>
          <cx:pt idx="1032">9 класс</cx:pt>
          <cx:pt idx="1033">9 класс</cx:pt>
          <cx:pt idx="1034">9 класс</cx:pt>
          <cx:pt idx="1035">9 класс</cx:pt>
          <cx:pt idx="1036">9 класс</cx:pt>
          <cx:pt idx="1037">9 класс</cx:pt>
          <cx:pt idx="1038">9 класс</cx:pt>
          <cx:pt idx="1039">9 класс</cx:pt>
          <cx:pt idx="1040">9 класс</cx:pt>
          <cx:pt idx="1041">9 класс</cx:pt>
          <cx:pt idx="1042">9 класс</cx:pt>
          <cx:pt idx="1043">9 класс</cx:pt>
          <cx:pt idx="1044">9 класс</cx:pt>
          <cx:pt idx="1045">9 класс</cx:pt>
          <cx:pt idx="1046">9 класс</cx:pt>
          <cx:pt idx="1047">9 класс</cx:pt>
          <cx:pt idx="1048">9 класс</cx:pt>
          <cx:pt idx="1049">9 класс</cx:pt>
          <cx:pt idx="1050">9 класс</cx:pt>
          <cx:pt idx="1051">9 класс</cx:pt>
          <cx:pt idx="1052">9 класс</cx:pt>
          <cx:pt idx="1053">9 класс</cx:pt>
          <cx:pt idx="1054">9 класс</cx:pt>
          <cx:pt idx="1055">9 класс</cx:pt>
          <cx:pt idx="1056">9 класс</cx:pt>
          <cx:pt idx="1057">9 класс</cx:pt>
          <cx:pt idx="1058">9 класс</cx:pt>
          <cx:pt idx="1059">9 класс</cx:pt>
          <cx:pt idx="1060">9 класс</cx:pt>
          <cx:pt idx="1061">9 класс</cx:pt>
          <cx:pt idx="1062">9 класс</cx:pt>
          <cx:pt idx="1063">9 класс</cx:pt>
          <cx:pt idx="1064">9 класс</cx:pt>
          <cx:pt idx="1065">9 класс</cx:pt>
          <cx:pt idx="1066">9 класс</cx:pt>
          <cx:pt idx="1067">9 класс</cx:pt>
          <cx:pt idx="1068">9 класс</cx:pt>
          <cx:pt idx="1069">9 класс</cx:pt>
          <cx:pt idx="1070">9 класс</cx:pt>
          <cx:pt idx="1071">9 класс</cx:pt>
          <cx:pt idx="1072">9 класс</cx:pt>
          <cx:pt idx="1073">9 класс</cx:pt>
          <cx:pt idx="1074">9 класс</cx:pt>
          <cx:pt idx="1075">9 класс</cx:pt>
          <cx:pt idx="1076">9 класс</cx:pt>
          <cx:pt idx="1077">9 класс</cx:pt>
          <cx:pt idx="1078">9 класс</cx:pt>
          <cx:pt idx="1079">9 класс</cx:pt>
          <cx:pt idx="1080">9 класс</cx:pt>
          <cx:pt idx="1081">9 класс</cx:pt>
          <cx:pt idx="1082">9 класс</cx:pt>
          <cx:pt idx="1083">9 класс</cx:pt>
          <cx:pt idx="1084">9 класс</cx:pt>
          <cx:pt idx="1085">9 класс</cx:pt>
          <cx:pt idx="1086">9 класс</cx:pt>
          <cx:pt idx="1087">9 класс</cx:pt>
          <cx:pt idx="1088">9 класс</cx:pt>
          <cx:pt idx="1089">9 класс</cx:pt>
          <cx:pt idx="1090">9 класс</cx:pt>
          <cx:pt idx="1091">9 класс</cx:pt>
          <cx:pt idx="1092">9 класс</cx:pt>
          <cx:pt idx="1093">9 класс</cx:pt>
          <cx:pt idx="1094">9 класс</cx:pt>
          <cx:pt idx="1095">9 класс</cx:pt>
          <cx:pt idx="1096">9 класс</cx:pt>
          <cx:pt idx="1097">9 класс</cx:pt>
          <cx:pt idx="1098">9 класс</cx:pt>
          <cx:pt idx="1099">9 класс</cx:pt>
          <cx:pt idx="1100">9 класс</cx:pt>
          <cx:pt idx="1101">9 класс</cx:pt>
          <cx:pt idx="1102">9 класс</cx:pt>
          <cx:pt idx="1103">9 класс</cx:pt>
          <cx:pt idx="1104">9 класс</cx:pt>
          <cx:pt idx="1105">9 класс</cx:pt>
          <cx:pt idx="1106">9 класс</cx:pt>
          <cx:pt idx="1107">9 класс</cx:pt>
          <cx:pt idx="1108">9 класс</cx:pt>
          <cx:pt idx="1109">9 класс</cx:pt>
          <cx:pt idx="1110">9 класс</cx:pt>
          <cx:pt idx="1111">9 класс</cx:pt>
          <cx:pt idx="1112">9 класс</cx:pt>
          <cx:pt idx="1113">9 класс</cx:pt>
          <cx:pt idx="1114">9 класс</cx:pt>
          <cx:pt idx="1115">9 класс</cx:pt>
          <cx:pt idx="1116">9 класс</cx:pt>
          <cx:pt idx="1117">9 класс</cx:pt>
          <cx:pt idx="1118">9 класс</cx:pt>
          <cx:pt idx="1119">9 класс</cx:pt>
          <cx:pt idx="1120">9 класс</cx:pt>
          <cx:pt idx="1121">9 класс</cx:pt>
          <cx:pt idx="1122">9 класс</cx:pt>
          <cx:pt idx="1123">9 класс</cx:pt>
          <cx:pt idx="1124">9 класс</cx:pt>
          <cx:pt idx="1125">9 класс</cx:pt>
          <cx:pt idx="1126">9 класс</cx:pt>
          <cx:pt idx="1127">9 класс</cx:pt>
          <cx:pt idx="1128">9 класс</cx:pt>
          <cx:pt idx="1129">9 класс</cx:pt>
          <cx:pt idx="1130">9 класс</cx:pt>
          <cx:pt idx="1131">9 класс</cx:pt>
          <cx:pt idx="1132">9 класс</cx:pt>
          <cx:pt idx="1133">9 класс</cx:pt>
          <cx:pt idx="1134">9 класс</cx:pt>
          <cx:pt idx="1135">9 класс</cx:pt>
          <cx:pt idx="1136">9 класс</cx:pt>
          <cx:pt idx="1137">9 класс</cx:pt>
          <cx:pt idx="1138">9 класс</cx:pt>
          <cx:pt idx="1139">9 класс</cx:pt>
          <cx:pt idx="1140">9 класс</cx:pt>
          <cx:pt idx="1141">9 класс</cx:pt>
          <cx:pt idx="1142">9 класс</cx:pt>
          <cx:pt idx="1143">9 класс</cx:pt>
          <cx:pt idx="1144">9 класс</cx:pt>
          <cx:pt idx="1145">9 класс</cx:pt>
          <cx:pt idx="1146">9 класс</cx:pt>
          <cx:pt idx="1147">9 класс</cx:pt>
          <cx:pt idx="1148">9 класс</cx:pt>
          <cx:pt idx="1149">9 класс</cx:pt>
          <cx:pt idx="1150">9 класс</cx:pt>
          <cx:pt idx="1151">9 класс</cx:pt>
          <cx:pt idx="1152">9 класс</cx:pt>
          <cx:pt idx="1153">9 класс</cx:pt>
          <cx:pt idx="1154">9 класс</cx:pt>
          <cx:pt idx="1155">9 класс</cx:pt>
          <cx:pt idx="1156">9 класс</cx:pt>
          <cx:pt idx="1157">9 класс</cx:pt>
          <cx:pt idx="1158">9 класс</cx:pt>
          <cx:pt idx="1159">9 класс</cx:pt>
          <cx:pt idx="1160">9 класс</cx:pt>
          <cx:pt idx="1161">9 класс</cx:pt>
          <cx:pt idx="1162">9 класс</cx:pt>
          <cx:pt idx="1163">9 класс</cx:pt>
          <cx:pt idx="1164">9 класс</cx:pt>
          <cx:pt idx="1165">9 класс</cx:pt>
          <cx:pt idx="1166">9 класс</cx:pt>
          <cx:pt idx="1167">9 класс</cx:pt>
          <cx:pt idx="1168">9 класс</cx:pt>
          <cx:pt idx="1169">9 класс</cx:pt>
          <cx:pt idx="1170">9 класс</cx:pt>
          <cx:pt idx="1171">9 класс</cx:pt>
          <cx:pt idx="1172">9 класс</cx:pt>
          <cx:pt idx="1173">9 класс</cx:pt>
          <cx:pt idx="1174">9 класс</cx:pt>
          <cx:pt idx="1175">9 класс</cx:pt>
          <cx:pt idx="1176">9 класс</cx:pt>
          <cx:pt idx="1177">9 класс</cx:pt>
          <cx:pt idx="1178">9 класс</cx:pt>
          <cx:pt idx="1179">9 класс</cx:pt>
          <cx:pt idx="1180">9 класс</cx:pt>
          <cx:pt idx="1181">9 класс</cx:pt>
          <cx:pt idx="1182">9 класс</cx:pt>
          <cx:pt idx="1183">9 класс</cx:pt>
          <cx:pt idx="1184">9 класс</cx:pt>
          <cx:pt idx="1185">9 класс</cx:pt>
          <cx:pt idx="1186">9 класс</cx:pt>
          <cx:pt idx="1187">9 класс</cx:pt>
          <cx:pt idx="1188">9 класс</cx:pt>
          <cx:pt idx="1189">9 класс</cx:pt>
          <cx:pt idx="1190">9 класс</cx:pt>
          <cx:pt idx="1191">9 класс</cx:pt>
          <cx:pt idx="1192">9 класс</cx:pt>
          <cx:pt idx="1193">9 класс</cx:pt>
          <cx:pt idx="1194">9 класс</cx:pt>
          <cx:pt idx="1195">9 класс</cx:pt>
          <cx:pt idx="1196">9 класс</cx:pt>
          <cx:pt idx="1197">9 класс</cx:pt>
          <cx:pt idx="1198">9 класс</cx:pt>
          <cx:pt idx="1199">9 класс</cx:pt>
          <cx:pt idx="1200">9 класс</cx:pt>
          <cx:pt idx="1201">9 класс</cx:pt>
          <cx:pt idx="1202">9 класс</cx:pt>
          <cx:pt idx="1203">9 класс</cx:pt>
          <cx:pt idx="1204">9 класс</cx:pt>
          <cx:pt idx="1205">9 класс</cx:pt>
          <cx:pt idx="1206">9 класс</cx:pt>
          <cx:pt idx="1207">9 класс</cx:pt>
          <cx:pt idx="1208">9 класс</cx:pt>
          <cx:pt idx="1209">9 класс</cx:pt>
          <cx:pt idx="1210">9 класс</cx:pt>
          <cx:pt idx="1211">9 класс</cx:pt>
          <cx:pt idx="1212">9 класс</cx:pt>
          <cx:pt idx="1213">9 класс</cx:pt>
          <cx:pt idx="1214">9 класс</cx:pt>
          <cx:pt idx="1215">9 класс</cx:pt>
          <cx:pt idx="1216">9 класс</cx:pt>
          <cx:pt idx="1217">9 класс</cx:pt>
          <cx:pt idx="1218">9 класс</cx:pt>
          <cx:pt idx="1219">9 класс</cx:pt>
          <cx:pt idx="1220">9 класс</cx:pt>
          <cx:pt idx="1221">9 класс</cx:pt>
          <cx:pt idx="1222">9 класс</cx:pt>
          <cx:pt idx="1223">9 класс</cx:pt>
          <cx:pt idx="1224">9 класс</cx:pt>
          <cx:pt idx="1225">9 класс</cx:pt>
          <cx:pt idx="1226">9 класс</cx:pt>
          <cx:pt idx="1227">9 класс</cx:pt>
          <cx:pt idx="1228">9 класс</cx:pt>
          <cx:pt idx="1229">9 класс</cx:pt>
          <cx:pt idx="1230">9 класс</cx:pt>
        </cx:lvl>
      </cx:strDim>
      <cx:numDim type="val">
        <cx:f>'SER (4)'!$B$2:$B$1232</cx:f>
        <cx:lvl ptCount="1231" formatCode="Основной">
          <cx:pt idx="0">0.375</cx:pt>
          <cx:pt idx="1">0.375</cx:pt>
          <cx:pt idx="2">0.375</cx:pt>
          <cx:pt idx="3">0.375</cx:pt>
          <cx:pt idx="4">0.375</cx:pt>
          <cx:pt idx="5">0.375</cx:pt>
          <cx:pt idx="6">0.375</cx:pt>
          <cx:pt idx="7">0.375</cx:pt>
          <cx:pt idx="8">0.875</cx:pt>
          <cx:pt idx="9">0.75</cx:pt>
          <cx:pt idx="10">-2</cx:pt>
          <cx:pt idx="11">0.375</cx:pt>
          <cx:pt idx="12">-2</cx:pt>
          <cx:pt idx="13">0.375</cx:pt>
          <cx:pt idx="14">-0.125</cx:pt>
          <cx:pt idx="15">0.375</cx:pt>
          <cx:pt idx="16">-0.375</cx:pt>
          <cx:pt idx="17">0.375</cx:pt>
          <cx:pt idx="18">-0.375</cx:pt>
          <cx:pt idx="19">-0.25</cx:pt>
          <cx:pt idx="20">0.375</cx:pt>
          <cx:pt idx="21">-2.625</cx:pt>
          <cx:pt idx="22">0.375</cx:pt>
          <cx:pt idx="23">0.375</cx:pt>
          <cx:pt idx="24">-5</cx:pt>
          <cx:pt idx="25">-1.625</cx:pt>
          <cx:pt idx="26">0.375</cx:pt>
          <cx:pt idx="27">-0.25</cx:pt>
          <cx:pt idx="28">-0.375</cx:pt>
          <cx:pt idx="29">-2</cx:pt>
          <cx:pt idx="30">-0.875</cx:pt>
          <cx:pt idx="31">0.375</cx:pt>
          <cx:pt idx="32">-1.125</cx:pt>
          <cx:pt idx="33">-3</cx:pt>
          <cx:pt idx="34">0.375</cx:pt>
          <cx:pt idx="35">-2</cx:pt>
          <cx:pt idx="36">-4.625</cx:pt>
          <cx:pt idx="37">0.375</cx:pt>
          <cx:pt idx="38">-0.875</cx:pt>
          <cx:pt idx="39">0.375</cx:pt>
          <cx:pt idx="40">-0.875</cx:pt>
          <cx:pt idx="41">0.375</cx:pt>
          <cx:pt idx="42">0.375</cx:pt>
          <cx:pt idx="43">0.375</cx:pt>
          <cx:pt idx="44">-0.25</cx:pt>
          <cx:pt idx="45">0.375</cx:pt>
          <cx:pt idx="46">-0.875</cx:pt>
          <cx:pt idx="47">0.375</cx:pt>
          <cx:pt idx="48">0.5</cx:pt>
          <cx:pt idx="49">0.375</cx:pt>
          <cx:pt idx="50">0.375</cx:pt>
          <cx:pt idx="51">0.375</cx:pt>
          <cx:pt idx="52">-2</cx:pt>
          <cx:pt idx="53">-1</cx:pt>
          <cx:pt idx="54">0.375</cx:pt>
          <cx:pt idx="55">-2.375</cx:pt>
          <cx:pt idx="56">0.375</cx:pt>
          <cx:pt idx="57">0.375</cx:pt>
          <cx:pt idx="58">2.625</cx:pt>
          <cx:pt idx="59">-0.375</cx:pt>
          <cx:pt idx="60">0.375</cx:pt>
          <cx:pt idx="61">0.375</cx:pt>
          <cx:pt idx="62">-0.375</cx:pt>
          <cx:pt idx="63">0.375</cx:pt>
          <cx:pt idx="64">0.375</cx:pt>
          <cx:pt idx="65">0.125</cx:pt>
          <cx:pt idx="66">-0.125</cx:pt>
          <cx:pt idx="67">0.375</cx:pt>
          <cx:pt idx="68">0.375</cx:pt>
          <cx:pt idx="69">0.375</cx:pt>
          <cx:pt idx="70">0.75</cx:pt>
          <cx:pt idx="71">-7.125</cx:pt>
          <cx:pt idx="72">0.375</cx:pt>
          <cx:pt idx="73">-4.25</cx:pt>
          <cx:pt idx="74">0.375</cx:pt>
          <cx:pt idx="75">-0.875</cx:pt>
          <cx:pt idx="76">0.375</cx:pt>
          <cx:pt idx="77">0.625</cx:pt>
          <cx:pt idx="78">-3</cx:pt>
          <cx:pt idx="79">-0.125</cx:pt>
          <cx:pt idx="80">0.375</cx:pt>
          <cx:pt idx="81">0.375</cx:pt>
          <cx:pt idx="82">-0.875</cx:pt>
          <cx:pt idx="83">-0.25</cx:pt>
          <cx:pt idx="84">0.375</cx:pt>
          <cx:pt idx="85">-0.125</cx:pt>
          <cx:pt idx="86">0.375</cx:pt>
          <cx:pt idx="87">-0.375</cx:pt>
          <cx:pt idx="88">-0.125</cx:pt>
          <cx:pt idx="89">0.375</cx:pt>
          <cx:pt idx="90">-0.875</cx:pt>
          <cx:pt idx="91">0.375</cx:pt>
          <cx:pt idx="92">-2</cx:pt>
          <cx:pt idx="93">0.375</cx:pt>
          <cx:pt idx="94">0.375</cx:pt>
          <cx:pt idx="95">0.375</cx:pt>
          <cx:pt idx="96">0.375</cx:pt>
          <cx:pt idx="97">0.375</cx:pt>
          <cx:pt idx="98">0.375</cx:pt>
          <cx:pt idx="99">0.375</cx:pt>
          <cx:pt idx="100">0.375</cx:pt>
          <cx:pt idx="101">-0.25</cx:pt>
          <cx:pt idx="102">0.375</cx:pt>
          <cx:pt idx="103">0.375</cx:pt>
          <cx:pt idx="104">0.375</cx:pt>
          <cx:pt idx="105">0.125</cx:pt>
          <cx:pt idx="106">0.375</cx:pt>
          <cx:pt idx="107">0.25</cx:pt>
          <cx:pt idx="108">0.375</cx:pt>
          <cx:pt idx="109">0.375</cx:pt>
          <cx:pt idx="110">-0.375</cx:pt>
          <cx:pt idx="111">0.375</cx:pt>
          <cx:pt idx="112">0.375</cx:pt>
          <cx:pt idx="113">0.375</cx:pt>
          <cx:pt idx="114">0.375</cx:pt>
          <cx:pt idx="115">0.375</cx:pt>
          <cx:pt idx="116">0.375</cx:pt>
          <cx:pt idx="117">-0.125</cx:pt>
          <cx:pt idx="118">0.375</cx:pt>
          <cx:pt idx="119">0.375</cx:pt>
          <cx:pt idx="120">0.375</cx:pt>
          <cx:pt idx="121">0.375</cx:pt>
          <cx:pt idx="122">-2</cx:pt>
          <cx:pt idx="123">0.375</cx:pt>
          <cx:pt idx="124">0.375</cx:pt>
          <cx:pt idx="125">0.625</cx:pt>
          <cx:pt idx="126">0.25</cx:pt>
          <cx:pt idx="127">0.375</cx:pt>
          <cx:pt idx="128">-2.125</cx:pt>
          <cx:pt idx="129">0.375</cx:pt>
          <cx:pt idx="130">0.375</cx:pt>
          <cx:pt idx="131">3.75</cx:pt>
          <cx:pt idx="132">0.375</cx:pt>
          <cx:pt idx="133">0.375</cx:pt>
          <cx:pt idx="134">1</cx:pt>
          <cx:pt idx="135">0.40000000000000002</cx:pt>
          <cx:pt idx="136">0.125</cx:pt>
          <cx:pt idx="137">-2</cx:pt>
          <cx:pt idx="138">0.375</cx:pt>
          <cx:pt idx="139">0.375</cx:pt>
          <cx:pt idx="140">0.375</cx:pt>
          <cx:pt idx="141">0.375</cx:pt>
          <cx:pt idx="142">-2</cx:pt>
          <cx:pt idx="143">1</cx:pt>
          <cx:pt idx="144">0.375</cx:pt>
          <cx:pt idx="145">0.375</cx:pt>
          <cx:pt idx="146">0.375</cx:pt>
          <cx:pt idx="147">0.375</cx:pt>
          <cx:pt idx="148">0.375</cx:pt>
          <cx:pt idx="149">0.375</cx:pt>
          <cx:pt idx="150">0.375</cx:pt>
          <cx:pt idx="151">0.125</cx:pt>
          <cx:pt idx="152">-1.75</cx:pt>
          <cx:pt idx="153">-1.375</cx:pt>
          <cx:pt idx="154">-0.125</cx:pt>
          <cx:pt idx="155">-1.375</cx:pt>
          <cx:pt idx="156">-4.25</cx:pt>
          <cx:pt idx="157">-1.375</cx:pt>
          <cx:pt idx="158">0.375</cx:pt>
          <cx:pt idx="159">-2</cx:pt>
          <cx:pt idx="160">-0.125</cx:pt>
          <cx:pt idx="161">0.125</cx:pt>
          <cx:pt idx="162">0.375</cx:pt>
          <cx:pt idx="163">-0.125</cx:pt>
          <cx:pt idx="164">0.375</cx:pt>
          <cx:pt idx="165">0.125</cx:pt>
          <cx:pt idx="166">0.75</cx:pt>
          <cx:pt idx="167">-1.125</cx:pt>
          <cx:pt idx="168">0.125</cx:pt>
          <cx:pt idx="169">-2</cx:pt>
          <cx:pt idx="170">0.875</cx:pt>
          <cx:pt idx="171">-0.125</cx:pt>
          <cx:pt idx="172">0.75</cx:pt>
          <cx:pt idx="173">0.5</cx:pt>
          <cx:pt idx="174">0.5</cx:pt>
          <cx:pt idx="175">-0.125</cx:pt>
          <cx:pt idx="176">0</cx:pt>
          <cx:pt idx="177">-0.125</cx:pt>
          <cx:pt idx="178">1</cx:pt>
          <cx:pt idx="179">-0.125</cx:pt>
          <cx:pt idx="180">-0.25</cx:pt>
          <cx:pt idx="181">-0.25</cx:pt>
          <cx:pt idx="182">-0.375</cx:pt>
          <cx:pt idx="183">-2.625</cx:pt>
          <cx:pt idx="184">-0.125</cx:pt>
          <cx:pt idx="185">0.75</cx:pt>
          <cx:pt idx="186">0.75</cx:pt>
          <cx:pt idx="187">-2</cx:pt>
          <cx:pt idx="188">0.75</cx:pt>
          <cx:pt idx="189">0.125</cx:pt>
          <cx:pt idx="190">0.375</cx:pt>
          <cx:pt idx="191">1</cx:pt>
          <cx:pt idx="192">0.75</cx:pt>
          <cx:pt idx="193">-1.375</cx:pt>
          <cx:pt idx="194">0.375</cx:pt>
          <cx:pt idx="195">0.125</cx:pt>
          <cx:pt idx="196">-0.125</cx:pt>
          <cx:pt idx="197">0.375</cx:pt>
          <cx:pt idx="198">-0.125</cx:pt>
          <cx:pt idx="199">-0.125</cx:pt>
          <cx:pt idx="200">-0.125</cx:pt>
          <cx:pt idx="201">0.375</cx:pt>
          <cx:pt idx="202">0.75</cx:pt>
          <cx:pt idx="203">-0.125</cx:pt>
          <cx:pt idx="204">-2</cx:pt>
          <cx:pt idx="205">0.75</cx:pt>
          <cx:pt idx="206">0.375</cx:pt>
          <cx:pt idx="207">-0.10000000000000001</cx:pt>
          <cx:pt idx="208">-0.125</cx:pt>
          <cx:pt idx="209">0.375</cx:pt>
          <cx:pt idx="210">-2</cx:pt>
          <cx:pt idx="211">0.375</cx:pt>
          <cx:pt idx="212">0.75</cx:pt>
          <cx:pt idx="213">0.75</cx:pt>
          <cx:pt idx="214">0.75</cx:pt>
          <cx:pt idx="215">-0.25</cx:pt>
          <cx:pt idx="216">-2</cx:pt>
          <cx:pt idx="217">0.375</cx:pt>
          <cx:pt idx="218">0.125</cx:pt>
          <cx:pt idx="219">1</cx:pt>
          <cx:pt idx="220">-2.5</cx:pt>
          <cx:pt idx="221">0.375</cx:pt>
          <cx:pt idx="222">-0.125</cx:pt>
          <cx:pt idx="223">0.125</cx:pt>
          <cx:pt idx="224">-2</cx:pt>
          <cx:pt idx="225">0.75</cx:pt>
          <cx:pt idx="226">0.375</cx:pt>
          <cx:pt idx="227">0.125</cx:pt>
          <cx:pt idx="228">0.75</cx:pt>
          <cx:pt idx="229">0.625</cx:pt>
          <cx:pt idx="230">-0.125</cx:pt>
          <cx:pt idx="231">-0.125</cx:pt>
          <cx:pt idx="232">-0.125</cx:pt>
          <cx:pt idx="233">0.375</cx:pt>
          <cx:pt idx="234">0.125</cx:pt>
          <cx:pt idx="235">-0.125</cx:pt>
          <cx:pt idx="236">-0.125</cx:pt>
          <cx:pt idx="237">1</cx:pt>
          <cx:pt idx="238">0.125</cx:pt>
          <cx:pt idx="239">0.875</cx:pt>
          <cx:pt idx="240">-0.125</cx:pt>
          <cx:pt idx="241">1</cx:pt>
          <cx:pt idx="242">-0.125</cx:pt>
          <cx:pt idx="243">-2</cx:pt>
          <cx:pt idx="244">-0.125</cx:pt>
          <cx:pt idx="245">0.75</cx:pt>
          <cx:pt idx="246">0.125</cx:pt>
          <cx:pt idx="247">0.375</cx:pt>
          <cx:pt idx="248">0.125</cx:pt>
          <cx:pt idx="249">-0.125</cx:pt>
          <cx:pt idx="250">0.5</cx:pt>
          <cx:pt idx="251">1</cx:pt>
          <cx:pt idx="252">0.125</cx:pt>
          <cx:pt idx="253">0.375</cx:pt>
          <cx:pt idx="254">0.25</cx:pt>
          <cx:pt idx="255">0.75</cx:pt>
          <cx:pt idx="256">0.75</cx:pt>
          <cx:pt idx="257">-2</cx:pt>
          <cx:pt idx="258">-0.125</cx:pt>
          <cx:pt idx="259">0.75</cx:pt>
          <cx:pt idx="260">1</cx:pt>
          <cx:pt idx="261">1</cx:pt>
          <cx:pt idx="262">-2</cx:pt>
          <cx:pt idx="263">0.375</cx:pt>
          <cx:pt idx="264">0.375</cx:pt>
          <cx:pt idx="265">-1.75</cx:pt>
          <cx:pt idx="266">-0.25</cx:pt>
          <cx:pt idx="267">-0.125</cx:pt>
          <cx:pt idx="268">0.75</cx:pt>
          <cx:pt idx="269">0</cx:pt>
          <cx:pt idx="270">0.75</cx:pt>
          <cx:pt idx="271">0.75</cx:pt>
          <cx:pt idx="272">0.25</cx:pt>
          <cx:pt idx="273">0.75</cx:pt>
          <cx:pt idx="274">-0.125</cx:pt>
          <cx:pt idx="275">2.375</cx:pt>
          <cx:pt idx="276">-0.125</cx:pt>
          <cx:pt idx="277">1</cx:pt>
          <cx:pt idx="278">1</cx:pt>
          <cx:pt idx="279">-0.125</cx:pt>
          <cx:pt idx="280">-0.125</cx:pt>
          <cx:pt idx="281">0.75</cx:pt>
          <cx:pt idx="282">0.375</cx:pt>
          <cx:pt idx="283">0.375</cx:pt>
          <cx:pt idx="284">0.75</cx:pt>
          <cx:pt idx="285">-0.125</cx:pt>
          <cx:pt idx="286">0.125</cx:pt>
          <cx:pt idx="287">-2.375</cx:pt>
          <cx:pt idx="288">-1.375</cx:pt>
          <cx:pt idx="289">-0.25</cx:pt>
          <cx:pt idx="290">-1.375</cx:pt>
          <cx:pt idx="291">-2.125</cx:pt>
          <cx:pt idx="292">0.125</cx:pt>
          <cx:pt idx="293">0.125</cx:pt>
          <cx:pt idx="294">-0.125</cx:pt>
          <cx:pt idx="295">0.75</cx:pt>
          <cx:pt idx="296">-0.125</cx:pt>
          <cx:pt idx="297">0.125</cx:pt>
          <cx:pt idx="298">0.375</cx:pt>
          <cx:pt idx="299">1</cx:pt>
          <cx:pt idx="300">-3.25</cx:pt>
          <cx:pt idx="301">0.125</cx:pt>
          <cx:pt idx="302">0.5</cx:pt>
          <cx:pt idx="303">0.375</cx:pt>
          <cx:pt idx="304">0.375</cx:pt>
          <cx:pt idx="305">-0.375</cx:pt>
          <cx:pt idx="306">0.375</cx:pt>
          <cx:pt idx="307">0.375</cx:pt>
          <cx:pt idx="308">0.375</cx:pt>
          <cx:pt idx="309">0.375</cx:pt>
          <cx:pt idx="310">0.375</cx:pt>
          <cx:pt idx="311">0.5</cx:pt>
          <cx:pt idx="312">0.75</cx:pt>
          <cx:pt idx="313">-1.5</cx:pt>
          <cx:pt idx="314">0.375</cx:pt>
          <cx:pt idx="315">0.375</cx:pt>
          <cx:pt idx="316">0.375</cx:pt>
          <cx:pt idx="317">-0.375</cx:pt>
          <cx:pt idx="318">0.375</cx:pt>
          <cx:pt idx="319">0.375</cx:pt>
          <cx:pt idx="320">0.375</cx:pt>
          <cx:pt idx="321">-0.875</cx:pt>
          <cx:pt idx="322">0.375</cx:pt>
          <cx:pt idx="323">0.375</cx:pt>
          <cx:pt idx="324">-2.625</cx:pt>
          <cx:pt idx="325">0.375</cx:pt>
          <cx:pt idx="326">0.375</cx:pt>
          <cx:pt idx="327">-5</cx:pt>
          <cx:pt idx="328">0.375</cx:pt>
          <cx:pt idx="329">0.375</cx:pt>
          <cx:pt idx="330">-0.875</cx:pt>
          <cx:pt idx="331">0.375</cx:pt>
          <cx:pt idx="332">-2</cx:pt>
          <cx:pt idx="333">-0.875</cx:pt>
          <cx:pt idx="334">-0.125</cx:pt>
          <cx:pt idx="335">-0.125</cx:pt>
          <cx:pt idx="336">0.125</cx:pt>
          <cx:pt idx="337">1</cx:pt>
          <cx:pt idx="338">0</cx:pt>
          <cx:pt idx="339">-0.125</cx:pt>
          <cx:pt idx="340">0.375</cx:pt>
          <cx:pt idx="341">1</cx:pt>
          <cx:pt idx="342">1</cx:pt>
          <cx:pt idx="343">0.75</cx:pt>
          <cx:pt idx="344">-0.375</cx:pt>
          <cx:pt idx="345">-2</cx:pt>
          <cx:pt idx="346">-0.125</cx:pt>
          <cx:pt idx="347">-0.125</cx:pt>
          <cx:pt idx="348">0.75</cx:pt>
          <cx:pt idx="349">1</cx:pt>
          <cx:pt idx="350">1</cx:pt>
          <cx:pt idx="351">0.375</cx:pt>
          <cx:pt idx="352">-2</cx:pt>
          <cx:pt idx="353">-1.375</cx:pt>
          <cx:pt idx="354">0.375</cx:pt>
          <cx:pt idx="355">-1.375</cx:pt>
          <cx:pt idx="356">-0.125</cx:pt>
          <cx:pt idx="357">0.75</cx:pt>
          <cx:pt idx="358">0.375</cx:pt>
          <cx:pt idx="359">-0.125</cx:pt>
          <cx:pt idx="360">-1.25</cx:pt>
          <cx:pt idx="361">-0.125</cx:pt>
          <cx:pt idx="362">0.375</cx:pt>
          <cx:pt idx="363">-2.75</cx:pt>
          <cx:pt idx="364">0.375</cx:pt>
          <cx:pt idx="365">0.375</cx:pt>
          <cx:pt idx="366">0.375</cx:pt>
          <cx:pt idx="367">-5.125</cx:pt>
          <cx:pt idx="368">-0.125</cx:pt>
          <cx:pt idx="369">-2</cx:pt>
          <cx:pt idx="370">-2.375</cx:pt>
          <cx:pt idx="371">1.25</cx:pt>
          <cx:pt idx="372">-0.125</cx:pt>
          <cx:pt idx="373">1.6000000000000001</cx:pt>
          <cx:pt idx="374">-0.125</cx:pt>
          <cx:pt idx="375">-0.125</cx:pt>
          <cx:pt idx="376">-0.125</cx:pt>
          <cx:pt idx="377">-2</cx:pt>
          <cx:pt idx="378">-0.125</cx:pt>
          <cx:pt idx="379">-1.25</cx:pt>
          <cx:pt idx="380">-0.125</cx:pt>
          <cx:pt idx="381">-0.125</cx:pt>
          <cx:pt idx="382">-0.125</cx:pt>
          <cx:pt idx="383">0.375</cx:pt>
          <cx:pt idx="384">1.375</cx:pt>
          <cx:pt idx="385">-0.125</cx:pt>
          <cx:pt idx="386">0.375</cx:pt>
          <cx:pt idx="387">0.125</cx:pt>
          <cx:pt idx="388">0.375</cx:pt>
          <cx:pt idx="389">-0.125</cx:pt>
          <cx:pt idx="390">-0.125</cx:pt>
          <cx:pt idx="391">0.375</cx:pt>
          <cx:pt idx="392">-0.125</cx:pt>
          <cx:pt idx="393">-0.125</cx:pt>
          <cx:pt idx="394">-0.125</cx:pt>
          <cx:pt idx="395">-0.125</cx:pt>
          <cx:pt idx="396">-0.125</cx:pt>
          <cx:pt idx="397">-0.125</cx:pt>
          <cx:pt idx="398">-0.125</cx:pt>
          <cx:pt idx="399">-2.375</cx:pt>
          <cx:pt idx="400">0.5</cx:pt>
          <cx:pt idx="401">-0.125</cx:pt>
          <cx:pt idx="402">0.375</cx:pt>
          <cx:pt idx="403">-0.125</cx:pt>
          <cx:pt idx="404">0.375</cx:pt>
          <cx:pt idx="405">-0.125</cx:pt>
          <cx:pt idx="406">0.375</cx:pt>
          <cx:pt idx="407">-0.125</cx:pt>
          <cx:pt idx="408">-0.125</cx:pt>
          <cx:pt idx="409">0.125</cx:pt>
          <cx:pt idx="410">1</cx:pt>
          <cx:pt idx="411">0.75</cx:pt>
          <cx:pt idx="412">-0.125</cx:pt>
          <cx:pt idx="413">0.375</cx:pt>
          <cx:pt idx="414">-2.875</cx:pt>
          <cx:pt idx="415">-2.375</cx:pt>
          <cx:pt idx="416">0.375</cx:pt>
          <cx:pt idx="417">0</cx:pt>
          <cx:pt idx="418">0.375</cx:pt>
          <cx:pt idx="419">-2.375</cx:pt>
          <cx:pt idx="420">0.375</cx:pt>
          <cx:pt idx="421">0.375</cx:pt>
          <cx:pt idx="422">-0.375</cx:pt>
          <cx:pt idx="423">0.375</cx:pt>
          <cx:pt idx="424">0.375</cx:pt>
          <cx:pt idx="425">0.375</cx:pt>
          <cx:pt idx="426">0.125</cx:pt>
          <cx:pt idx="427">0.375</cx:pt>
          <cx:pt idx="428">0.375</cx:pt>
          <cx:pt idx="429">0.375</cx:pt>
          <cx:pt idx="430">-1.625</cx:pt>
          <cx:pt idx="431">-4</cx:pt>
          <cx:pt idx="432">0.375</cx:pt>
          <cx:pt idx="433">-0.25</cx:pt>
          <cx:pt idx="434">-2.375</cx:pt>
          <cx:pt idx="435">-3.125</cx:pt>
          <cx:pt idx="436">0.375</cx:pt>
          <cx:pt idx="437">0.375</cx:pt>
          <cx:pt idx="438">0.375</cx:pt>
          <cx:pt idx="439">0.375</cx:pt>
          <cx:pt idx="440">-1.625</cx:pt>
          <cx:pt idx="441">-4.375</cx:pt>
          <cx:pt idx="442">0.375</cx:pt>
          <cx:pt idx="443">0.375</cx:pt>
          <cx:pt idx="444">-1.625</cx:pt>
          <cx:pt idx="445">1.625</cx:pt>
          <cx:pt idx="446">0.375</cx:pt>
          <cx:pt idx="447">-1.625</cx:pt>
          <cx:pt idx="448">-1.25</cx:pt>
          <cx:pt idx="449">-1.125</cx:pt>
          <cx:pt idx="450">0.375</cx:pt>
          <cx:pt idx="451">0.375</cx:pt>
          <cx:pt idx="452">-0.125</cx:pt>
          <cx:pt idx="453">-0.125</cx:pt>
          <cx:pt idx="454">0.375</cx:pt>
          <cx:pt idx="455">-1.625</cx:pt>
          <cx:pt idx="456">-1.625</cx:pt>
          <cx:pt idx="457">0.375</cx:pt>
          <cx:pt idx="458">0.375</cx:pt>
          <cx:pt idx="459">0.625</cx:pt>
          <cx:pt idx="460">-3.125</cx:pt>
          <cx:pt idx="461">0.375</cx:pt>
          <cx:pt idx="462">0.375</cx:pt>
          <cx:pt idx="463">0.375</cx:pt>
          <cx:pt idx="464">0.375</cx:pt>
          <cx:pt idx="465">-1.625</cx:pt>
          <cx:pt idx="466">0.375</cx:pt>
          <cx:pt idx="467">-0.375</cx:pt>
          <cx:pt idx="468">0.375</cx:pt>
          <cx:pt idx="469">0.375</cx:pt>
          <cx:pt idx="470">0.375</cx:pt>
          <cx:pt idx="471">-0.375</cx:pt>
          <cx:pt idx="472">-0.125</cx:pt>
          <cx:pt idx="473">0.375</cx:pt>
          <cx:pt idx="474">-3.25</cx:pt>
          <cx:pt idx="475">0.375</cx:pt>
          <cx:pt idx="476">-0.125</cx:pt>
          <cx:pt idx="477">0.375</cx:pt>
          <cx:pt idx="478">-0.125</cx:pt>
          <cx:pt idx="479">0.375</cx:pt>
          <cx:pt idx="480">-2</cx:pt>
          <cx:pt idx="481">0.375</cx:pt>
          <cx:pt idx="482">-1</cx:pt>
          <cx:pt idx="483">-0.125</cx:pt>
          <cx:pt idx="484">-0.125</cx:pt>
          <cx:pt idx="485">-0.125</cx:pt>
          <cx:pt idx="486">0.25</cx:pt>
          <cx:pt idx="487">-0.125</cx:pt>
          <cx:pt idx="488">0.375</cx:pt>
          <cx:pt idx="489">-0.25</cx:pt>
          <cx:pt idx="490">-0.125</cx:pt>
          <cx:pt idx="491">-2</cx:pt>
          <cx:pt idx="492">-1.625</cx:pt>
          <cx:pt idx="493">0.375</cx:pt>
          <cx:pt idx="494">0.625</cx:pt>
          <cx:pt idx="495">-0.125</cx:pt>
          <cx:pt idx="496">-1.375</cx:pt>
          <cx:pt idx="497">4.625</cx:pt>
          <cx:pt idx="498">-3.25</cx:pt>
          <cx:pt idx="499">1</cx:pt>
          <cx:pt idx="500">-0.125</cx:pt>
          <cx:pt idx="501">-0.125</cx:pt>
          <cx:pt idx="502">-0.25</cx:pt>
          <cx:pt idx="503">-1.375</cx:pt>
          <cx:pt idx="504">-0.125</cx:pt>
          <cx:pt idx="505">-2.5</cx:pt>
          <cx:pt idx="506">0.375</cx:pt>
          <cx:pt idx="507">0.375</cx:pt>
          <cx:pt idx="508">-2</cx:pt>
          <cx:pt idx="509">0.375</cx:pt>
          <cx:pt idx="510">-2.25</cx:pt>
          <cx:pt idx="511">0.375</cx:pt>
          <cx:pt idx="512">0.375</cx:pt>
          <cx:pt idx="513">-1.5</cx:pt>
          <cx:pt idx="514">0.375</cx:pt>
          <cx:pt idx="515">0.375</cx:pt>
          <cx:pt idx="516">0.375</cx:pt>
          <cx:pt idx="517">0</cx:pt>
          <cx:pt idx="518">0.25</cx:pt>
          <cx:pt idx="519">-2.5</cx:pt>
          <cx:pt idx="520">0.375</cx:pt>
          <cx:pt idx="521">0.375</cx:pt>
          <cx:pt idx="522">0.375</cx:pt>
          <cx:pt idx="523">0.375</cx:pt>
          <cx:pt idx="524">0.125</cx:pt>
          <cx:pt idx="525">0</cx:pt>
          <cx:pt idx="526">0.375</cx:pt>
          <cx:pt idx="527">-0.125</cx:pt>
          <cx:pt idx="528">-0.125</cx:pt>
          <cx:pt idx="529">-0.25</cx:pt>
          <cx:pt idx="530">-0.375</cx:pt>
          <cx:pt idx="531">0.375</cx:pt>
          <cx:pt idx="532">0.375</cx:pt>
          <cx:pt idx="533">-0.125</cx:pt>
          <cx:pt idx="534">-1.5</cx:pt>
          <cx:pt idx="535">0.125</cx:pt>
          <cx:pt idx="536">-0.125</cx:pt>
          <cx:pt idx="537">1.125</cx:pt>
          <cx:pt idx="538">-0.125</cx:pt>
          <cx:pt idx="539">-0.125</cx:pt>
          <cx:pt idx="540">-0.125</cx:pt>
          <cx:pt idx="541">-0.125</cx:pt>
          <cx:pt idx="542">0.375</cx:pt>
          <cx:pt idx="543">-0.125</cx:pt>
          <cx:pt idx="544">-0.375</cx:pt>
          <cx:pt idx="545">-2.625</cx:pt>
          <cx:pt idx="546">-0.125</cx:pt>
          <cx:pt idx="547">-0.94999999999999996</cx:pt>
          <cx:pt idx="548">-0.25</cx:pt>
          <cx:pt idx="549">-3.125</cx:pt>
          <cx:pt idx="550">-2.625</cx:pt>
          <cx:pt idx="551">-1.5</cx:pt>
          <cx:pt idx="552">0.375</cx:pt>
          <cx:pt idx="553">-0.125</cx:pt>
          <cx:pt idx="554">-1.5</cx:pt>
          <cx:pt idx="555">-2.625</cx:pt>
          <cx:pt idx="556">0.375</cx:pt>
          <cx:pt idx="557">-0.125</cx:pt>
          <cx:pt idx="558">-0.125</cx:pt>
          <cx:pt idx="559">-0.125</cx:pt>
          <cx:pt idx="560">-0.125</cx:pt>
          <cx:pt idx="561">-2</cx:pt>
          <cx:pt idx="562">-4.5</cx:pt>
          <cx:pt idx="563">-0.125</cx:pt>
          <cx:pt idx="564">-2.75</cx:pt>
          <cx:pt idx="565">0.375</cx:pt>
          <cx:pt idx="566">0.375</cx:pt>
          <cx:pt idx="567">-2.25</cx:pt>
          <cx:pt idx="568">-1</cx:pt>
          <cx:pt idx="569">-2.625</cx:pt>
          <cx:pt idx="570">0.125</cx:pt>
          <cx:pt idx="571">-0.125</cx:pt>
          <cx:pt idx="572">-1</cx:pt>
          <cx:pt idx="573">-0.125</cx:pt>
          <cx:pt idx="574">-0.125</cx:pt>
          <cx:pt idx="575">-1.5</cx:pt>
          <cx:pt idx="576">-4.875</cx:pt>
          <cx:pt idx="577">0.375</cx:pt>
          <cx:pt idx="578">-0.125</cx:pt>
          <cx:pt idx="579">-2</cx:pt>
          <cx:pt idx="580">-0.125</cx:pt>
          <cx:pt idx="581">-0.125</cx:pt>
          <cx:pt idx="582">-0.125</cx:pt>
          <cx:pt idx="583">-0.125</cx:pt>
          <cx:pt idx="584">-2</cx:pt>
          <cx:pt idx="585">-1.875</cx:pt>
          <cx:pt idx="586">-2.625</cx:pt>
          <cx:pt idx="587">-0.125</cx:pt>
          <cx:pt idx="588">0</cx:pt>
          <cx:pt idx="589">-1.375</cx:pt>
          <cx:pt idx="590">-5.25</cx:pt>
          <cx:pt idx="591">-1.75</cx:pt>
          <cx:pt idx="592">0.125</cx:pt>
          <cx:pt idx="593">-0.125</cx:pt>
          <cx:pt idx="594">0.375</cx:pt>
          <cx:pt idx="595">-2.625</cx:pt>
          <cx:pt idx="596">0.375</cx:pt>
          <cx:pt idx="597">-0.125</cx:pt>
          <cx:pt idx="598">0.375</cx:pt>
          <cx:pt idx="599">0.375</cx:pt>
          <cx:pt idx="600">0.375</cx:pt>
          <cx:pt idx="601">0.5</cx:pt>
          <cx:pt idx="602">-0.125</cx:pt>
          <cx:pt idx="603">0.375</cx:pt>
          <cx:pt idx="604">-2.625</cx:pt>
          <cx:pt idx="605">-0.125</cx:pt>
          <cx:pt idx="606">0.375</cx:pt>
          <cx:pt idx="607">0.375</cx:pt>
          <cx:pt idx="608">-0.125</cx:pt>
          <cx:pt idx="609">-0.25</cx:pt>
          <cx:pt idx="610">-0.125</cx:pt>
          <cx:pt idx="611">-2.25</cx:pt>
          <cx:pt idx="612">1</cx:pt>
          <cx:pt idx="613">-2</cx:pt>
          <cx:pt idx="614">-0.125</cx:pt>
          <cx:pt idx="615">0.375</cx:pt>
          <cx:pt idx="616">0.375</cx:pt>
          <cx:pt idx="617">-0.375</cx:pt>
          <cx:pt idx="618">0.375</cx:pt>
          <cx:pt idx="619">-2</cx:pt>
          <cx:pt idx="620">-2</cx:pt>
          <cx:pt idx="621">-0.125</cx:pt>
          <cx:pt idx="622">0.375</cx:pt>
          <cx:pt idx="623">0.75</cx:pt>
          <cx:pt idx="624">-0.125</cx:pt>
          <cx:pt idx="625">0</cx:pt>
          <cx:pt idx="626">0.125</cx:pt>
          <cx:pt idx="627">-0.125</cx:pt>
          <cx:pt idx="628">-0.125</cx:pt>
          <cx:pt idx="629">-2.625</cx:pt>
          <cx:pt idx="630">0.375</cx:pt>
          <cx:pt idx="631">-1.5</cx:pt>
          <cx:pt idx="632">-0.125</cx:pt>
          <cx:pt idx="633">-0.125</cx:pt>
          <cx:pt idx="634">-2</cx:pt>
          <cx:pt idx="635">0.25</cx:pt>
          <cx:pt idx="636">-0.25</cx:pt>
          <cx:pt idx="637">0</cx:pt>
          <cx:pt idx="638">0.375</cx:pt>
          <cx:pt idx="639">-0.125</cx:pt>
          <cx:pt idx="640">-0.25</cx:pt>
          <cx:pt idx="641">-0.125</cx:pt>
          <cx:pt idx="642">-0.375</cx:pt>
          <cx:pt idx="643">-0.125</cx:pt>
          <cx:pt idx="644">-0.25</cx:pt>
          <cx:pt idx="645">-1</cx:pt>
          <cx:pt idx="646">-0.125</cx:pt>
          <cx:pt idx="647">-0.125</cx:pt>
          <cx:pt idx="648">-2.625</cx:pt>
          <cx:pt idx="649">-0.125</cx:pt>
          <cx:pt idx="650">-0.125</cx:pt>
          <cx:pt idx="651">0.375</cx:pt>
          <cx:pt idx="652">-0.125</cx:pt>
          <cx:pt idx="653">-0.125</cx:pt>
          <cx:pt idx="654">-2</cx:pt>
          <cx:pt idx="655">-1.625</cx:pt>
          <cx:pt idx="656">0.375</cx:pt>
          <cx:pt idx="657">-0.375</cx:pt>
          <cx:pt idx="658">-0.125</cx:pt>
          <cx:pt idx="659">0</cx:pt>
          <cx:pt idx="660">-1.375</cx:pt>
          <cx:pt idx="661">-0.25</cx:pt>
          <cx:pt idx="662">1</cx:pt>
          <cx:pt idx="663">-0.125</cx:pt>
          <cx:pt idx="664">0.375</cx:pt>
          <cx:pt idx="665">-0.125</cx:pt>
          <cx:pt idx="666">-0.125</cx:pt>
          <cx:pt idx="667">1.5</cx:pt>
          <cx:pt idx="668">-0.125</cx:pt>
          <cx:pt idx="669">-0.125</cx:pt>
          <cx:pt idx="670">-0.125</cx:pt>
          <cx:pt idx="671">0.375</cx:pt>
          <cx:pt idx="672">-1.5</cx:pt>
          <cx:pt idx="673">0.375</cx:pt>
          <cx:pt idx="674">0.375</cx:pt>
          <cx:pt idx="675">0.375</cx:pt>
          <cx:pt idx="676">-1.125</cx:pt>
          <cx:pt idx="677">0.375</cx:pt>
          <cx:pt idx="678">-3.125</cx:pt>
          <cx:pt idx="679">0.375</cx:pt>
          <cx:pt idx="680">0.375</cx:pt>
          <cx:pt idx="681">-1.625</cx:pt>
          <cx:pt idx="682">0.375</cx:pt>
          <cx:pt idx="683">0.375</cx:pt>
          <cx:pt idx="684">0.375</cx:pt>
          <cx:pt idx="685">0.375</cx:pt>
          <cx:pt idx="686">0.375</cx:pt>
          <cx:pt idx="687">0.375</cx:pt>
          <cx:pt idx="688">0.375</cx:pt>
          <cx:pt idx="689">-0.125</cx:pt>
          <cx:pt idx="690">0.375</cx:pt>
          <cx:pt idx="691">0.375</cx:pt>
          <cx:pt idx="692">0.375</cx:pt>
          <cx:pt idx="693">-1.5</cx:pt>
          <cx:pt idx="694">-4</cx:pt>
          <cx:pt idx="695">0.375</cx:pt>
          <cx:pt idx="696">0.375</cx:pt>
          <cx:pt idx="697">0.375</cx:pt>
          <cx:pt idx="698">-1.5</cx:pt>
          <cx:pt idx="699">0.375</cx:pt>
          <cx:pt idx="700">-5.5</cx:pt>
          <cx:pt idx="701">0.375</cx:pt>
          <cx:pt idx="702">-2.875</cx:pt>
          <cx:pt idx="703">-1.375</cx:pt>
          <cx:pt idx="704">0.375</cx:pt>
          <cx:pt idx="705">0.375</cx:pt>
          <cx:pt idx="706">0.375</cx:pt>
          <cx:pt idx="707">-0.125</cx:pt>
          <cx:pt idx="708">-1.125</cx:pt>
          <cx:pt idx="709">-0.875</cx:pt>
          <cx:pt idx="710">-0.875</cx:pt>
          <cx:pt idx="711">0.375</cx:pt>
          <cx:pt idx="712">-0.625</cx:pt>
          <cx:pt idx="713">0.375</cx:pt>
          <cx:pt idx="714">0.375</cx:pt>
          <cx:pt idx="715">-1.125</cx:pt>
          <cx:pt idx="716">0.375</cx:pt>
          <cx:pt idx="717">0.375</cx:pt>
          <cx:pt idx="718">-1.5</cx:pt>
          <cx:pt idx="719">-1.75</cx:pt>
          <cx:pt idx="720">0.375</cx:pt>
          <cx:pt idx="721">-1.5</cx:pt>
          <cx:pt idx="722">0.375</cx:pt>
          <cx:pt idx="723">0.375</cx:pt>
          <cx:pt idx="724">0.375</cx:pt>
          <cx:pt idx="725">-4.25</cx:pt>
          <cx:pt idx="726">0.375</cx:pt>
          <cx:pt idx="727">-1.875</cx:pt>
          <cx:pt idx="728">-1.25</cx:pt>
          <cx:pt idx="729">0.375</cx:pt>
          <cx:pt idx="730">0.375</cx:pt>
          <cx:pt idx="731">-5</cx:pt>
          <cx:pt idx="732">0.375</cx:pt>
          <cx:pt idx="733">0.375</cx:pt>
          <cx:pt idx="734">0.375</cx:pt>
          <cx:pt idx="735">-1.5</cx:pt>
          <cx:pt idx="736">0.375</cx:pt>
          <cx:pt idx="737">0.375</cx:pt>
          <cx:pt idx="738">0.375</cx:pt>
          <cx:pt idx="739">-1.5</cx:pt>
          <cx:pt idx="740">-1.5</cx:pt>
          <cx:pt idx="741">0.375</cx:pt>
          <cx:pt idx="742">0.375</cx:pt>
          <cx:pt idx="743">0.375</cx:pt>
          <cx:pt idx="744">0.375</cx:pt>
          <cx:pt idx="745">0.375</cx:pt>
          <cx:pt idx="746">0.375</cx:pt>
          <cx:pt idx="747">-1.5</cx:pt>
          <cx:pt idx="748">0.5</cx:pt>
          <cx:pt idx="749">-3</cx:pt>
          <cx:pt idx="750">-1.5</cx:pt>
          <cx:pt idx="751">0.375</cx:pt>
          <cx:pt idx="752">0.375</cx:pt>
          <cx:pt idx="753">0.5</cx:pt>
          <cx:pt idx="754">0.375</cx:pt>
          <cx:pt idx="755">0.5</cx:pt>
          <cx:pt idx="756">0.375</cx:pt>
          <cx:pt idx="757">-1.375</cx:pt>
          <cx:pt idx="758">-2.75</cx:pt>
          <cx:pt idx="759">-0.375</cx:pt>
          <cx:pt idx="760">2.375</cx:pt>
          <cx:pt idx="761">0.375</cx:pt>
          <cx:pt idx="762">0.375</cx:pt>
          <cx:pt idx="763">0.375</cx:pt>
          <cx:pt idx="764">-2.5</cx:pt>
          <cx:pt idx="765">0.375</cx:pt>
          <cx:pt idx="766">0.375</cx:pt>
          <cx:pt idx="767">0.375</cx:pt>
          <cx:pt idx="768">0.375</cx:pt>
          <cx:pt idx="769">-0.25</cx:pt>
          <cx:pt idx="770">-7</cx:pt>
          <cx:pt idx="771">0.375</cx:pt>
          <cx:pt idx="772">0.375</cx:pt>
          <cx:pt idx="773">0.375</cx:pt>
          <cx:pt idx="774">0.5</cx:pt>
          <cx:pt idx="775">-0.125</cx:pt>
          <cx:pt idx="776">0.375</cx:pt>
          <cx:pt idx="777">-1.5</cx:pt>
          <cx:pt idx="778">0.375</cx:pt>
          <cx:pt idx="779">0.375</cx:pt>
          <cx:pt idx="780">0.375</cx:pt>
          <cx:pt idx="781">0.375</cx:pt>
          <cx:pt idx="782">-2.875</cx:pt>
          <cx:pt idx="783">0.375</cx:pt>
          <cx:pt idx="784">-2.25</cx:pt>
          <cx:pt idx="785">0.375</cx:pt>
          <cx:pt idx="786">0.375</cx:pt>
          <cx:pt idx="787">0</cx:pt>
          <cx:pt idx="788">0.5</cx:pt>
          <cx:pt idx="789">0.375</cx:pt>
          <cx:pt idx="790">0.125</cx:pt>
          <cx:pt idx="791">0.375</cx:pt>
          <cx:pt idx="792">0.375</cx:pt>
          <cx:pt idx="793">0.5</cx:pt>
          <cx:pt idx="794">-0.125</cx:pt>
          <cx:pt idx="795">0.375</cx:pt>
          <cx:pt idx="796">0</cx:pt>
          <cx:pt idx="797">0.375</cx:pt>
          <cx:pt idx="798">0.375</cx:pt>
          <cx:pt idx="799">0.375</cx:pt>
          <cx:pt idx="800">0.375</cx:pt>
          <cx:pt idx="801">-1.75</cx:pt>
          <cx:pt idx="802">0.375</cx:pt>
          <cx:pt idx="803">0.375</cx:pt>
          <cx:pt idx="804">0.5</cx:pt>
          <cx:pt idx="805">0.375</cx:pt>
          <cx:pt idx="806">0.375</cx:pt>
          <cx:pt idx="807">-2.5</cx:pt>
          <cx:pt idx="808">0.375</cx:pt>
          <cx:pt idx="809">0</cx:pt>
          <cx:pt idx="810">0.375</cx:pt>
          <cx:pt idx="811">0.375</cx:pt>
          <cx:pt idx="812">0.375</cx:pt>
          <cx:pt idx="813">1</cx:pt>
          <cx:pt idx="814">0.375</cx:pt>
          <cx:pt idx="815">0.75</cx:pt>
          <cx:pt idx="816">0</cx:pt>
          <cx:pt idx="817">-2</cx:pt>
          <cx:pt idx="818">0</cx:pt>
          <cx:pt idx="819">0.25</cx:pt>
          <cx:pt idx="820">-2.5</cx:pt>
          <cx:pt idx="821">0.75</cx:pt>
          <cx:pt idx="822">0</cx:pt>
          <cx:pt idx="823">-7.75</cx:pt>
          <cx:pt idx="824">0.25</cx:pt>
          <cx:pt idx="825">0.25</cx:pt>
          <cx:pt idx="826">0.75</cx:pt>
          <cx:pt idx="827">-2.125</cx:pt>
          <cx:pt idx="828">0.75</cx:pt>
          <cx:pt idx="829">-2</cx:pt>
          <cx:pt idx="830">0.75</cx:pt>
          <cx:pt idx="831">0</cx:pt>
          <cx:pt idx="832">-2</cx:pt>
          <cx:pt idx="833">-1.5</cx:pt>
          <cx:pt idx="834">0</cx:pt>
          <cx:pt idx="835">0</cx:pt>
          <cx:pt idx="836">-2</cx:pt>
          <cx:pt idx="837">0.75</cx:pt>
          <cx:pt idx="838">-0.25</cx:pt>
          <cx:pt idx="839">-2</cx:pt>
          <cx:pt idx="840">0</cx:pt>
          <cx:pt idx="841">-2</cx:pt>
          <cx:pt idx="842">-0.25</cx:pt>
          <cx:pt idx="843">-2.5</cx:pt>
          <cx:pt idx="844">-0.25</cx:pt>
          <cx:pt idx="845">-0.25</cx:pt>
          <cx:pt idx="846">-2</cx:pt>
          <cx:pt idx="847">-2.5</cx:pt>
          <cx:pt idx="848">0.625</cx:pt>
          <cx:pt idx="849">-0.25</cx:pt>
          <cx:pt idx="850">-2</cx:pt>
          <cx:pt idx="851">-0.25</cx:pt>
          <cx:pt idx="852">-0.25</cx:pt>
          <cx:pt idx="853">0</cx:pt>
          <cx:pt idx="854">-2</cx:pt>
          <cx:pt idx="855">0</cx:pt>
          <cx:pt idx="856">0.5</cx:pt>
          <cx:pt idx="857">-2</cx:pt>
          <cx:pt idx="858">0.75</cx:pt>
          <cx:pt idx="859">0.625</cx:pt>
          <cx:pt idx="860">-5.75</cx:pt>
          <cx:pt idx="861">-0.25</cx:pt>
          <cx:pt idx="862">0.625</cx:pt>
          <cx:pt idx="863">0.25</cx:pt>
          <cx:pt idx="864">0</cx:pt>
          <cx:pt idx="865">-0.25</cx:pt>
          <cx:pt idx="866">0</cx:pt>
          <cx:pt idx="867">-1.875</cx:pt>
          <cx:pt idx="868">-0.25</cx:pt>
          <cx:pt idx="869">-2.25</cx:pt>
          <cx:pt idx="870">0.75</cx:pt>
          <cx:pt idx="871">0.625</cx:pt>
          <cx:pt idx="872">0.75</cx:pt>
          <cx:pt idx="873">0.75</cx:pt>
          <cx:pt idx="874">0</cx:pt>
          <cx:pt idx="875">-2.625</cx:pt>
          <cx:pt idx="876">-2</cx:pt>
          <cx:pt idx="877">-2</cx:pt>
          <cx:pt idx="878">-2</cx:pt>
          <cx:pt idx="879">-0.25</cx:pt>
          <cx:pt idx="880">-2</cx:pt>
          <cx:pt idx="881">0.75</cx:pt>
          <cx:pt idx="882">-2</cx:pt>
          <cx:pt idx="883">0.625</cx:pt>
          <cx:pt idx="884">0</cx:pt>
          <cx:pt idx="885">0.25</cx:pt>
          <cx:pt idx="886">-0.75</cx:pt>
          <cx:pt idx="887">-0.875</cx:pt>
          <cx:pt idx="888">-2</cx:pt>
          <cx:pt idx="889">-2</cx:pt>
          <cx:pt idx="890">0</cx:pt>
          <cx:pt idx="891">1.125</cx:pt>
          <cx:pt idx="892">-3.75</cx:pt>
          <cx:pt idx="893">0</cx:pt>
          <cx:pt idx="894">-2.25</cx:pt>
          <cx:pt idx="895">0.625</cx:pt>
          <cx:pt idx="896">0.375</cx:pt>
          <cx:pt idx="897">-2</cx:pt>
          <cx:pt idx="898">-3</cx:pt>
          <cx:pt idx="899">0</cx:pt>
          <cx:pt idx="900">1</cx:pt>
          <cx:pt idx="901">0.5</cx:pt>
          <cx:pt idx="902">0</cx:pt>
          <cx:pt idx="903">-2.375</cx:pt>
          <cx:pt idx="904">1</cx:pt>
          <cx:pt idx="905">0.375</cx:pt>
          <cx:pt idx="906">0.375</cx:pt>
          <cx:pt idx="907">0.25</cx:pt>
          <cx:pt idx="908">-3.5</cx:pt>
          <cx:pt idx="909">-8</cx:pt>
          <cx:pt idx="910">-3.125</cx:pt>
          <cx:pt idx="911">-0.25</cx:pt>
          <cx:pt idx="912">0.375</cx:pt>
          <cx:pt idx="913">0.125</cx:pt>
          <cx:pt idx="914">-5</cx:pt>
          <cx:pt idx="915">-2.75</cx:pt>
          <cx:pt idx="916">0</cx:pt>
          <cx:pt idx="917">-4</cx:pt>
          <cx:pt idx="918">0.5</cx:pt>
          <cx:pt idx="919">-0.25</cx:pt>
          <cx:pt idx="920">0.25</cx:pt>
          <cx:pt idx="921">0.25</cx:pt>
          <cx:pt idx="922">-2.5</cx:pt>
          <cx:pt idx="923">-2</cx:pt>
          <cx:pt idx="924">0.25</cx:pt>
          <cx:pt idx="925">-1.625</cx:pt>
          <cx:pt idx="926">0.25</cx:pt>
          <cx:pt idx="927">0.25</cx:pt>
          <cx:pt idx="928">1.25</cx:pt>
          <cx:pt idx="929">0.25</cx:pt>
          <cx:pt idx="930">0.25</cx:pt>
          <cx:pt idx="931">0.25</cx:pt>
          <cx:pt idx="932">-1.625</cx:pt>
          <cx:pt idx="933">-1.625</cx:pt>
          <cx:pt idx="934">-2</cx:pt>
          <cx:pt idx="935">0.875</cx:pt>
          <cx:pt idx="936">-4.75</cx:pt>
          <cx:pt idx="937">0.25</cx:pt>
          <cx:pt idx="938">-1.625</cx:pt>
          <cx:pt idx="939">0.25</cx:pt>
          <cx:pt idx="940">0.25</cx:pt>
          <cx:pt idx="941">-5.5</cx:pt>
          <cx:pt idx="942">-1.625</cx:pt>
          <cx:pt idx="943">0.25</cx:pt>
          <cx:pt idx="944">-1.25</cx:pt>
          <cx:pt idx="945">-2</cx:pt>
          <cx:pt idx="946">0.25</cx:pt>
          <cx:pt idx="947">-2.375</cx:pt>
          <cx:pt idx="948">-2</cx:pt>
          <cx:pt idx="949">-0.125</cx:pt>
          <cx:pt idx="950">-2.125</cx:pt>
          <cx:pt idx="951">0.25</cx:pt>
          <cx:pt idx="952">-1.375</cx:pt>
          <cx:pt idx="953">0.25</cx:pt>
          <cx:pt idx="954">0.25</cx:pt>
          <cx:pt idx="955">0.25</cx:pt>
          <cx:pt idx="956">-5.125</cx:pt>
          <cx:pt idx="957">0.25</cx:pt>
          <cx:pt idx="958">0.25</cx:pt>
          <cx:pt idx="959">-1.625</cx:pt>
          <cx:pt idx="960">-1.25</cx:pt>
          <cx:pt idx="961">-1.625</cx:pt>
          <cx:pt idx="962">0.25</cx:pt>
          <cx:pt idx="963">-1.625</cx:pt>
          <cx:pt idx="964">-2.875</cx:pt>
          <cx:pt idx="965">-1.25</cx:pt>
          <cx:pt idx="966">-1.625</cx:pt>
          <cx:pt idx="967">0.25</cx:pt>
          <cx:pt idx="968">-1.625</cx:pt>
          <cx:pt idx="969">-6.875</cx:pt>
          <cx:pt idx="970">0.25</cx:pt>
          <cx:pt idx="971">-1.625</cx:pt>
          <cx:pt idx="972">0.25</cx:pt>
          <cx:pt idx="973">0.25</cx:pt>
          <cx:pt idx="974">0.25</cx:pt>
          <cx:pt idx="975">-1.625</cx:pt>
          <cx:pt idx="976">0.25</cx:pt>
          <cx:pt idx="977">-0.25</cx:pt>
          <cx:pt idx="978">-4.375</cx:pt>
          <cx:pt idx="979">0.25</cx:pt>
          <cx:pt idx="980">0.25</cx:pt>
          <cx:pt idx="981">-2</cx:pt>
          <cx:pt idx="982">-1.625</cx:pt>
          <cx:pt idx="983">-5.125</cx:pt>
          <cx:pt idx="984">0.25</cx:pt>
          <cx:pt idx="985">-2</cx:pt>
          <cx:pt idx="986">0.25</cx:pt>
          <cx:pt idx="987">-1.25</cx:pt>
          <cx:pt idx="988">0.25</cx:pt>
          <cx:pt idx="989">-2</cx:pt>
          <cx:pt idx="990">0.25</cx:pt>
          <cx:pt idx="991">0.25</cx:pt>
          <cx:pt idx="992">0.25</cx:pt>
          <cx:pt idx="993">0.25</cx:pt>
          <cx:pt idx="994">0</cx:pt>
          <cx:pt idx="995">1</cx:pt>
          <cx:pt idx="996">0.25</cx:pt>
          <cx:pt idx="997">-2.375</cx:pt>
          <cx:pt idx="998">0.25</cx:pt>
          <cx:pt idx="999">-4.375</cx:pt>
          <cx:pt idx="1000">-1.25</cx:pt>
          <cx:pt idx="1001">0</cx:pt>
          <cx:pt idx="1002">0</cx:pt>
          <cx:pt idx="1003">1.125</cx:pt>
          <cx:pt idx="1004">-1.5</cx:pt>
          <cx:pt idx="1005">-1.25</cx:pt>
          <cx:pt idx="1006">-2</cx:pt>
          <cx:pt idx="1007">0</cx:pt>
          <cx:pt idx="1008">0.25</cx:pt>
          <cx:pt idx="1009">0</cx:pt>
          <cx:pt idx="1010">-2.375</cx:pt>
          <cx:pt idx="1011">-1.125</cx:pt>
          <cx:pt idx="1012">-4.375</cx:pt>
          <cx:pt idx="1013">0.25</cx:pt>
          <cx:pt idx="1014">-1.25</cx:pt>
          <cx:pt idx="1015">1.25</cx:pt>
          <cx:pt idx="1016">0.25</cx:pt>
          <cx:pt idx="1017">0.25</cx:pt>
          <cx:pt idx="1018">-0.125</cx:pt>
          <cx:pt idx="1019">0.25</cx:pt>
          <cx:pt idx="1020">0.25</cx:pt>
          <cx:pt idx="1021">0.25</cx:pt>
          <cx:pt idx="1022">-1.625</cx:pt>
          <cx:pt idx="1023">0.25</cx:pt>
          <cx:pt idx="1024">0.25</cx:pt>
          <cx:pt idx="1025">-1.875</cx:pt>
          <cx:pt idx="1026">-2.75</cx:pt>
          <cx:pt idx="1027">0.25</cx:pt>
          <cx:pt idx="1028">-2</cx:pt>
          <cx:pt idx="1029">-4.375</cx:pt>
          <cx:pt idx="1030">-1.5</cx:pt>
          <cx:pt idx="1031">-2.5</cx:pt>
          <cx:pt idx="1032">-0.5</cx:pt>
          <cx:pt idx="1033">-1</cx:pt>
          <cx:pt idx="1034">-6.625</cx:pt>
          <cx:pt idx="1035">-1.25</cx:pt>
          <cx:pt idx="1036">0.25</cx:pt>
          <cx:pt idx="1037">1.75</cx:pt>
          <cx:pt idx="1038">0.375</cx:pt>
          <cx:pt idx="1039">-5</cx:pt>
          <cx:pt idx="1040">0.625</cx:pt>
          <cx:pt idx="1041">-5.125</cx:pt>
          <cx:pt idx="1042">-0.875</cx:pt>
          <cx:pt idx="1043">0.375</cx:pt>
          <cx:pt idx="1044">0.375</cx:pt>
          <cx:pt idx="1045">-0.25</cx:pt>
          <cx:pt idx="1046">0.375</cx:pt>
          <cx:pt idx="1047">-1.5</cx:pt>
          <cx:pt idx="1048">0.5</cx:pt>
          <cx:pt idx="1049">-2.375</cx:pt>
          <cx:pt idx="1050">0.25</cx:pt>
          <cx:pt idx="1051">0.5</cx:pt>
          <cx:pt idx="1052">0.375</cx:pt>
          <cx:pt idx="1053">-0.25</cx:pt>
          <cx:pt idx="1054">-0.375</cx:pt>
          <cx:pt idx="1055">-0.25</cx:pt>
          <cx:pt idx="1056">0.625</cx:pt>
          <cx:pt idx="1057">-0.25</cx:pt>
          <cx:pt idx="1058">1.375</cx:pt>
          <cx:pt idx="1059">0.25</cx:pt>
          <cx:pt idx="1060">-9</cx:pt>
          <cx:pt idx="1061">0.25</cx:pt>
          <cx:pt idx="1062">0.25</cx:pt>
          <cx:pt idx="1063">0.25</cx:pt>
          <cx:pt idx="1064">1.25</cx:pt>
          <cx:pt idx="1065">1.375</cx:pt>
          <cx:pt idx="1066">0.25</cx:pt>
          <cx:pt idx="1067">-2</cx:pt>
          <cx:pt idx="1068">-0.25</cx:pt>
          <cx:pt idx="1069">0.29500000000000004</cx:pt>
          <cx:pt idx="1070">0.5</cx:pt>
          <cx:pt idx="1071">0.25</cx:pt>
          <cx:pt idx="1072">0</cx:pt>
          <cx:pt idx="1073">-2</cx:pt>
          <cx:pt idx="1074">0.25</cx:pt>
          <cx:pt idx="1075">-2</cx:pt>
          <cx:pt idx="1076">0.25</cx:pt>
          <cx:pt idx="1077">-7.75</cx:pt>
          <cx:pt idx="1078">0.75</cx:pt>
          <cx:pt idx="1079">0.25</cx:pt>
          <cx:pt idx="1080">-3.5</cx:pt>
          <cx:pt idx="1081">0.25</cx:pt>
          <cx:pt idx="1082">-2</cx:pt>
          <cx:pt idx="1083">0.625</cx:pt>
          <cx:pt idx="1084">0</cx:pt>
          <cx:pt idx="1085">0.25</cx:pt>
          <cx:pt idx="1086">-0.125</cx:pt>
          <cx:pt idx="1087">0.25</cx:pt>
          <cx:pt idx="1088">-1.625</cx:pt>
          <cx:pt idx="1089">-4.375</cx:pt>
          <cx:pt idx="1090">-0.25</cx:pt>
          <cx:pt idx="1091">0.25</cx:pt>
          <cx:pt idx="1092">0.25</cx:pt>
          <cx:pt idx="1093">-2</cx:pt>
          <cx:pt idx="1094">-1.625</cx:pt>
          <cx:pt idx="1095">0.25</cx:pt>
          <cx:pt idx="1096">-0.25</cx:pt>
          <cx:pt idx="1097">0.25</cx:pt>
          <cx:pt idx="1098">-2</cx:pt>
          <cx:pt idx="1099">0.25</cx:pt>
          <cx:pt idx="1100">0.25</cx:pt>
          <cx:pt idx="1101">-0.25</cx:pt>
          <cx:pt idx="1102">-2.375</cx:pt>
          <cx:pt idx="1103">0.25</cx:pt>
          <cx:pt idx="1104">0.5</cx:pt>
          <cx:pt idx="1105">-1.5</cx:pt>
          <cx:pt idx="1106">-1.25</cx:pt>
          <cx:pt idx="1107">-0.25</cx:pt>
          <cx:pt idx="1108">-0.25</cx:pt>
          <cx:pt idx="1109">0.25</cx:pt>
          <cx:pt idx="1110">-1.25</cx:pt>
          <cx:pt idx="1111">0.25</cx:pt>
          <cx:pt idx="1112">0.25</cx:pt>
          <cx:pt idx="1113">-0.25</cx:pt>
          <cx:pt idx="1114">-1.625</cx:pt>
          <cx:pt idx="1115">-2.875</cx:pt>
          <cx:pt idx="1116">-0.25</cx:pt>
          <cx:pt idx="1117">-3.625</cx:pt>
          <cx:pt idx="1118">-2.375</cx:pt>
          <cx:pt idx="1119">-1.75</cx:pt>
          <cx:pt idx="1120">-7</cx:pt>
          <cx:pt idx="1121">-2.375</cx:pt>
          <cx:pt idx="1122">-2.875</cx:pt>
          <cx:pt idx="1123">0.375</cx:pt>
          <cx:pt idx="1124">0.375</cx:pt>
          <cx:pt idx="1125">-0.125</cx:pt>
          <cx:pt idx="1126">0.375</cx:pt>
          <cx:pt idx="1127">0.375</cx:pt>
          <cx:pt idx="1128">-1.875</cx:pt>
          <cx:pt idx="1129">-0.125</cx:pt>
          <cx:pt idx="1130">0.375</cx:pt>
          <cx:pt idx="1131">0.375</cx:pt>
          <cx:pt idx="1132">-3</cx:pt>
          <cx:pt idx="1133">-2.125</cx:pt>
          <cx:pt idx="1134">-4.625</cx:pt>
          <cx:pt idx="1135">0.375</cx:pt>
          <cx:pt idx="1136">-0.25</cx:pt>
          <cx:pt idx="1137">-3.125</cx:pt>
          <cx:pt idx="1138">-2.375</cx:pt>
          <cx:pt idx="1139">0.375</cx:pt>
          <cx:pt idx="1140">-0.125</cx:pt>
          <cx:pt idx="1141">0.375</cx:pt>
          <cx:pt idx="1142">0.375</cx:pt>
          <cx:pt idx="1143">-1.625</cx:pt>
          <cx:pt idx="1144">-4.375</cx:pt>
          <cx:pt idx="1145">-1.5</cx:pt>
          <cx:pt idx="1146">-2.375</cx:pt>
          <cx:pt idx="1147">-1.625</cx:pt>
          <cx:pt idx="1148">-0.125</cx:pt>
          <cx:pt idx="1149">0.375</cx:pt>
          <cx:pt idx="1150">-1.625</cx:pt>
          <cx:pt idx="1151">-1.25</cx:pt>
          <cx:pt idx="1152">-0.125</cx:pt>
          <cx:pt idx="1153">-1.625</cx:pt>
          <cx:pt idx="1154">-2.375</cx:pt>
          <cx:pt idx="1155">-3.625</cx:pt>
          <cx:pt idx="1156">0.375</cx:pt>
          <cx:pt idx="1157">0.375</cx:pt>
          <cx:pt idx="1158">-1.625</cx:pt>
          <cx:pt idx="1159">-0.125</cx:pt>
          <cx:pt idx="1160">0.375</cx:pt>
          <cx:pt idx="1161">0.375</cx:pt>
          <cx:pt idx="1162">-4.625</cx:pt>
          <cx:pt idx="1163">-3</cx:pt>
          <cx:pt idx="1164">0.375</cx:pt>
          <cx:pt idx="1165">0.375</cx:pt>
          <cx:pt idx="1166">0.375</cx:pt>
          <cx:pt idx="1167">0.375</cx:pt>
          <cx:pt idx="1168">-1.75</cx:pt>
          <cx:pt idx="1169">0.375</cx:pt>
          <cx:pt idx="1170">-0.875</cx:pt>
          <cx:pt idx="1171">-0.125</cx:pt>
          <cx:pt idx="1172">0.375</cx:pt>
          <cx:pt idx="1173">0.375</cx:pt>
          <cx:pt idx="1174">-0.125</cx:pt>
          <cx:pt idx="1175">-0.125</cx:pt>
          <cx:pt idx="1176">0.375</cx:pt>
          <cx:pt idx="1177">-3.5</cx:pt>
          <cx:pt idx="1178">0.375</cx:pt>
          <cx:pt idx="1179">-0.125</cx:pt>
          <cx:pt idx="1180">0.375</cx:pt>
          <cx:pt idx="1181">-0.125</cx:pt>
          <cx:pt idx="1182">0.375</cx:pt>
          <cx:pt idx="1183">-2.25</cx:pt>
          <cx:pt idx="1184">0.375</cx:pt>
          <cx:pt idx="1185">-1.5</cx:pt>
          <cx:pt idx="1186">-0.125</cx:pt>
          <cx:pt idx="1187">-0.125</cx:pt>
          <cx:pt idx="1188">-0.125</cx:pt>
          <cx:pt idx="1189">-2</cx:pt>
          <cx:pt idx="1190">-0.125</cx:pt>
          <cx:pt idx="1191">0.375</cx:pt>
          <cx:pt idx="1192">-4.375</cx:pt>
          <cx:pt idx="1193">-0.125</cx:pt>
          <cx:pt idx="1194">-2.375</cx:pt>
          <cx:pt idx="1195">-1.625</cx:pt>
          <cx:pt idx="1196">0.375</cx:pt>
          <cx:pt idx="1197">-1.875</cx:pt>
          <cx:pt idx="1198">-0.125</cx:pt>
          <cx:pt idx="1199">-2.625</cx:pt>
          <cx:pt idx="1200">4.625</cx:pt>
          <cx:pt idx="1201">-3</cx:pt>
          <cx:pt idx="1202">0.625</cx:pt>
          <cx:pt idx="1203">-0.125</cx:pt>
          <cx:pt idx="1204">-0.125</cx:pt>
          <cx:pt idx="1205">-1.375</cx:pt>
          <cx:pt idx="1206">-0.125</cx:pt>
          <cx:pt idx="1207">0.375</cx:pt>
          <cx:pt idx="1208">-0.125</cx:pt>
          <cx:pt idx="1209">0.375</cx:pt>
          <cx:pt idx="1210">0.375</cx:pt>
          <cx:pt idx="1211">-2.625</cx:pt>
          <cx:pt idx="1212">-5</cx:pt>
          <cx:pt idx="1213">-2.75</cx:pt>
          <cx:pt idx="1214">0.375</cx:pt>
          <cx:pt idx="1215">0.375</cx:pt>
          <cx:pt idx="1216">-2.25</cx:pt>
          <cx:pt idx="1217">0.375</cx:pt>
          <cx:pt idx="1218">0.375</cx:pt>
          <cx:pt idx="1219">0.375</cx:pt>
          <cx:pt idx="1220">-0.25</cx:pt>
          <cx:pt idx="1221">0</cx:pt>
          <cx:pt idx="1222">-2.5</cx:pt>
          <cx:pt idx="1223">0.375</cx:pt>
          <cx:pt idx="1224">0.375</cx:pt>
          <cx:pt idx="1225">0.375</cx:pt>
          <cx:pt idx="1226">0.375</cx:pt>
          <cx:pt idx="1227">0.125</cx:pt>
          <cx:pt idx="1228">0.25</cx:pt>
          <cx:pt idx="1229">0.375</cx:pt>
          <cx:pt idx="1230">-0.125</cx:pt>
        </cx:lvl>
      </cx:numDim>
    </cx:data>
    <cx:data id="1">
      <cx:strDim type="cat">
        <cx:f>'SER (4)'!$A$2:$A$1232</cx:f>
        <cx:lvl ptCount="1231">
          <cx:pt idx="0">1 класс</cx:pt>
          <cx:pt idx="1">1 класс</cx:pt>
          <cx:pt idx="2">1 класс</cx:pt>
          <cx:pt idx="3">1 класс</cx:pt>
          <cx:pt idx="4">1 класс</cx:pt>
          <cx:pt idx="5">1 класс</cx:pt>
          <cx:pt idx="6">1 класс</cx:pt>
          <cx:pt idx="7">1 класс</cx:pt>
          <cx:pt idx="8">1 класс</cx:pt>
          <cx:pt idx="9">1 класс</cx:pt>
          <cx:pt idx="10">1 класс</cx:pt>
          <cx:pt idx="11">1 класс</cx:pt>
          <cx:pt idx="12">1 класс</cx:pt>
          <cx:pt idx="13">1 класс</cx:pt>
          <cx:pt idx="14">1 класс</cx:pt>
          <cx:pt idx="15">1 класс</cx:pt>
          <cx:pt idx="16">1 класс</cx:pt>
          <cx:pt idx="17">1 класс</cx:pt>
          <cx:pt idx="18">1 класс</cx:pt>
          <cx:pt idx="19">1 класс</cx:pt>
          <cx:pt idx="20">1 класс</cx:pt>
          <cx:pt idx="21">1 класс</cx:pt>
          <cx:pt idx="22">1 класс</cx:pt>
          <cx:pt idx="23">1 класс</cx:pt>
          <cx:pt idx="24">1 класс</cx:pt>
          <cx:pt idx="25">1 класс</cx:pt>
          <cx:pt idx="26">1 класс</cx:pt>
          <cx:pt idx="27">1 класс</cx:pt>
          <cx:pt idx="28">1 класс</cx:pt>
          <cx:pt idx="29">1 класс</cx:pt>
          <cx:pt idx="30">1 класс</cx:pt>
          <cx:pt idx="31">1 класс</cx:pt>
          <cx:pt idx="32">1 класс</cx:pt>
          <cx:pt idx="33">1 класс</cx:pt>
          <cx:pt idx="34">1 класс</cx:pt>
          <cx:pt idx="35">1 класс</cx:pt>
          <cx:pt idx="36">1 класс</cx:pt>
          <cx:pt idx="37">1 класс</cx:pt>
          <cx:pt idx="38">1 класс</cx:pt>
          <cx:pt idx="39">1 класс</cx:pt>
          <cx:pt idx="40">1 класс</cx:pt>
          <cx:pt idx="41">1 класс</cx:pt>
          <cx:pt idx="42">1 класс</cx:pt>
          <cx:pt idx="43">1 класс</cx:pt>
          <cx:pt idx="44">1 класс</cx:pt>
          <cx:pt idx="45">1 класс</cx:pt>
          <cx:pt idx="46">1 класс</cx:pt>
          <cx:pt idx="47">1 класс</cx:pt>
          <cx:pt idx="48">1 класс</cx:pt>
          <cx:pt idx="49">1 класс</cx:pt>
          <cx:pt idx="50">1 класс</cx:pt>
          <cx:pt idx="51">1 класс</cx:pt>
          <cx:pt idx="52">1 класс</cx:pt>
          <cx:pt idx="53">1 класс</cx:pt>
          <cx:pt idx="54">1 класс</cx:pt>
          <cx:pt idx="55">1 класс</cx:pt>
          <cx:pt idx="56">1 класс</cx:pt>
          <cx:pt idx="57">1 класс</cx:pt>
          <cx:pt idx="58">1 класс</cx:pt>
          <cx:pt idx="59">1 класс</cx:pt>
          <cx:pt idx="60">1 класс</cx:pt>
          <cx:pt idx="61">1 класс</cx:pt>
          <cx:pt idx="62">1 класс</cx:pt>
          <cx:pt idx="63">1 класс</cx:pt>
          <cx:pt idx="64">1 класс</cx:pt>
          <cx:pt idx="65">1 класс</cx:pt>
          <cx:pt idx="66">1 класс</cx:pt>
          <cx:pt idx="67">1 класс</cx:pt>
          <cx:pt idx="68">1 класс</cx:pt>
          <cx:pt idx="69">1 класс</cx:pt>
          <cx:pt idx="70">1 класс</cx:pt>
          <cx:pt idx="71">1 класс</cx:pt>
          <cx:pt idx="72">1 класс</cx:pt>
          <cx:pt idx="73">1 класс</cx:pt>
          <cx:pt idx="74">1 класс</cx:pt>
          <cx:pt idx="75">1 класс</cx:pt>
          <cx:pt idx="76">1 класс</cx:pt>
          <cx:pt idx="77">1 класс</cx:pt>
          <cx:pt idx="78">1 класс</cx:pt>
          <cx:pt idx="79">1 класс</cx:pt>
          <cx:pt idx="80">1 класс</cx:pt>
          <cx:pt idx="81">1 класс</cx:pt>
          <cx:pt idx="82">1 класс</cx:pt>
          <cx:pt idx="83">1 класс</cx:pt>
          <cx:pt idx="84">1 класс</cx:pt>
          <cx:pt idx="85">1 класс</cx:pt>
          <cx:pt idx="86">1 класс</cx:pt>
          <cx:pt idx="87">1 класс</cx:pt>
          <cx:pt idx="88">1 класс</cx:pt>
          <cx:pt idx="89">1 класс</cx:pt>
          <cx:pt idx="90">1 класс</cx:pt>
          <cx:pt idx="91">1 класс</cx:pt>
          <cx:pt idx="92">1 класс</cx:pt>
          <cx:pt idx="93">1 класс</cx:pt>
          <cx:pt idx="94">1 класс</cx:pt>
          <cx:pt idx="95">1 класс</cx:pt>
          <cx:pt idx="96">1 класс</cx:pt>
          <cx:pt idx="97">1 класс</cx:pt>
          <cx:pt idx="98">1 класс</cx:pt>
          <cx:pt idx="99">1 класс</cx:pt>
          <cx:pt idx="100">1 класс</cx:pt>
          <cx:pt idx="101">1 класс</cx:pt>
          <cx:pt idx="102">1 класс</cx:pt>
          <cx:pt idx="103">1 класс</cx:pt>
          <cx:pt idx="104">1 класс</cx:pt>
          <cx:pt idx="105">1 класс</cx:pt>
          <cx:pt idx="106">1 класс</cx:pt>
          <cx:pt idx="107">1 класс</cx:pt>
          <cx:pt idx="108">1 класс</cx:pt>
          <cx:pt idx="109">1 класс</cx:pt>
          <cx:pt idx="110">1 класс</cx:pt>
          <cx:pt idx="111">1 класс</cx:pt>
          <cx:pt idx="112">1 класс</cx:pt>
          <cx:pt idx="113">1 класс</cx:pt>
          <cx:pt idx="114">1 класс</cx:pt>
          <cx:pt idx="115">1 класс</cx:pt>
          <cx:pt idx="116">1 класс</cx:pt>
          <cx:pt idx="117">1 класс</cx:pt>
          <cx:pt idx="118">1 класс</cx:pt>
          <cx:pt idx="119">1 класс</cx:pt>
          <cx:pt idx="120">1 класс</cx:pt>
          <cx:pt idx="121">1 класс</cx:pt>
          <cx:pt idx="122">1 класс</cx:pt>
          <cx:pt idx="123">1 класс</cx:pt>
          <cx:pt idx="124">1 класс</cx:pt>
          <cx:pt idx="125">1 класс</cx:pt>
          <cx:pt idx="126">1 класс</cx:pt>
          <cx:pt idx="127">1 класс</cx:pt>
          <cx:pt idx="128">1 класс</cx:pt>
          <cx:pt idx="129">1 класс</cx:pt>
          <cx:pt idx="130">1 класс</cx:pt>
          <cx:pt idx="131">1 класс</cx:pt>
          <cx:pt idx="132">1 класс</cx:pt>
          <cx:pt idx="133">1 класс</cx:pt>
          <cx:pt idx="134">1 класс</cx:pt>
          <cx:pt idx="135">1 класс</cx:pt>
          <cx:pt idx="136">1 класс</cx:pt>
          <cx:pt idx="137">1 класс</cx:pt>
          <cx:pt idx="138">1 класс</cx:pt>
          <cx:pt idx="139">1 класс</cx:pt>
          <cx:pt idx="140">1 класс</cx:pt>
          <cx:pt idx="141">1 класс</cx:pt>
          <cx:pt idx="142">1 класс</cx:pt>
          <cx:pt idx="143">1 класс</cx:pt>
          <cx:pt idx="144">1 класс</cx:pt>
          <cx:pt idx="145">1 класс</cx:pt>
          <cx:pt idx="146">1 класс</cx:pt>
          <cx:pt idx="147">1 класс</cx:pt>
          <cx:pt idx="148">1 класс</cx:pt>
          <cx:pt idx="149">1 класс</cx:pt>
          <cx:pt idx="150">1 класс</cx:pt>
          <cx:pt idx="151">1 класс</cx:pt>
          <cx:pt idx="152">1 класс</cx:pt>
          <cx:pt idx="153">1 класс</cx:pt>
          <cx:pt idx="154">1 класс</cx:pt>
          <cx:pt idx="155">1 класс</cx:pt>
          <cx:pt idx="156">1 класс</cx:pt>
          <cx:pt idx="157">1 класс</cx:pt>
          <cx:pt idx="158">1 класс</cx:pt>
          <cx:pt idx="159">1 класс</cx:pt>
          <cx:pt idx="160">1 класс</cx:pt>
          <cx:pt idx="161">1 класс</cx:pt>
          <cx:pt idx="162">1 класс</cx:pt>
          <cx:pt idx="163">1 класс</cx:pt>
          <cx:pt idx="164">1 класс</cx:pt>
          <cx:pt idx="165">1 класс</cx:pt>
          <cx:pt idx="166">1 класс</cx:pt>
          <cx:pt idx="167">1 класс</cx:pt>
          <cx:pt idx="168">1 класс</cx:pt>
          <cx:pt idx="169">1 класс</cx:pt>
          <cx:pt idx="170">1 класс</cx:pt>
          <cx:pt idx="171">1 класс</cx:pt>
          <cx:pt idx="172">1 класс</cx:pt>
          <cx:pt idx="173">1 класс</cx:pt>
          <cx:pt idx="174">1 класс</cx:pt>
          <cx:pt idx="175">1 класс</cx:pt>
          <cx:pt idx="176">1 класс</cx:pt>
          <cx:pt idx="177">1 класс</cx:pt>
          <cx:pt idx="178">1 класс</cx:pt>
          <cx:pt idx="179">1 класс</cx:pt>
          <cx:pt idx="180">1 класс</cx:pt>
          <cx:pt idx="181">1 класс</cx:pt>
          <cx:pt idx="182">1 класс</cx:pt>
          <cx:pt idx="183">1 класс</cx:pt>
          <cx:pt idx="184">1 класс</cx:pt>
          <cx:pt idx="185">1 класс</cx:pt>
          <cx:pt idx="186">1 класс</cx:pt>
          <cx:pt idx="187">1 класс</cx:pt>
          <cx:pt idx="188">1 класс</cx:pt>
          <cx:pt idx="189">1 класс</cx:pt>
          <cx:pt idx="190">1 класс</cx:pt>
          <cx:pt idx="191">1 класс</cx:pt>
          <cx:pt idx="192">1 класс</cx:pt>
          <cx:pt idx="193">1 класс</cx:pt>
          <cx:pt idx="194">1 класс</cx:pt>
          <cx:pt idx="195">1 класс</cx:pt>
          <cx:pt idx="196">1 класс</cx:pt>
          <cx:pt idx="197">1 класс</cx:pt>
          <cx:pt idx="198">1 класс</cx:pt>
          <cx:pt idx="199">1 класс</cx:pt>
          <cx:pt idx="200">1 класс</cx:pt>
          <cx:pt idx="201">1 класс</cx:pt>
          <cx:pt idx="202">1 класс</cx:pt>
          <cx:pt idx="203">1 класс</cx:pt>
          <cx:pt idx="204">1 класс</cx:pt>
          <cx:pt idx="205">1 класс</cx:pt>
          <cx:pt idx="206">1 класс</cx:pt>
          <cx:pt idx="207">1 класс</cx:pt>
          <cx:pt idx="208">1 класс</cx:pt>
          <cx:pt idx="209">1 класс</cx:pt>
          <cx:pt idx="210">1 класс</cx:pt>
          <cx:pt idx="211">1 класс</cx:pt>
          <cx:pt idx="212">1 класс</cx:pt>
          <cx:pt idx="213">1 класс</cx:pt>
          <cx:pt idx="214">1 класс</cx:pt>
          <cx:pt idx="215">1 класс</cx:pt>
          <cx:pt idx="216">1 класс</cx:pt>
          <cx:pt idx="217">1 класс</cx:pt>
          <cx:pt idx="218">1 класс</cx:pt>
          <cx:pt idx="219">1 класс</cx:pt>
          <cx:pt idx="220">1 класс</cx:pt>
          <cx:pt idx="221">1 класс</cx:pt>
          <cx:pt idx="222">1 класс</cx:pt>
          <cx:pt idx="223">1 класс</cx:pt>
          <cx:pt idx="224">1 класс</cx:pt>
          <cx:pt idx="225">1 класс</cx:pt>
          <cx:pt idx="226">1 класс</cx:pt>
          <cx:pt idx="227">1 класс</cx:pt>
          <cx:pt idx="228">1 класс</cx:pt>
          <cx:pt idx="229">1 класс</cx:pt>
          <cx:pt idx="230">1 класс</cx:pt>
          <cx:pt idx="231">1 класс</cx:pt>
          <cx:pt idx="232">1 класс</cx:pt>
          <cx:pt idx="233">1 класс</cx:pt>
          <cx:pt idx="234">1 класс</cx:pt>
          <cx:pt idx="235">1 класс</cx:pt>
          <cx:pt idx="236">1 класс</cx:pt>
          <cx:pt idx="237">1 класс</cx:pt>
          <cx:pt idx="238">1 класс</cx:pt>
          <cx:pt idx="239">1 класс</cx:pt>
          <cx:pt idx="240">1 класс</cx:pt>
          <cx:pt idx="241">1 класс</cx:pt>
          <cx:pt idx="242">1 класс</cx:pt>
          <cx:pt idx="243">1 класс</cx:pt>
          <cx:pt idx="244">1 класс</cx:pt>
          <cx:pt idx="245">1 класс</cx:pt>
          <cx:pt idx="246">1 класс</cx:pt>
          <cx:pt idx="247">1 класс</cx:pt>
          <cx:pt idx="248">1 класс</cx:pt>
          <cx:pt idx="249">1 класс</cx:pt>
          <cx:pt idx="250">1 класс</cx:pt>
          <cx:pt idx="251">1 класс</cx:pt>
          <cx:pt idx="252">1 класс</cx:pt>
          <cx:pt idx="253">1 класс</cx:pt>
          <cx:pt idx="254">1 класс</cx:pt>
          <cx:pt idx="255">1 класс</cx:pt>
          <cx:pt idx="256">1 класс</cx:pt>
          <cx:pt idx="257">1 класс</cx:pt>
          <cx:pt idx="258">1 класс</cx:pt>
          <cx:pt idx="259">1 класс</cx:pt>
          <cx:pt idx="260">1 класс</cx:pt>
          <cx:pt idx="261">1 класс</cx:pt>
          <cx:pt idx="262">1 класс</cx:pt>
          <cx:pt idx="263">1 класс</cx:pt>
          <cx:pt idx="264">1 класс</cx:pt>
          <cx:pt idx="265">1 класс</cx:pt>
          <cx:pt idx="266">1 класс</cx:pt>
          <cx:pt idx="267">1 класс</cx:pt>
          <cx:pt idx="268">1 класс</cx:pt>
          <cx:pt idx="269">1 класс</cx:pt>
          <cx:pt idx="270">1 класс</cx:pt>
          <cx:pt idx="271">1 класс</cx:pt>
          <cx:pt idx="272">1 класс</cx:pt>
          <cx:pt idx="273">1 класс</cx:pt>
          <cx:pt idx="274">1 класс</cx:pt>
          <cx:pt idx="275">1 класс</cx:pt>
          <cx:pt idx="276">1 класс</cx:pt>
          <cx:pt idx="277">1 класс</cx:pt>
          <cx:pt idx="278">1 класс</cx:pt>
          <cx:pt idx="279">1 класс</cx:pt>
          <cx:pt idx="280">1 класс</cx:pt>
          <cx:pt idx="281">1 класс</cx:pt>
          <cx:pt idx="282">1 класс</cx:pt>
          <cx:pt idx="283">1 класс</cx:pt>
          <cx:pt idx="284">1 класс</cx:pt>
          <cx:pt idx="285">1 класс</cx:pt>
          <cx:pt idx="286">1 класс</cx:pt>
          <cx:pt idx="287">1 класс</cx:pt>
          <cx:pt idx="288">1 класс</cx:pt>
          <cx:pt idx="289">1 класс</cx:pt>
          <cx:pt idx="290">1 класс</cx:pt>
          <cx:pt idx="291">1 класс</cx:pt>
          <cx:pt idx="292">1 класс</cx:pt>
          <cx:pt idx="293">1 класс</cx:pt>
          <cx:pt idx="294">1 класс</cx:pt>
          <cx:pt idx="295">1 класс</cx:pt>
          <cx:pt idx="296">1 класс</cx:pt>
          <cx:pt idx="297">1 класс</cx:pt>
          <cx:pt idx="298">1 класс</cx:pt>
          <cx:pt idx="299">1 класс</cx:pt>
          <cx:pt idx="300">1 класс</cx:pt>
          <cx:pt idx="301">1 класс</cx:pt>
          <cx:pt idx="302">1 класс</cx:pt>
          <cx:pt idx="303">1 класс</cx:pt>
          <cx:pt idx="304">1 класс</cx:pt>
          <cx:pt idx="305">1 класс</cx:pt>
          <cx:pt idx="306">1 класс</cx:pt>
          <cx:pt idx="307">1 класс</cx:pt>
          <cx:pt idx="308">1 класс</cx:pt>
          <cx:pt idx="309">1 класс</cx:pt>
          <cx:pt idx="310">1 класс</cx:pt>
          <cx:pt idx="311">1 класс</cx:pt>
          <cx:pt idx="312">1 класс</cx:pt>
          <cx:pt idx="313">1 класс</cx:pt>
          <cx:pt idx="314">1 класс</cx:pt>
          <cx:pt idx="315">1 класс</cx:pt>
          <cx:pt idx="316">1 класс</cx:pt>
          <cx:pt idx="317">1 класс</cx:pt>
          <cx:pt idx="318">1 класс</cx:pt>
          <cx:pt idx="319">1 класс</cx:pt>
          <cx:pt idx="320">1 класс</cx:pt>
          <cx:pt idx="321">1 класс</cx:pt>
          <cx:pt idx="322">1 класс</cx:pt>
          <cx:pt idx="323">1 класс</cx:pt>
          <cx:pt idx="324">1 класс</cx:pt>
          <cx:pt idx="325">1 класс</cx:pt>
          <cx:pt idx="326">1 класс</cx:pt>
          <cx:pt idx="327">1 класс</cx:pt>
          <cx:pt idx="328">1 класс</cx:pt>
          <cx:pt idx="329">1 класс</cx:pt>
          <cx:pt idx="330">1 класс</cx:pt>
          <cx:pt idx="331">1 класс</cx:pt>
          <cx:pt idx="332">1 класс</cx:pt>
          <cx:pt idx="333">1 класс</cx:pt>
          <cx:pt idx="334">1 класс</cx:pt>
          <cx:pt idx="335">1 класс</cx:pt>
          <cx:pt idx="336">1 класс</cx:pt>
          <cx:pt idx="337">1 класс</cx:pt>
          <cx:pt idx="338">1 класс</cx:pt>
          <cx:pt idx="339">1 класс</cx:pt>
          <cx:pt idx="340">1 класс</cx:pt>
          <cx:pt idx="341">1 класс</cx:pt>
          <cx:pt idx="342">1 класс</cx:pt>
          <cx:pt idx="343">1 класс</cx:pt>
          <cx:pt idx="344">1 класс</cx:pt>
          <cx:pt idx="345">1 класс</cx:pt>
          <cx:pt idx="346">1 класс</cx:pt>
          <cx:pt idx="347">1 класс</cx:pt>
          <cx:pt idx="348">1 класс</cx:pt>
          <cx:pt idx="349">1 класс</cx:pt>
          <cx:pt idx="350">1 класс</cx:pt>
          <cx:pt idx="351">1 класс</cx:pt>
          <cx:pt idx="352">1 класс</cx:pt>
          <cx:pt idx="353">1 класс</cx:pt>
          <cx:pt idx="354">1 класс</cx:pt>
          <cx:pt idx="355">1 класс</cx:pt>
          <cx:pt idx="356">1 класс</cx:pt>
          <cx:pt idx="357">1 класс</cx:pt>
          <cx:pt idx="358">1 класс</cx:pt>
          <cx:pt idx="359">1 класс</cx:pt>
          <cx:pt idx="360">1 класс</cx:pt>
          <cx:pt idx="361">1 класс</cx:pt>
          <cx:pt idx="362">1 класс</cx:pt>
          <cx:pt idx="363">1 класс</cx:pt>
          <cx:pt idx="364">1 класс</cx:pt>
          <cx:pt idx="365">1 класс</cx:pt>
          <cx:pt idx="366">1 класс</cx:pt>
          <cx:pt idx="367">1 класс</cx:pt>
          <cx:pt idx="368">1 класс</cx:pt>
          <cx:pt idx="369">1 класс</cx:pt>
          <cx:pt idx="370">1 класс</cx:pt>
          <cx:pt idx="371">1 класс</cx:pt>
          <cx:pt idx="372">1 класс</cx:pt>
          <cx:pt idx="373">1 класс</cx:pt>
          <cx:pt idx="374">1 класс</cx:pt>
          <cx:pt idx="375">1 класс</cx:pt>
          <cx:pt idx="376">1 класс</cx:pt>
          <cx:pt idx="377">1 класс</cx:pt>
          <cx:pt idx="378">1 класс</cx:pt>
          <cx:pt idx="379">1 класс</cx:pt>
          <cx:pt idx="380">1 класс</cx:pt>
          <cx:pt idx="381">1 класс</cx:pt>
          <cx:pt idx="382">1 класс</cx:pt>
          <cx:pt idx="383">1 класс</cx:pt>
          <cx:pt idx="384">1 класс</cx:pt>
          <cx:pt idx="385">1 класс</cx:pt>
          <cx:pt idx="386">1 класс</cx:pt>
          <cx:pt idx="387">1 класс</cx:pt>
          <cx:pt idx="388">1 класс</cx:pt>
          <cx:pt idx="389">1 класс</cx:pt>
          <cx:pt idx="390">1 класс</cx:pt>
          <cx:pt idx="391">1 класс</cx:pt>
          <cx:pt idx="392">1 класс</cx:pt>
          <cx:pt idx="393">1 класс</cx:pt>
          <cx:pt idx="394">1 класс</cx:pt>
          <cx:pt idx="395">1 класс</cx:pt>
          <cx:pt idx="396">1 класс</cx:pt>
          <cx:pt idx="397">1 класс</cx:pt>
          <cx:pt idx="398">1 класс</cx:pt>
          <cx:pt idx="399">1 класс</cx:pt>
          <cx:pt idx="400">1 класс</cx:pt>
          <cx:pt idx="401">1 класс</cx:pt>
          <cx:pt idx="402">1 класс</cx:pt>
          <cx:pt idx="403">1 класс</cx:pt>
          <cx:pt idx="404">1 класс</cx:pt>
          <cx:pt idx="405">1 класс</cx:pt>
          <cx:pt idx="406">1 класс</cx:pt>
          <cx:pt idx="407">1 класс</cx:pt>
          <cx:pt idx="408">1 класс</cx:pt>
          <cx:pt idx="409">1 класс</cx:pt>
          <cx:pt idx="410">1 класс</cx:pt>
          <cx:pt idx="411">1 класс</cx:pt>
          <cx:pt idx="412">1 класс</cx:pt>
          <cx:pt idx="413">5 класс</cx:pt>
          <cx:pt idx="414">5 класс</cx:pt>
          <cx:pt idx="415">5 класс</cx:pt>
          <cx:pt idx="416">5 класс</cx:pt>
          <cx:pt idx="417">5 класс</cx:pt>
          <cx:pt idx="418">5 класс</cx:pt>
          <cx:pt idx="419">5 класс</cx:pt>
          <cx:pt idx="420">5 класс</cx:pt>
          <cx:pt idx="421">5 класс</cx:pt>
          <cx:pt idx="422">5 класс</cx:pt>
          <cx:pt idx="423">5 класс</cx:pt>
          <cx:pt idx="424">5 класс</cx:pt>
          <cx:pt idx="425">5 класс</cx:pt>
          <cx:pt idx="426">5 класс</cx:pt>
          <cx:pt idx="427">5 класс</cx:pt>
          <cx:pt idx="428">5 класс</cx:pt>
          <cx:pt idx="429">5 класс</cx:pt>
          <cx:pt idx="430">5 класс</cx:pt>
          <cx:pt idx="431">5 класс</cx:pt>
          <cx:pt idx="432">5 класс</cx:pt>
          <cx:pt idx="433">5 класс</cx:pt>
          <cx:pt idx="434">5 класс</cx:pt>
          <cx:pt idx="435">5 класс</cx:pt>
          <cx:pt idx="436">5 класс</cx:pt>
          <cx:pt idx="437">5 класс</cx:pt>
          <cx:pt idx="438">5 класс</cx:pt>
          <cx:pt idx="439">5 класс</cx:pt>
          <cx:pt idx="440">5 класс</cx:pt>
          <cx:pt idx="441">5 класс</cx:pt>
          <cx:pt idx="442">5 класс</cx:pt>
          <cx:pt idx="443">5 класс</cx:pt>
          <cx:pt idx="444">5 класс</cx:pt>
          <cx:pt idx="445">5 класс</cx:pt>
          <cx:pt idx="446">5 класс</cx:pt>
          <cx:pt idx="447">5 класс</cx:pt>
          <cx:pt idx="448">5 класс</cx:pt>
          <cx:pt idx="449">5 класс</cx:pt>
          <cx:pt idx="450">5 класс</cx:pt>
          <cx:pt idx="451">5 класс</cx:pt>
          <cx:pt idx="452">5 класс</cx:pt>
          <cx:pt idx="453">5 класс</cx:pt>
          <cx:pt idx="454">5 класс</cx:pt>
          <cx:pt idx="455">5 класс</cx:pt>
          <cx:pt idx="456">5 класс</cx:pt>
          <cx:pt idx="457">5 класс</cx:pt>
          <cx:pt idx="458">5 класс</cx:pt>
          <cx:pt idx="459">5 класс</cx:pt>
          <cx:pt idx="460">5 класс</cx:pt>
          <cx:pt idx="461">5 класс</cx:pt>
          <cx:pt idx="462">5 класс</cx:pt>
          <cx:pt idx="463">5 класс</cx:pt>
          <cx:pt idx="464">5 класс</cx:pt>
          <cx:pt idx="465">5 класс</cx:pt>
          <cx:pt idx="466">5 класс</cx:pt>
          <cx:pt idx="467">5 класс</cx:pt>
          <cx:pt idx="468">5 класс</cx:pt>
          <cx:pt idx="469">5 класс</cx:pt>
          <cx:pt idx="470">5 класс</cx:pt>
          <cx:pt idx="471">5 класс</cx:pt>
          <cx:pt idx="472">5 класс</cx:pt>
          <cx:pt idx="473">5 класс</cx:pt>
          <cx:pt idx="474">5 класс</cx:pt>
          <cx:pt idx="475">5 класс</cx:pt>
          <cx:pt idx="476">5 класс</cx:pt>
          <cx:pt idx="477">5 класс</cx:pt>
          <cx:pt idx="478">5 класс</cx:pt>
          <cx:pt idx="479">5 класс</cx:pt>
          <cx:pt idx="480">5 класс</cx:pt>
          <cx:pt idx="481">5 класс</cx:pt>
          <cx:pt idx="482">5 класс</cx:pt>
          <cx:pt idx="483">5 класс</cx:pt>
          <cx:pt idx="484">5 класс</cx:pt>
          <cx:pt idx="485">5 класс</cx:pt>
          <cx:pt idx="486">5 класс</cx:pt>
          <cx:pt idx="487">5 класс</cx:pt>
          <cx:pt idx="488">5 класс</cx:pt>
          <cx:pt idx="489">5 класс</cx:pt>
          <cx:pt idx="490">5 класс</cx:pt>
          <cx:pt idx="491">5 класс</cx:pt>
          <cx:pt idx="492">5 класс</cx:pt>
          <cx:pt idx="493">5 класс</cx:pt>
          <cx:pt idx="494">5 класс</cx:pt>
          <cx:pt idx="495">5 класс</cx:pt>
          <cx:pt idx="496">5 класс</cx:pt>
          <cx:pt idx="497">5 класс</cx:pt>
          <cx:pt idx="498">5 класс</cx:pt>
          <cx:pt idx="499">5 класс</cx:pt>
          <cx:pt idx="500">5 класс</cx:pt>
          <cx:pt idx="501">5 класс</cx:pt>
          <cx:pt idx="502">5 класс</cx:pt>
          <cx:pt idx="503">5 класс</cx:pt>
          <cx:pt idx="504">5 класс</cx:pt>
          <cx:pt idx="505">5 класс</cx:pt>
          <cx:pt idx="506">5 класс</cx:pt>
          <cx:pt idx="507">5 класс</cx:pt>
          <cx:pt idx="508">5 класс</cx:pt>
          <cx:pt idx="509">5 класс</cx:pt>
          <cx:pt idx="510">5 класс</cx:pt>
          <cx:pt idx="511">5 класс</cx:pt>
          <cx:pt idx="512">5 класс</cx:pt>
          <cx:pt idx="513">5 класс</cx:pt>
          <cx:pt idx="514">5 класс</cx:pt>
          <cx:pt idx="515">5 класс</cx:pt>
          <cx:pt idx="516">5 класс</cx:pt>
          <cx:pt idx="517">5 класс</cx:pt>
          <cx:pt idx="518">5 класс</cx:pt>
          <cx:pt idx="519">5 класс</cx:pt>
          <cx:pt idx="520">5 класс</cx:pt>
          <cx:pt idx="521">5 класс</cx:pt>
          <cx:pt idx="522">5 класс</cx:pt>
          <cx:pt idx="523">5 класс</cx:pt>
          <cx:pt idx="524">5 класс</cx:pt>
          <cx:pt idx="525">5 класс</cx:pt>
          <cx:pt idx="526">5 класс</cx:pt>
          <cx:pt idx="527">5 класс</cx:pt>
          <cx:pt idx="528">5 класс</cx:pt>
          <cx:pt idx="529">5 класс</cx:pt>
          <cx:pt idx="530">5 класс</cx:pt>
          <cx:pt idx="531">5 класс</cx:pt>
          <cx:pt idx="532">5 класс</cx:pt>
          <cx:pt idx="533">5 класс</cx:pt>
          <cx:pt idx="534">5 класс</cx:pt>
          <cx:pt idx="535">5 класс</cx:pt>
          <cx:pt idx="536">5 класс</cx:pt>
          <cx:pt idx="537">5 класс</cx:pt>
          <cx:pt idx="538">5 класс</cx:pt>
          <cx:pt idx="539">5 класс</cx:pt>
          <cx:pt idx="540">5 класс</cx:pt>
          <cx:pt idx="541">5 класс</cx:pt>
          <cx:pt idx="542">5 класс</cx:pt>
          <cx:pt idx="543">5 класс</cx:pt>
          <cx:pt idx="544">5 класс</cx:pt>
          <cx:pt idx="545">5 класс</cx:pt>
          <cx:pt idx="546">5 класс</cx:pt>
          <cx:pt idx="547">5 класс</cx:pt>
          <cx:pt idx="548">5 класс</cx:pt>
          <cx:pt idx="549">5 класс</cx:pt>
          <cx:pt idx="550">5 класс</cx:pt>
          <cx:pt idx="551">5 класс</cx:pt>
          <cx:pt idx="552">5 класс</cx:pt>
          <cx:pt idx="553">5 класс</cx:pt>
          <cx:pt idx="554">5 класс</cx:pt>
          <cx:pt idx="555">5 класс</cx:pt>
          <cx:pt idx="556">5 класс</cx:pt>
          <cx:pt idx="557">5 класс</cx:pt>
          <cx:pt idx="558">5 класс</cx:pt>
          <cx:pt idx="559">5 класс</cx:pt>
          <cx:pt idx="560">5 класс</cx:pt>
          <cx:pt idx="561">5 класс</cx:pt>
          <cx:pt idx="562">5 класс</cx:pt>
          <cx:pt idx="563">5 класс</cx:pt>
          <cx:pt idx="564">5 класс</cx:pt>
          <cx:pt idx="565">5 класс</cx:pt>
          <cx:pt idx="566">5 класс</cx:pt>
          <cx:pt idx="567">5 класс</cx:pt>
          <cx:pt idx="568">5 класс</cx:pt>
          <cx:pt idx="569">5 класс</cx:pt>
          <cx:pt idx="570">5 класс</cx:pt>
          <cx:pt idx="571">5 класс</cx:pt>
          <cx:pt idx="572">5 класс</cx:pt>
          <cx:pt idx="573">5 класс</cx:pt>
          <cx:pt idx="574">5 класс</cx:pt>
          <cx:pt idx="575">5 класс</cx:pt>
          <cx:pt idx="576">5 класс</cx:pt>
          <cx:pt idx="577">5 класс</cx:pt>
          <cx:pt idx="578">5 класс</cx:pt>
          <cx:pt idx="579">5 класс</cx:pt>
          <cx:pt idx="580">5 класс</cx:pt>
          <cx:pt idx="581">5 класс</cx:pt>
          <cx:pt idx="582">5 класс</cx:pt>
          <cx:pt idx="583">5 класс</cx:pt>
          <cx:pt idx="584">5 класс</cx:pt>
          <cx:pt idx="585">5 класс</cx:pt>
          <cx:pt idx="586">5 класс</cx:pt>
          <cx:pt idx="587">5 класс</cx:pt>
          <cx:pt idx="588">5 класс</cx:pt>
          <cx:pt idx="589">5 класс</cx:pt>
          <cx:pt idx="590">5 класс</cx:pt>
          <cx:pt idx="591">5 класс</cx:pt>
          <cx:pt idx="592">5 класс</cx:pt>
          <cx:pt idx="593">5 класс</cx:pt>
          <cx:pt idx="594">5 класс</cx:pt>
          <cx:pt idx="595">5 класс</cx:pt>
          <cx:pt idx="596">5 класс</cx:pt>
          <cx:pt idx="597">5 класс</cx:pt>
          <cx:pt idx="598">5 класс</cx:pt>
          <cx:pt idx="599">5 класс</cx:pt>
          <cx:pt idx="600">5 класс</cx:pt>
          <cx:pt idx="601">5 класс</cx:pt>
          <cx:pt idx="602">5 класс</cx:pt>
          <cx:pt idx="603">5 класс</cx:pt>
          <cx:pt idx="604">5 класс</cx:pt>
          <cx:pt idx="605">5 класс</cx:pt>
          <cx:pt idx="606">5 класс</cx:pt>
          <cx:pt idx="607">5 класс</cx:pt>
          <cx:pt idx="608">5 класс</cx:pt>
          <cx:pt idx="609">5 класс</cx:pt>
          <cx:pt idx="610">5 класс</cx:pt>
          <cx:pt idx="611">5 класс</cx:pt>
          <cx:pt idx="612">5 класс</cx:pt>
          <cx:pt idx="613">5 класс</cx:pt>
          <cx:pt idx="614">5 класс</cx:pt>
          <cx:pt idx="615">5 класс</cx:pt>
          <cx:pt idx="616">5 класс</cx:pt>
          <cx:pt idx="617">5 класс</cx:pt>
          <cx:pt idx="618">5 класс</cx:pt>
          <cx:pt idx="619">5 класс</cx:pt>
          <cx:pt idx="620">5 класс</cx:pt>
          <cx:pt idx="621">5 класс</cx:pt>
          <cx:pt idx="622">5 класс</cx:pt>
          <cx:pt idx="623">5 класс</cx:pt>
          <cx:pt idx="624">5 класс</cx:pt>
          <cx:pt idx="625">5 класс</cx:pt>
          <cx:pt idx="626">5 класс</cx:pt>
          <cx:pt idx="627">5 класс</cx:pt>
          <cx:pt idx="628">5 класс</cx:pt>
          <cx:pt idx="629">5 класс</cx:pt>
          <cx:pt idx="630">5 класс</cx:pt>
          <cx:pt idx="631">5 класс</cx:pt>
          <cx:pt idx="632">5 класс</cx:pt>
          <cx:pt idx="633">5 класс</cx:pt>
          <cx:pt idx="634">5 класс</cx:pt>
          <cx:pt idx="635">5 класс</cx:pt>
          <cx:pt idx="636">5 класс</cx:pt>
          <cx:pt idx="637">5 класс</cx:pt>
          <cx:pt idx="638">5 класс</cx:pt>
          <cx:pt idx="639">5 класс</cx:pt>
          <cx:pt idx="640">5 класс</cx:pt>
          <cx:pt idx="641">5 класс</cx:pt>
          <cx:pt idx="642">5 класс</cx:pt>
          <cx:pt idx="643">5 класс</cx:pt>
          <cx:pt idx="644">5 класс</cx:pt>
          <cx:pt idx="645">5 класс</cx:pt>
          <cx:pt idx="646">5 класс</cx:pt>
          <cx:pt idx="647">5 класс</cx:pt>
          <cx:pt idx="648">5 класс</cx:pt>
          <cx:pt idx="649">5 класс</cx:pt>
          <cx:pt idx="650">5 класс</cx:pt>
          <cx:pt idx="651">5 класс</cx:pt>
          <cx:pt idx="652">5 класс</cx:pt>
          <cx:pt idx="653">5 класс</cx:pt>
          <cx:pt idx="654">5 класс</cx:pt>
          <cx:pt idx="655">5 класс</cx:pt>
          <cx:pt idx="656">5 класс</cx:pt>
          <cx:pt idx="657">5 класс</cx:pt>
          <cx:pt idx="658">5 класс</cx:pt>
          <cx:pt idx="659">5 класс</cx:pt>
          <cx:pt idx="660">5 класс</cx:pt>
          <cx:pt idx="661">5 класс</cx:pt>
          <cx:pt idx="662">5 класс</cx:pt>
          <cx:pt idx="663">5 класс</cx:pt>
          <cx:pt idx="664">5 класс</cx:pt>
          <cx:pt idx="665">5 класс</cx:pt>
          <cx:pt idx="666">5 класс</cx:pt>
          <cx:pt idx="667">5 класс</cx:pt>
          <cx:pt idx="668">5 класс</cx:pt>
          <cx:pt idx="669">5 класс</cx:pt>
          <cx:pt idx="670">5 класс</cx:pt>
          <cx:pt idx="671">5 класс</cx:pt>
          <cx:pt idx="672">5 класс</cx:pt>
          <cx:pt idx="673">5 класс</cx:pt>
          <cx:pt idx="674">5 класс</cx:pt>
          <cx:pt idx="675">5 класс</cx:pt>
          <cx:pt idx="676">5 класс</cx:pt>
          <cx:pt idx="677">5 класс</cx:pt>
          <cx:pt idx="678">5 класс</cx:pt>
          <cx:pt idx="679">5 класс</cx:pt>
          <cx:pt idx="680">5 класс</cx:pt>
          <cx:pt idx="681">5 класс</cx:pt>
          <cx:pt idx="682">5 класс</cx:pt>
          <cx:pt idx="683">5 класс</cx:pt>
          <cx:pt idx="684">5 класс</cx:pt>
          <cx:pt idx="685">5 класс</cx:pt>
          <cx:pt idx="686">5 класс</cx:pt>
          <cx:pt idx="687">5 класс</cx:pt>
          <cx:pt idx="688">5 класс</cx:pt>
          <cx:pt idx="689">5 класс</cx:pt>
          <cx:pt idx="690">5 класс</cx:pt>
          <cx:pt idx="691">5 класс</cx:pt>
          <cx:pt idx="692">5 класс</cx:pt>
          <cx:pt idx="693">5 класс</cx:pt>
          <cx:pt idx="694">5 класс</cx:pt>
          <cx:pt idx="695">5 класс</cx:pt>
          <cx:pt idx="696">5 класс</cx:pt>
          <cx:pt idx="697">5 класс</cx:pt>
          <cx:pt idx="698">5 класс</cx:pt>
          <cx:pt idx="699">5 класс</cx:pt>
          <cx:pt idx="700">5 класс</cx:pt>
          <cx:pt idx="701">5 класс</cx:pt>
          <cx:pt idx="702">5 класс</cx:pt>
          <cx:pt idx="703">5 класс</cx:pt>
          <cx:pt idx="704">5 класс</cx:pt>
          <cx:pt idx="705">5 класс</cx:pt>
          <cx:pt idx="706">5 класс</cx:pt>
          <cx:pt idx="707">5 класс</cx:pt>
          <cx:pt idx="708">5 класс</cx:pt>
          <cx:pt idx="709">5 класс</cx:pt>
          <cx:pt idx="710">5 класс</cx:pt>
          <cx:pt idx="711">5 класс</cx:pt>
          <cx:pt idx="712">5 класс</cx:pt>
          <cx:pt idx="713">5 класс</cx:pt>
          <cx:pt idx="714">5 класс</cx:pt>
          <cx:pt idx="715">5 класс</cx:pt>
          <cx:pt idx="716">5 класс</cx:pt>
          <cx:pt idx="717">5 класс</cx:pt>
          <cx:pt idx="718">5 класс</cx:pt>
          <cx:pt idx="719">5 класс</cx:pt>
          <cx:pt idx="720">5 класс</cx:pt>
          <cx:pt idx="721">5 класс</cx:pt>
          <cx:pt idx="722">5 класс</cx:pt>
          <cx:pt idx="723">5 класс</cx:pt>
          <cx:pt idx="724">5 класс</cx:pt>
          <cx:pt idx="725">5 класс</cx:pt>
          <cx:pt idx="726">5 класс</cx:pt>
          <cx:pt idx="727">5 класс</cx:pt>
          <cx:pt idx="728">5 класс</cx:pt>
          <cx:pt idx="729">5 класс</cx:pt>
          <cx:pt idx="730">5 класс</cx:pt>
          <cx:pt idx="731">5 класс</cx:pt>
          <cx:pt idx="732">5 класс</cx:pt>
          <cx:pt idx="733">5 класс</cx:pt>
          <cx:pt idx="734">5 класс</cx:pt>
          <cx:pt idx="735">5 класс</cx:pt>
          <cx:pt idx="736">5 класс</cx:pt>
          <cx:pt idx="737">5 класс</cx:pt>
          <cx:pt idx="738">5 класс</cx:pt>
          <cx:pt idx="739">5 класс</cx:pt>
          <cx:pt idx="740">5 класс</cx:pt>
          <cx:pt idx="741">5 класс</cx:pt>
          <cx:pt idx="742">5 класс</cx:pt>
          <cx:pt idx="743">5 класс</cx:pt>
          <cx:pt idx="744">5 класс</cx:pt>
          <cx:pt idx="745">5 класс</cx:pt>
          <cx:pt idx="746">5 класс</cx:pt>
          <cx:pt idx="747">5 класс</cx:pt>
          <cx:pt idx="748">5 класс</cx:pt>
          <cx:pt idx="749">5 класс</cx:pt>
          <cx:pt idx="750">5 класс</cx:pt>
          <cx:pt idx="751">5 класс</cx:pt>
          <cx:pt idx="752">5 класс</cx:pt>
          <cx:pt idx="753">5 класс</cx:pt>
          <cx:pt idx="754">5 класс</cx:pt>
          <cx:pt idx="755">5 класс</cx:pt>
          <cx:pt idx="756">5 класс</cx:pt>
          <cx:pt idx="757">5 класс</cx:pt>
          <cx:pt idx="758">5 класс</cx:pt>
          <cx:pt idx="759">5 класс</cx:pt>
          <cx:pt idx="760">5 класс</cx:pt>
          <cx:pt idx="761">5 класс</cx:pt>
          <cx:pt idx="762">5 класс</cx:pt>
          <cx:pt idx="763">5 класс</cx:pt>
          <cx:pt idx="764">5 класс</cx:pt>
          <cx:pt idx="765">5 класс</cx:pt>
          <cx:pt idx="766">5 класс</cx:pt>
          <cx:pt idx="767">5 класс</cx:pt>
          <cx:pt idx="768">5 класс</cx:pt>
          <cx:pt idx="769">5 класс</cx:pt>
          <cx:pt idx="770">5 класс</cx:pt>
          <cx:pt idx="771">5 класс</cx:pt>
          <cx:pt idx="772">5 класс</cx:pt>
          <cx:pt idx="773">5 класс</cx:pt>
          <cx:pt idx="774">5 класс</cx:pt>
          <cx:pt idx="775">5 класс</cx:pt>
          <cx:pt idx="776">5 класс</cx:pt>
          <cx:pt idx="777">5 класс</cx:pt>
          <cx:pt idx="778">5 класс</cx:pt>
          <cx:pt idx="779">5 класс</cx:pt>
          <cx:pt idx="780">5 класс</cx:pt>
          <cx:pt idx="781">5 класс</cx:pt>
          <cx:pt idx="782">5 класс</cx:pt>
          <cx:pt idx="783">5 класс</cx:pt>
          <cx:pt idx="784">5 класс</cx:pt>
          <cx:pt idx="785">5 класс</cx:pt>
          <cx:pt idx="786">5 класс</cx:pt>
          <cx:pt idx="787">5 класс</cx:pt>
          <cx:pt idx="788">5 класс</cx:pt>
          <cx:pt idx="789">5 класс</cx:pt>
          <cx:pt idx="790">5 класс</cx:pt>
          <cx:pt idx="791">5 класс</cx:pt>
          <cx:pt idx="792">5 класс</cx:pt>
          <cx:pt idx="793">5 класс</cx:pt>
          <cx:pt idx="794">5 класс</cx:pt>
          <cx:pt idx="795">5 класс</cx:pt>
          <cx:pt idx="796">5 класс</cx:pt>
          <cx:pt idx="797">5 класс</cx:pt>
          <cx:pt idx="798">5 класс</cx:pt>
          <cx:pt idx="799">5 класс</cx:pt>
          <cx:pt idx="800">5 класс</cx:pt>
          <cx:pt idx="801">5 класс</cx:pt>
          <cx:pt idx="802">5 класс</cx:pt>
          <cx:pt idx="803">5 класс</cx:pt>
          <cx:pt idx="804">5 класс</cx:pt>
          <cx:pt idx="805">5 класс</cx:pt>
          <cx:pt idx="806">5 класс</cx:pt>
          <cx:pt idx="807">5 класс</cx:pt>
          <cx:pt idx="808">5 класс</cx:pt>
          <cx:pt idx="809">5 класс</cx:pt>
          <cx:pt idx="810">5 класс</cx:pt>
          <cx:pt idx="811">5 класс</cx:pt>
          <cx:pt idx="812">5 класс</cx:pt>
          <cx:pt idx="813">5 класс</cx:pt>
          <cx:pt idx="814">5 класс</cx:pt>
          <cx:pt idx="815">9 класс</cx:pt>
          <cx:pt idx="816">9 класс</cx:pt>
          <cx:pt idx="817">9 класс</cx:pt>
          <cx:pt idx="818">9 класс</cx:pt>
          <cx:pt idx="819">9 класс</cx:pt>
          <cx:pt idx="820">9 класс</cx:pt>
          <cx:pt idx="821">9 класс</cx:pt>
          <cx:pt idx="822">9 класс</cx:pt>
          <cx:pt idx="823">9 класс</cx:pt>
          <cx:pt idx="824">9 класс</cx:pt>
          <cx:pt idx="825">9 класс</cx:pt>
          <cx:pt idx="826">9 класс</cx:pt>
          <cx:pt idx="827">9 класс</cx:pt>
          <cx:pt idx="828">9 класс</cx:pt>
          <cx:pt idx="829">9 класс</cx:pt>
          <cx:pt idx="830">9 класс</cx:pt>
          <cx:pt idx="831">9 класс</cx:pt>
          <cx:pt idx="832">9 класс</cx:pt>
          <cx:pt idx="833">9 класс</cx:pt>
          <cx:pt idx="834">9 класс</cx:pt>
          <cx:pt idx="835">9 класс</cx:pt>
          <cx:pt idx="836">9 класс</cx:pt>
          <cx:pt idx="837">9 класс</cx:pt>
          <cx:pt idx="838">9 класс</cx:pt>
          <cx:pt idx="839">9 класс</cx:pt>
          <cx:pt idx="840">9 класс</cx:pt>
          <cx:pt idx="841">9 класс</cx:pt>
          <cx:pt idx="842">9 класс</cx:pt>
          <cx:pt idx="843">9 класс</cx:pt>
          <cx:pt idx="844">9 класс</cx:pt>
          <cx:pt idx="845">9 класс</cx:pt>
          <cx:pt idx="846">9 класс</cx:pt>
          <cx:pt idx="847">9 класс</cx:pt>
          <cx:pt idx="848">9 класс</cx:pt>
          <cx:pt idx="849">9 класс</cx:pt>
          <cx:pt idx="850">9 класс</cx:pt>
          <cx:pt idx="851">9 класс</cx:pt>
          <cx:pt idx="852">9 класс</cx:pt>
          <cx:pt idx="853">9 класс</cx:pt>
          <cx:pt idx="854">9 класс</cx:pt>
          <cx:pt idx="855">9 класс</cx:pt>
          <cx:pt idx="856">9 класс</cx:pt>
          <cx:pt idx="857">9 класс</cx:pt>
          <cx:pt idx="858">9 класс</cx:pt>
          <cx:pt idx="859">9 класс</cx:pt>
          <cx:pt idx="860">9 класс</cx:pt>
          <cx:pt idx="861">9 класс</cx:pt>
          <cx:pt idx="862">9 класс</cx:pt>
          <cx:pt idx="863">9 класс</cx:pt>
          <cx:pt idx="864">9 класс</cx:pt>
          <cx:pt idx="865">9 класс</cx:pt>
          <cx:pt idx="866">9 класс</cx:pt>
          <cx:pt idx="867">9 класс</cx:pt>
          <cx:pt idx="868">9 класс</cx:pt>
          <cx:pt idx="869">9 класс</cx:pt>
          <cx:pt idx="870">9 класс</cx:pt>
          <cx:pt idx="871">9 класс</cx:pt>
          <cx:pt idx="872">9 класс</cx:pt>
          <cx:pt idx="873">9 класс</cx:pt>
          <cx:pt idx="874">9 класс</cx:pt>
          <cx:pt idx="875">9 класс</cx:pt>
          <cx:pt idx="876">9 класс</cx:pt>
          <cx:pt idx="877">9 класс</cx:pt>
          <cx:pt idx="878">9 класс</cx:pt>
          <cx:pt idx="879">9 класс</cx:pt>
          <cx:pt idx="880">9 класс</cx:pt>
          <cx:pt idx="881">9 класс</cx:pt>
          <cx:pt idx="882">9 класс</cx:pt>
          <cx:pt idx="883">9 класс</cx:pt>
          <cx:pt idx="884">9 класс</cx:pt>
          <cx:pt idx="885">9 класс</cx:pt>
          <cx:pt idx="886">9 класс</cx:pt>
          <cx:pt idx="887">9 класс</cx:pt>
          <cx:pt idx="888">9 класс</cx:pt>
          <cx:pt idx="889">9 класс</cx:pt>
          <cx:pt idx="890">9 класс</cx:pt>
          <cx:pt idx="891">9 класс</cx:pt>
          <cx:pt idx="892">9 класс</cx:pt>
          <cx:pt idx="893">9 класс</cx:pt>
          <cx:pt idx="894">9 класс</cx:pt>
          <cx:pt idx="895">9 класс</cx:pt>
          <cx:pt idx="896">9 класс</cx:pt>
          <cx:pt idx="897">9 класс</cx:pt>
          <cx:pt idx="898">9 класс</cx:pt>
          <cx:pt idx="899">9 класс</cx:pt>
          <cx:pt idx="900">9 класс</cx:pt>
          <cx:pt idx="901">9 класс</cx:pt>
          <cx:pt idx="902">9 класс</cx:pt>
          <cx:pt idx="903">9 класс</cx:pt>
          <cx:pt idx="904">9 класс</cx:pt>
          <cx:pt idx="905">9 класс</cx:pt>
          <cx:pt idx="906">9 класс</cx:pt>
          <cx:pt idx="907">9 класс</cx:pt>
          <cx:pt idx="908">9 класс</cx:pt>
          <cx:pt idx="909">9 класс</cx:pt>
          <cx:pt idx="910">9 класс</cx:pt>
          <cx:pt idx="911">9 класс</cx:pt>
          <cx:pt idx="912">9 класс</cx:pt>
          <cx:pt idx="913">9 класс</cx:pt>
          <cx:pt idx="914">9 класс</cx:pt>
          <cx:pt idx="915">9 класс</cx:pt>
          <cx:pt idx="916">9 класс</cx:pt>
          <cx:pt idx="917">9 класс</cx:pt>
          <cx:pt idx="918">9 класс</cx:pt>
          <cx:pt idx="919">9 класс</cx:pt>
          <cx:pt idx="920">9 класс</cx:pt>
          <cx:pt idx="921">9 класс</cx:pt>
          <cx:pt idx="922">9 класс</cx:pt>
          <cx:pt idx="923">9 класс</cx:pt>
          <cx:pt idx="924">9 класс</cx:pt>
          <cx:pt idx="925">9 класс</cx:pt>
          <cx:pt idx="926">9 класс</cx:pt>
          <cx:pt idx="927">9 класс</cx:pt>
          <cx:pt idx="928">9 класс</cx:pt>
          <cx:pt idx="929">9 класс</cx:pt>
          <cx:pt idx="930">9 класс</cx:pt>
          <cx:pt idx="931">9 класс</cx:pt>
          <cx:pt idx="932">9 класс</cx:pt>
          <cx:pt idx="933">9 класс</cx:pt>
          <cx:pt idx="934">9 класс</cx:pt>
          <cx:pt idx="935">9 класс</cx:pt>
          <cx:pt idx="936">9 класс</cx:pt>
          <cx:pt idx="937">9 класс</cx:pt>
          <cx:pt idx="938">9 класс</cx:pt>
          <cx:pt idx="939">9 класс</cx:pt>
          <cx:pt idx="940">9 класс</cx:pt>
          <cx:pt idx="941">9 класс</cx:pt>
          <cx:pt idx="942">9 класс</cx:pt>
          <cx:pt idx="943">9 класс</cx:pt>
          <cx:pt idx="944">9 класс</cx:pt>
          <cx:pt idx="945">9 класс</cx:pt>
          <cx:pt idx="946">9 класс</cx:pt>
          <cx:pt idx="947">9 класс</cx:pt>
          <cx:pt idx="948">9 класс</cx:pt>
          <cx:pt idx="949">9 класс</cx:pt>
          <cx:pt idx="950">9 класс</cx:pt>
          <cx:pt idx="951">9 класс</cx:pt>
          <cx:pt idx="952">9 класс</cx:pt>
          <cx:pt idx="953">9 класс</cx:pt>
          <cx:pt idx="954">9 класс</cx:pt>
          <cx:pt idx="955">9 класс</cx:pt>
          <cx:pt idx="956">9 класс</cx:pt>
          <cx:pt idx="957">9 класс</cx:pt>
          <cx:pt idx="958">9 класс</cx:pt>
          <cx:pt idx="959">9 класс</cx:pt>
          <cx:pt idx="960">9 класс</cx:pt>
          <cx:pt idx="961">9 класс</cx:pt>
          <cx:pt idx="962">9 класс</cx:pt>
          <cx:pt idx="963">9 класс</cx:pt>
          <cx:pt idx="964">9 класс</cx:pt>
          <cx:pt idx="965">9 класс</cx:pt>
          <cx:pt idx="966">9 класс</cx:pt>
          <cx:pt idx="967">9 класс</cx:pt>
          <cx:pt idx="968">9 класс</cx:pt>
          <cx:pt idx="969">9 класс</cx:pt>
          <cx:pt idx="970">9 класс</cx:pt>
          <cx:pt idx="971">9 класс</cx:pt>
          <cx:pt idx="972">9 класс</cx:pt>
          <cx:pt idx="973">9 класс</cx:pt>
          <cx:pt idx="974">9 класс</cx:pt>
          <cx:pt idx="975">9 класс</cx:pt>
          <cx:pt idx="976">9 класс</cx:pt>
          <cx:pt idx="977">9 класс</cx:pt>
          <cx:pt idx="978">9 класс</cx:pt>
          <cx:pt idx="979">9 класс</cx:pt>
          <cx:pt idx="980">9 класс</cx:pt>
          <cx:pt idx="981">9 класс</cx:pt>
          <cx:pt idx="982">9 класс</cx:pt>
          <cx:pt idx="983">9 класс</cx:pt>
          <cx:pt idx="984">9 класс</cx:pt>
          <cx:pt idx="985">9 класс</cx:pt>
          <cx:pt idx="986">9 класс</cx:pt>
          <cx:pt idx="987">9 класс</cx:pt>
          <cx:pt idx="988">9 класс</cx:pt>
          <cx:pt idx="989">9 класс</cx:pt>
          <cx:pt idx="990">9 класс</cx:pt>
          <cx:pt idx="991">9 класс</cx:pt>
          <cx:pt idx="992">9 класс</cx:pt>
          <cx:pt idx="993">9 класс</cx:pt>
          <cx:pt idx="994">9 класс</cx:pt>
          <cx:pt idx="995">9 класс</cx:pt>
          <cx:pt idx="996">9 класс</cx:pt>
          <cx:pt idx="997">9 класс</cx:pt>
          <cx:pt idx="998">9 класс</cx:pt>
          <cx:pt idx="999">9 класс</cx:pt>
          <cx:pt idx="1000">9 класс</cx:pt>
          <cx:pt idx="1001">9 класс</cx:pt>
          <cx:pt idx="1002">9 класс</cx:pt>
          <cx:pt idx="1003">9 класс</cx:pt>
          <cx:pt idx="1004">9 класс</cx:pt>
          <cx:pt idx="1005">9 класс</cx:pt>
          <cx:pt idx="1006">9 класс</cx:pt>
          <cx:pt idx="1007">9 класс</cx:pt>
          <cx:pt idx="1008">9 класс</cx:pt>
          <cx:pt idx="1009">9 класс</cx:pt>
          <cx:pt idx="1010">9 класс</cx:pt>
          <cx:pt idx="1011">9 класс</cx:pt>
          <cx:pt idx="1012">9 класс</cx:pt>
          <cx:pt idx="1013">9 класс</cx:pt>
          <cx:pt idx="1014">9 класс</cx:pt>
          <cx:pt idx="1015">9 класс</cx:pt>
          <cx:pt idx="1016">9 класс</cx:pt>
          <cx:pt idx="1017">9 класс</cx:pt>
          <cx:pt idx="1018">9 класс</cx:pt>
          <cx:pt idx="1019">9 класс</cx:pt>
          <cx:pt idx="1020">9 класс</cx:pt>
          <cx:pt idx="1021">9 класс</cx:pt>
          <cx:pt idx="1022">9 класс</cx:pt>
          <cx:pt idx="1023">9 класс</cx:pt>
          <cx:pt idx="1024">9 класс</cx:pt>
          <cx:pt idx="1025">9 класс</cx:pt>
          <cx:pt idx="1026">9 класс</cx:pt>
          <cx:pt idx="1027">9 класс</cx:pt>
          <cx:pt idx="1028">9 класс</cx:pt>
          <cx:pt idx="1029">9 класс</cx:pt>
          <cx:pt idx="1030">9 класс</cx:pt>
          <cx:pt idx="1031">9 класс</cx:pt>
          <cx:pt idx="1032">9 класс</cx:pt>
          <cx:pt idx="1033">9 класс</cx:pt>
          <cx:pt idx="1034">9 класс</cx:pt>
          <cx:pt idx="1035">9 класс</cx:pt>
          <cx:pt idx="1036">9 класс</cx:pt>
          <cx:pt idx="1037">9 класс</cx:pt>
          <cx:pt idx="1038">9 класс</cx:pt>
          <cx:pt idx="1039">9 класс</cx:pt>
          <cx:pt idx="1040">9 класс</cx:pt>
          <cx:pt idx="1041">9 класс</cx:pt>
          <cx:pt idx="1042">9 класс</cx:pt>
          <cx:pt idx="1043">9 класс</cx:pt>
          <cx:pt idx="1044">9 класс</cx:pt>
          <cx:pt idx="1045">9 класс</cx:pt>
          <cx:pt idx="1046">9 класс</cx:pt>
          <cx:pt idx="1047">9 класс</cx:pt>
          <cx:pt idx="1048">9 класс</cx:pt>
          <cx:pt idx="1049">9 класс</cx:pt>
          <cx:pt idx="1050">9 класс</cx:pt>
          <cx:pt idx="1051">9 класс</cx:pt>
          <cx:pt idx="1052">9 класс</cx:pt>
          <cx:pt idx="1053">9 класс</cx:pt>
          <cx:pt idx="1054">9 класс</cx:pt>
          <cx:pt idx="1055">9 класс</cx:pt>
          <cx:pt idx="1056">9 класс</cx:pt>
          <cx:pt idx="1057">9 класс</cx:pt>
          <cx:pt idx="1058">9 класс</cx:pt>
          <cx:pt idx="1059">9 класс</cx:pt>
          <cx:pt idx="1060">9 класс</cx:pt>
          <cx:pt idx="1061">9 класс</cx:pt>
          <cx:pt idx="1062">9 класс</cx:pt>
          <cx:pt idx="1063">9 класс</cx:pt>
          <cx:pt idx="1064">9 класс</cx:pt>
          <cx:pt idx="1065">9 класс</cx:pt>
          <cx:pt idx="1066">9 класс</cx:pt>
          <cx:pt idx="1067">9 класс</cx:pt>
          <cx:pt idx="1068">9 класс</cx:pt>
          <cx:pt idx="1069">9 класс</cx:pt>
          <cx:pt idx="1070">9 класс</cx:pt>
          <cx:pt idx="1071">9 класс</cx:pt>
          <cx:pt idx="1072">9 класс</cx:pt>
          <cx:pt idx="1073">9 класс</cx:pt>
          <cx:pt idx="1074">9 класс</cx:pt>
          <cx:pt idx="1075">9 класс</cx:pt>
          <cx:pt idx="1076">9 класс</cx:pt>
          <cx:pt idx="1077">9 класс</cx:pt>
          <cx:pt idx="1078">9 класс</cx:pt>
          <cx:pt idx="1079">9 класс</cx:pt>
          <cx:pt idx="1080">9 класс</cx:pt>
          <cx:pt idx="1081">9 класс</cx:pt>
          <cx:pt idx="1082">9 класс</cx:pt>
          <cx:pt idx="1083">9 класс</cx:pt>
          <cx:pt idx="1084">9 класс</cx:pt>
          <cx:pt idx="1085">9 класс</cx:pt>
          <cx:pt idx="1086">9 класс</cx:pt>
          <cx:pt idx="1087">9 класс</cx:pt>
          <cx:pt idx="1088">9 класс</cx:pt>
          <cx:pt idx="1089">9 класс</cx:pt>
          <cx:pt idx="1090">9 класс</cx:pt>
          <cx:pt idx="1091">9 класс</cx:pt>
          <cx:pt idx="1092">9 класс</cx:pt>
          <cx:pt idx="1093">9 класс</cx:pt>
          <cx:pt idx="1094">9 класс</cx:pt>
          <cx:pt idx="1095">9 класс</cx:pt>
          <cx:pt idx="1096">9 класс</cx:pt>
          <cx:pt idx="1097">9 класс</cx:pt>
          <cx:pt idx="1098">9 класс</cx:pt>
          <cx:pt idx="1099">9 класс</cx:pt>
          <cx:pt idx="1100">9 класс</cx:pt>
          <cx:pt idx="1101">9 класс</cx:pt>
          <cx:pt idx="1102">9 класс</cx:pt>
          <cx:pt idx="1103">9 класс</cx:pt>
          <cx:pt idx="1104">9 класс</cx:pt>
          <cx:pt idx="1105">9 класс</cx:pt>
          <cx:pt idx="1106">9 класс</cx:pt>
          <cx:pt idx="1107">9 класс</cx:pt>
          <cx:pt idx="1108">9 класс</cx:pt>
          <cx:pt idx="1109">9 класс</cx:pt>
          <cx:pt idx="1110">9 класс</cx:pt>
          <cx:pt idx="1111">9 класс</cx:pt>
          <cx:pt idx="1112">9 класс</cx:pt>
          <cx:pt idx="1113">9 класс</cx:pt>
          <cx:pt idx="1114">9 класс</cx:pt>
          <cx:pt idx="1115">9 класс</cx:pt>
          <cx:pt idx="1116">9 класс</cx:pt>
          <cx:pt idx="1117">9 класс</cx:pt>
          <cx:pt idx="1118">9 класс</cx:pt>
          <cx:pt idx="1119">9 класс</cx:pt>
          <cx:pt idx="1120">9 класс</cx:pt>
          <cx:pt idx="1121">9 класс</cx:pt>
          <cx:pt idx="1122">9 класс</cx:pt>
          <cx:pt idx="1123">9 класс</cx:pt>
          <cx:pt idx="1124">9 класс</cx:pt>
          <cx:pt idx="1125">9 класс</cx:pt>
          <cx:pt idx="1126">9 класс</cx:pt>
          <cx:pt idx="1127">9 класс</cx:pt>
          <cx:pt idx="1128">9 класс</cx:pt>
          <cx:pt idx="1129">9 класс</cx:pt>
          <cx:pt idx="1130">9 класс</cx:pt>
          <cx:pt idx="1131">9 класс</cx:pt>
          <cx:pt idx="1132">9 класс</cx:pt>
          <cx:pt idx="1133">9 класс</cx:pt>
          <cx:pt idx="1134">9 класс</cx:pt>
          <cx:pt idx="1135">9 класс</cx:pt>
          <cx:pt idx="1136">9 класс</cx:pt>
          <cx:pt idx="1137">9 класс</cx:pt>
          <cx:pt idx="1138">9 класс</cx:pt>
          <cx:pt idx="1139">9 класс</cx:pt>
          <cx:pt idx="1140">9 класс</cx:pt>
          <cx:pt idx="1141">9 класс</cx:pt>
          <cx:pt idx="1142">9 класс</cx:pt>
          <cx:pt idx="1143">9 класс</cx:pt>
          <cx:pt idx="1144">9 класс</cx:pt>
          <cx:pt idx="1145">9 класс</cx:pt>
          <cx:pt idx="1146">9 класс</cx:pt>
          <cx:pt idx="1147">9 класс</cx:pt>
          <cx:pt idx="1148">9 класс</cx:pt>
          <cx:pt idx="1149">9 класс</cx:pt>
          <cx:pt idx="1150">9 класс</cx:pt>
          <cx:pt idx="1151">9 класс</cx:pt>
          <cx:pt idx="1152">9 класс</cx:pt>
          <cx:pt idx="1153">9 класс</cx:pt>
          <cx:pt idx="1154">9 класс</cx:pt>
          <cx:pt idx="1155">9 класс</cx:pt>
          <cx:pt idx="1156">9 класс</cx:pt>
          <cx:pt idx="1157">9 класс</cx:pt>
          <cx:pt idx="1158">9 класс</cx:pt>
          <cx:pt idx="1159">9 класс</cx:pt>
          <cx:pt idx="1160">9 класс</cx:pt>
          <cx:pt idx="1161">9 класс</cx:pt>
          <cx:pt idx="1162">9 класс</cx:pt>
          <cx:pt idx="1163">9 класс</cx:pt>
          <cx:pt idx="1164">9 класс</cx:pt>
          <cx:pt idx="1165">9 класс</cx:pt>
          <cx:pt idx="1166">9 класс</cx:pt>
          <cx:pt idx="1167">9 класс</cx:pt>
          <cx:pt idx="1168">9 класс</cx:pt>
          <cx:pt idx="1169">9 класс</cx:pt>
          <cx:pt idx="1170">9 класс</cx:pt>
          <cx:pt idx="1171">9 класс</cx:pt>
          <cx:pt idx="1172">9 класс</cx:pt>
          <cx:pt idx="1173">9 класс</cx:pt>
          <cx:pt idx="1174">9 класс</cx:pt>
          <cx:pt idx="1175">9 класс</cx:pt>
          <cx:pt idx="1176">9 класс</cx:pt>
          <cx:pt idx="1177">9 класс</cx:pt>
          <cx:pt idx="1178">9 класс</cx:pt>
          <cx:pt idx="1179">9 класс</cx:pt>
          <cx:pt idx="1180">9 класс</cx:pt>
          <cx:pt idx="1181">9 класс</cx:pt>
          <cx:pt idx="1182">9 класс</cx:pt>
          <cx:pt idx="1183">9 класс</cx:pt>
          <cx:pt idx="1184">9 класс</cx:pt>
          <cx:pt idx="1185">9 класс</cx:pt>
          <cx:pt idx="1186">9 класс</cx:pt>
          <cx:pt idx="1187">9 класс</cx:pt>
          <cx:pt idx="1188">9 класс</cx:pt>
          <cx:pt idx="1189">9 класс</cx:pt>
          <cx:pt idx="1190">9 класс</cx:pt>
          <cx:pt idx="1191">9 класс</cx:pt>
          <cx:pt idx="1192">9 класс</cx:pt>
          <cx:pt idx="1193">9 класс</cx:pt>
          <cx:pt idx="1194">9 класс</cx:pt>
          <cx:pt idx="1195">9 класс</cx:pt>
          <cx:pt idx="1196">9 класс</cx:pt>
          <cx:pt idx="1197">9 класс</cx:pt>
          <cx:pt idx="1198">9 класс</cx:pt>
          <cx:pt idx="1199">9 класс</cx:pt>
          <cx:pt idx="1200">9 класс</cx:pt>
          <cx:pt idx="1201">9 класс</cx:pt>
          <cx:pt idx="1202">9 класс</cx:pt>
          <cx:pt idx="1203">9 класс</cx:pt>
          <cx:pt idx="1204">9 класс</cx:pt>
          <cx:pt idx="1205">9 класс</cx:pt>
          <cx:pt idx="1206">9 класс</cx:pt>
          <cx:pt idx="1207">9 класс</cx:pt>
          <cx:pt idx="1208">9 класс</cx:pt>
          <cx:pt idx="1209">9 класс</cx:pt>
          <cx:pt idx="1210">9 класс</cx:pt>
          <cx:pt idx="1211">9 класс</cx:pt>
          <cx:pt idx="1212">9 класс</cx:pt>
          <cx:pt idx="1213">9 класс</cx:pt>
          <cx:pt idx="1214">9 класс</cx:pt>
          <cx:pt idx="1215">9 класс</cx:pt>
          <cx:pt idx="1216">9 класс</cx:pt>
          <cx:pt idx="1217">9 класс</cx:pt>
          <cx:pt idx="1218">9 класс</cx:pt>
          <cx:pt idx="1219">9 класс</cx:pt>
          <cx:pt idx="1220">9 класс</cx:pt>
          <cx:pt idx="1221">9 класс</cx:pt>
          <cx:pt idx="1222">9 класс</cx:pt>
          <cx:pt idx="1223">9 класс</cx:pt>
          <cx:pt idx="1224">9 класс</cx:pt>
          <cx:pt idx="1225">9 класс</cx:pt>
          <cx:pt idx="1226">9 класс</cx:pt>
          <cx:pt idx="1227">9 класс</cx:pt>
          <cx:pt idx="1228">9 класс</cx:pt>
          <cx:pt idx="1229">9 класс</cx:pt>
          <cx:pt idx="1230">9 класс</cx:pt>
        </cx:lvl>
      </cx:strDim>
      <cx:numDim type="val">
        <cx:f>'SER (4)'!$C$2:$C$1232</cx:f>
        <cx:lvl ptCount="1231" formatCode="Основной">
          <cx:pt idx="0">-0.5</cx:pt>
          <cx:pt idx="1">-0.5</cx:pt>
          <cx:pt idx="2">0.375</cx:pt>
          <cx:pt idx="3">-0.875</cx:pt>
          <cx:pt idx="4">-0.375</cx:pt>
          <cx:pt idx="5">-0.25</cx:pt>
          <cx:pt idx="6">-0.375</cx:pt>
          <cx:pt idx="7">0.125</cx:pt>
          <cx:pt idx="8">-2</cx:pt>
          <cx:pt idx="9">0.125</cx:pt>
          <cx:pt idx="10">0.75</cx:pt>
          <cx:pt idx="11">0.5</cx:pt>
          <cx:pt idx="12">-0.25</cx:pt>
          <cx:pt idx="13">-0.375</cx:pt>
          <cx:pt idx="14">-0.375</cx:pt>
          <cx:pt idx="15">-0.375</cx:pt>
          <cx:pt idx="16">0.375</cx:pt>
          <cx:pt idx="17">-8.375</cx:pt>
          <cx:pt idx="18">0.375</cx:pt>
          <cx:pt idx="19">0.375</cx:pt>
          <cx:pt idx="20">-0.125</cx:pt>
          <cx:pt idx="21">-3.625</cx:pt>
          <cx:pt idx="22">0.375</cx:pt>
          <cx:pt idx="23">0.5</cx:pt>
          <cx:pt idx="24">-0.625</cx:pt>
          <cx:pt idx="25">-0.75</cx:pt>
          <cx:pt idx="26">-0.25</cx:pt>
          <cx:pt idx="27">-3.125</cx:pt>
          <cx:pt idx="28">-0.375</cx:pt>
          <cx:pt idx="29">0.5</cx:pt>
          <cx:pt idx="30">0.125</cx:pt>
          <cx:pt idx="31">-0.375</cx:pt>
          <cx:pt idx="32">-0.875</cx:pt>
          <cx:pt idx="33">-1</cx:pt>
          <cx:pt idx="34">-1.375</cx:pt>
          <cx:pt idx="35">-0.375</cx:pt>
          <cx:pt idx="36">0.125</cx:pt>
          <cx:pt idx="37">0.125</cx:pt>
          <cx:pt idx="38">-0.25</cx:pt>
          <cx:pt idx="39">0.5</cx:pt>
          <cx:pt idx="40">-0.25</cx:pt>
          <cx:pt idx="41">-1</cx:pt>
          <cx:pt idx="42">-0.125</cx:pt>
          <cx:pt idx="43">-0.125</cx:pt>
          <cx:pt idx="44">-0.375</cx:pt>
          <cx:pt idx="45">-0.25</cx:pt>
          <cx:pt idx="46">-0.375</cx:pt>
          <cx:pt idx="47">-0.25</cx:pt>
          <cx:pt idx="48">-1</cx:pt>
          <cx:pt idx="49">-0.25</cx:pt>
          <cx:pt idx="50">-0.375</cx:pt>
          <cx:pt idx="51">-0.375</cx:pt>
          <cx:pt idx="52">-0.25</cx:pt>
          <cx:pt idx="53">-1.375</cx:pt>
          <cx:pt idx="54">-0.375</cx:pt>
          <cx:pt idx="55">0.625</cx:pt>
          <cx:pt idx="56">0.375</cx:pt>
          <cx:pt idx="57">-0.375</cx:pt>
          <cx:pt idx="58">0.125</cx:pt>
          <cx:pt idx="59">-0.375</cx:pt>
          <cx:pt idx="60">0.125</cx:pt>
          <cx:pt idx="61">-0.125</cx:pt>
          <cx:pt idx="62">-0.125</cx:pt>
          <cx:pt idx="63">0.625</cx:pt>
          <cx:pt idx="64">-0.375</cx:pt>
          <cx:pt idx="65">-0.125</cx:pt>
          <cx:pt idx="66">1</cx:pt>
          <cx:pt idx="67">1.625</cx:pt>
          <cx:pt idx="68">0.375</cx:pt>
          <cx:pt idx="69">-0.375</cx:pt>
          <cx:pt idx="70">-0.125</cx:pt>
          <cx:pt idx="71">-3</cx:pt>
          <cx:pt idx="72">-0.375</cx:pt>
          <cx:pt idx="73">-0.375</cx:pt>
          <cx:pt idx="74">1</cx:pt>
          <cx:pt idx="75">-0.375</cx:pt>
          <cx:pt idx="76">1.125</cx:pt>
          <cx:pt idx="77">-0.375</cx:pt>
          <cx:pt idx="78">0.375</cx:pt>
          <cx:pt idx="79">-0.125</cx:pt>
          <cx:pt idx="80">0.375</cx:pt>
          <cx:pt idx="81">-0.25</cx:pt>
          <cx:pt idx="82">0.125</cx:pt>
          <cx:pt idx="83">0.125</cx:pt>
          <cx:pt idx="84">-0.125</cx:pt>
          <cx:pt idx="85">0.375</cx:pt>
          <cx:pt idx="86">0</cx:pt>
          <cx:pt idx="87">0.125</cx:pt>
          <cx:pt idx="88">0.125</cx:pt>
          <cx:pt idx="89">0.125</cx:pt>
          <cx:pt idx="90">0.625</cx:pt>
          <cx:pt idx="91">0.375</cx:pt>
          <cx:pt idx="92">-0.5</cx:pt>
          <cx:pt idx="93">-0.125</cx:pt>
          <cx:pt idx="94">0.375</cx:pt>
          <cx:pt idx="95">-0.125</cx:pt>
          <cx:pt idx="96">-0.125</cx:pt>
          <cx:pt idx="97">-1.25</cx:pt>
          <cx:pt idx="98">-0.125</cx:pt>
          <cx:pt idx="99">-0.125</cx:pt>
          <cx:pt idx="100">-0.125</cx:pt>
          <cx:pt idx="101">-0.125</cx:pt>
          <cx:pt idx="102">0.375</cx:pt>
          <cx:pt idx="103">-0.125</cx:pt>
          <cx:pt idx="104">-2</cx:pt>
          <cx:pt idx="105">-0.125</cx:pt>
          <cx:pt idx="106">-0.125</cx:pt>
          <cx:pt idx="107">-0.125</cx:pt>
          <cx:pt idx="108">-0.125</cx:pt>
          <cx:pt idx="109">-0.125</cx:pt>
          <cx:pt idx="110">-1.25</cx:pt>
          <cx:pt idx="111">-0.125</cx:pt>
          <cx:pt idx="112">-0.125</cx:pt>
          <cx:pt idx="113">-0.125</cx:pt>
          <cx:pt idx="114">-2</cx:pt>
          <cx:pt idx="115">-0.125</cx:pt>
          <cx:pt idx="116">-2</cx:pt>
          <cx:pt idx="117">-0.125</cx:pt>
          <cx:pt idx="118">-0.125</cx:pt>
          <cx:pt idx="119">-0.125</cx:pt>
          <cx:pt idx="120">-0.125</cx:pt>
          <cx:pt idx="121">-0.125</cx:pt>
          <cx:pt idx="122">-0.125</cx:pt>
          <cx:pt idx="123">-0.125</cx:pt>
          <cx:pt idx="124">-0.125</cx:pt>
          <cx:pt idx="125">-0.125</cx:pt>
          <cx:pt idx="126">-5.0999999999999996</cx:pt>
          <cx:pt idx="127">0.375</cx:pt>
          <cx:pt idx="128">-0.125</cx:pt>
          <cx:pt idx="129">-0.125</cx:pt>
          <cx:pt idx="130">-0.125</cx:pt>
          <cx:pt idx="131">0.375</cx:pt>
          <cx:pt idx="132">-0.125</cx:pt>
          <cx:pt idx="133">-0.125</cx:pt>
          <cx:pt idx="134">0.125</cx:pt>
          <cx:pt idx="135">-1.25</cx:pt>
          <cx:pt idx="136">-0.125</cx:pt>
          <cx:pt idx="137">-0.125</cx:pt>
          <cx:pt idx="138">-0.125</cx:pt>
          <cx:pt idx="139">-0.125</cx:pt>
          <cx:pt idx="140">-0.125</cx:pt>
          <cx:pt idx="141">-0.125</cx:pt>
          <cx:pt idx="142">-3.75</cx:pt>
          <cx:pt idx="143">-0.125</cx:pt>
          <cx:pt idx="144">-1.25</cx:pt>
          <cx:pt idx="145">-0.125</cx:pt>
          <cx:pt idx="146">-0.125</cx:pt>
          <cx:pt idx="147">-0.125</cx:pt>
          <cx:pt idx="148">1.6000000000000001</cx:pt>
          <cx:pt idx="149">0.375</cx:pt>
          <cx:pt idx="150">1.375</cx:pt>
          <cx:pt idx="151">-0.125</cx:pt>
          <cx:pt idx="152">0.375</cx:pt>
          <cx:pt idx="153">-0.125</cx:pt>
          <cx:pt idx="154">0.375</cx:pt>
          <cx:pt idx="155">-0.125</cx:pt>
          <cx:pt idx="156">-0.125</cx:pt>
          <cx:pt idx="157">0.375</cx:pt>
          <cx:pt idx="158">-0.125</cx:pt>
          <cx:pt idx="159">-0.125</cx:pt>
          <cx:pt idx="160">-0.125</cx:pt>
          <cx:pt idx="161">0.375</cx:pt>
          <cx:pt idx="162">-0.125</cx:pt>
          <cx:pt idx="163">-0.125</cx:pt>
          <cx:pt idx="164">-0.125</cx:pt>
          <cx:pt idx="165">-2.375</cx:pt>
          <cx:pt idx="166">-1.25</cx:pt>
          <cx:pt idx="167">-0.375</cx:pt>
          <cx:pt idx="168">-0.125</cx:pt>
          <cx:pt idx="169">0.375</cx:pt>
          <cx:pt idx="170">-0.125</cx:pt>
          <cx:pt idx="171">0.375</cx:pt>
          <cx:pt idx="172">1.25</cx:pt>
          <cx:pt idx="173">-0.125</cx:pt>
          <cx:pt idx="174">-0.125</cx:pt>
          <cx:pt idx="175">-0.125</cx:pt>
          <cx:pt idx="176">-2.375</cx:pt>
          <cx:pt idx="177">-2.375</cx:pt>
          <cx:pt idx="178">0.375</cx:pt>
          <cx:pt idx="179">-0.125</cx:pt>
          <cx:pt idx="180">-0.125</cx:pt>
          <cx:pt idx="181">-0.125</cx:pt>
          <cx:pt idx="182">-3.5</cx:pt>
          <cx:pt idx="183">-0.125</cx:pt>
          <cx:pt idx="184">-0.125</cx:pt>
          <cx:pt idx="185">-0.625</cx:pt>
          <cx:pt idx="186">-0.125</cx:pt>
          <cx:pt idx="187">-2.375</cx:pt>
          <cx:pt idx="188">-0.125</cx:pt>
          <cx:pt idx="189">-0.125</cx:pt>
          <cx:pt idx="190">-0.125</cx:pt>
          <cx:pt idx="191">-0.125</cx:pt>
          <cx:pt idx="192">-0.125</cx:pt>
          <cx:pt idx="193">-2.25</cx:pt>
          <cx:pt idx="194">-0.125</cx:pt>
          <cx:pt idx="195">-0.125</cx:pt>
          <cx:pt idx="196">1.625</cx:pt>
          <cx:pt idx="197">-0.125</cx:pt>
          <cx:pt idx="198">0.375</cx:pt>
          <cx:pt idx="199">-0.125</cx:pt>
          <cx:pt idx="200">-0.125</cx:pt>
          <cx:pt idx="201">-0.125</cx:pt>
          <cx:pt idx="202">0.375</cx:pt>
          <cx:pt idx="203">-2.375</cx:pt>
          <cx:pt idx="204">-2.5</cx:pt>
          <cx:pt idx="205">0.375</cx:pt>
          <cx:pt idx="206">-0.125</cx:pt>
          <cx:pt idx="207">-0.125</cx:pt>
          <cx:pt idx="208">0.375</cx:pt>
          <cx:pt idx="209">0.375</cx:pt>
          <cx:pt idx="210">-0.125</cx:pt>
          <cx:pt idx="211">-0.125</cx:pt>
          <cx:pt idx="212">-0.125</cx:pt>
          <cx:pt idx="213">-0.125</cx:pt>
          <cx:pt idx="214">-2.375</cx:pt>
          <cx:pt idx="215">-0.125</cx:pt>
          <cx:pt idx="216">0.375</cx:pt>
          <cx:pt idx="217">-0.125</cx:pt>
          <cx:pt idx="218">-0.125</cx:pt>
          <cx:pt idx="219">0.375</cx:pt>
          <cx:pt idx="220">-2.75</cx:pt>
          <cx:pt idx="221">0.375</cx:pt>
          <cx:pt idx="222">-2.5</cx:pt>
          <cx:pt idx="223">0.375</cx:pt>
          <cx:pt idx="224">0.375</cx:pt>
          <cx:pt idx="225">-0.125</cx:pt>
          <cx:pt idx="226">-2</cx:pt>
          <cx:pt idx="227">-2.375</cx:pt>
          <cx:pt idx="228">1.375</cx:pt>
          <cx:pt idx="229">-0.125</cx:pt>
          <cx:pt idx="230">-0.125</cx:pt>
          <cx:pt idx="231">-0.125</cx:pt>
          <cx:pt idx="232">-0.125</cx:pt>
          <cx:pt idx="233">-2</cx:pt>
          <cx:pt idx="234">0.875</cx:pt>
          <cx:pt idx="235">-0.875</cx:pt>
          <cx:pt idx="236">0.5</cx:pt>
          <cx:pt idx="237">0</cx:pt>
          <cx:pt idx="238">-0.625</cx:pt>
          <cx:pt idx="239">0.375</cx:pt>
          <cx:pt idx="240">0.125</cx:pt>
          <cx:pt idx="241">0.125</cx:pt>
          <cx:pt idx="242">-0.125</cx:pt>
          <cx:pt idx="243">-2.375</cx:pt>
          <cx:pt idx="244">0.75</cx:pt>
          <cx:pt idx="245">0.125</cx:pt>
          <cx:pt idx="246">0.375</cx:pt>
          <cx:pt idx="247">1.25</cx:pt>
          <cx:pt idx="248">1.125</cx:pt>
          <cx:pt idx="249">-0.625</cx:pt>
          <cx:pt idx="250">0.125</cx:pt>
          <cx:pt idx="251">-1.25</cx:pt>
          <cx:pt idx="252">0.25</cx:pt>
          <cx:pt idx="253">0.125</cx:pt>
          <cx:pt idx="254">0.375</cx:pt>
          <cx:pt idx="255">0</cx:pt>
          <cx:pt idx="256">-0.375</cx:pt>
          <cx:pt idx="257">-0.375</cx:pt>
          <cx:pt idx="258">-0.375</cx:pt>
          <cx:pt idx="259">-0.375</cx:pt>
          <cx:pt idx="260">-0.375</cx:pt>
          <cx:pt idx="261">0.25</cx:pt>
          <cx:pt idx="262">-0.125</cx:pt>
          <cx:pt idx="263">-0.375</cx:pt>
          <cx:pt idx="264">-0.625</cx:pt>
          <cx:pt idx="265">-0.625</cx:pt>
          <cx:pt idx="266">-0.625</cx:pt>
          <cx:pt idx="267">-1.375</cx:pt>
          <cx:pt idx="268">-0.625</cx:pt>
          <cx:pt idx="269">0.5</cx:pt>
          <cx:pt idx="270">0.125</cx:pt>
          <cx:pt idx="271">-1</cx:pt>
          <cx:pt idx="272">0.125</cx:pt>
          <cx:pt idx="273">-0.375</cx:pt>
          <cx:pt idx="274">-0.125</cx:pt>
          <cx:pt idx="275">0.125</cx:pt>
          <cx:pt idx="276">0.75</cx:pt>
          <cx:pt idx="277">0.375</cx:pt>
          <cx:pt idx="278">0.125</cx:pt>
          <cx:pt idx="279">0.125</cx:pt>
          <cx:pt idx="280">0.125</cx:pt>
          <cx:pt idx="281">0.375</cx:pt>
          <cx:pt idx="282">-0.375</cx:pt>
          <cx:pt idx="283">0.36499999999999999</cx:pt>
          <cx:pt idx="284">0</cx:pt>
          <cx:pt idx="285">-1</cx:pt>
          <cx:pt idx="286">-2.875</cx:pt>
          <cx:pt idx="287">-0.125</cx:pt>
          <cx:pt idx="288">-0.125</cx:pt>
          <cx:pt idx="289">0.5</cx:pt>
          <cx:pt idx="290">0.125</cx:pt>
          <cx:pt idx="291">0.5</cx:pt>
          <cx:pt idx="292">-0.125</cx:pt>
          <cx:pt idx="293">-0.125</cx:pt>
          <cx:pt idx="294">0.375</cx:pt>
          <cx:pt idx="295">-0.125</cx:pt>
          <cx:pt idx="296">0.5</cx:pt>
          <cx:pt idx="297">-0.375</cx:pt>
          <cx:pt idx="298">0.5</cx:pt>
          <cx:pt idx="299">-0.375</cx:pt>
          <cx:pt idx="300">0.625</cx:pt>
          <cx:pt idx="301">0.375</cx:pt>
          <cx:pt idx="302">0.375</cx:pt>
          <cx:pt idx="303">0.125</cx:pt>
          <cx:pt idx="304">0.5</cx:pt>
          <cx:pt idx="305">0.125</cx:pt>
          <cx:pt idx="306">0</cx:pt>
          <cx:pt idx="307">0.375</cx:pt>
          <cx:pt idx="308">-0.125</cx:pt>
          <cx:pt idx="309">-4</cx:pt>
          <cx:pt idx="310">0.5</cx:pt>
          <cx:pt idx="311">-0.089999999999999997</cx:pt>
          <cx:pt idx="312">0.5</cx:pt>
          <cx:pt idx="313">0.125</cx:pt>
          <cx:pt idx="314">-0.125</cx:pt>
          <cx:pt idx="315">0.375</cx:pt>
          <cx:pt idx="316">0</cx:pt>
          <cx:pt idx="317">-2.875</cx:pt>
          <cx:pt idx="318">0.375</cx:pt>
          <cx:pt idx="319">0.5</cx:pt>
          <cx:pt idx="320">-0.375</cx:pt>
          <cx:pt idx="321">0.11499999999999999</cx:pt>
          <cx:pt idx="322">-0.125</cx:pt>
          <cx:pt idx="323">0.125</cx:pt>
          <cx:pt idx="324">0.625</cx:pt>
          <cx:pt idx="325">-0.625</cx:pt>
          <cx:pt idx="326">0.125</cx:pt>
          <cx:pt idx="327">-1.375</cx:pt>
          <cx:pt idx="328">0.5</cx:pt>
          <cx:pt idx="329">-0.375</cx:pt>
          <cx:pt idx="330">0.125</cx:pt>
          <cx:pt idx="331">-0.375</cx:pt>
          <cx:pt idx="332">0.125</cx:pt>
          <cx:pt idx="333">-0.375</cx:pt>
          <cx:pt idx="334">-2.875</cx:pt>
          <cx:pt idx="335">0.125</cx:pt>
          <cx:pt idx="336">-0.375</cx:pt>
          <cx:pt idx="337">-0.125</cx:pt>
          <cx:pt idx="338">0</cx:pt>
          <cx:pt idx="339">-0.625</cx:pt>
          <cx:pt idx="340">0.5</cx:pt>
          <cx:pt idx="341">0.5</cx:pt>
          <cx:pt idx="342">0.375</cx:pt>
          <cx:pt idx="343">0.125</cx:pt>
          <cx:pt idx="344">-3.875</cx:pt>
          <cx:pt idx="345">0.75</cx:pt>
          <cx:pt idx="346">0.5</cx:pt>
          <cx:pt idx="347">-0.25</cx:pt>
          <cx:pt idx="348">0</cx:pt>
          <cx:pt idx="349">0</cx:pt>
          <cx:pt idx="350">0.125</cx:pt>
          <cx:pt idx="351">-3.5</cx:pt>
          <cx:pt idx="352">0</cx:pt>
          <cx:pt idx="353">0.66000000000000003</cx:pt>
          <cx:pt idx="354">0</cx:pt>
          <cx:pt idx="355">0</cx:pt>
          <cx:pt idx="413">-0.375</cx:pt>
          <cx:pt idx="414">0.375</cx:pt>
          <cx:pt idx="415">-0.25</cx:pt>
          <cx:pt idx="416">0.375</cx:pt>
          <cx:pt idx="417">-2.5</cx:pt>
          <cx:pt idx="418">0</cx:pt>
          <cx:pt idx="419">0.375</cx:pt>
          <cx:pt idx="420">0.375</cx:pt>
          <cx:pt idx="421">0.375</cx:pt>
          <cx:pt idx="422">-0.375</cx:pt>
          <cx:pt idx="423">-2.375</cx:pt>
          <cx:pt idx="424">-3.5</cx:pt>
          <cx:pt idx="425">0.375</cx:pt>
          <cx:pt idx="426">3.875</cx:pt>
          <cx:pt idx="427">-8.25</cx:pt>
          <cx:pt idx="428">0.375</cx:pt>
          <cx:pt idx="429">0.375</cx:pt>
          <cx:pt idx="430">-5.375</cx:pt>
          <cx:pt idx="431">-0.125</cx:pt>
          <cx:pt idx="432">-0.25</cx:pt>
          <cx:pt idx="433">-2.875</cx:pt>
          <cx:pt idx="434">0.375</cx:pt>
          <cx:pt idx="435">0.375</cx:pt>
          <cx:pt idx="436">-6.125</cx:pt>
          <cx:pt idx="437">0.375</cx:pt>
          <cx:pt idx="438">-2.875</cx:pt>
          <cx:pt idx="439">0.375</cx:pt>
          <cx:pt idx="440">-2.25</cx:pt>
          <cx:pt idx="441">0.375</cx:pt>
          <cx:pt idx="442">0.375</cx:pt>
          <cx:pt idx="443">-0.25</cx:pt>
          <cx:pt idx="444">0.25</cx:pt>
          <cx:pt idx="445">1.125</cx:pt>
          <cx:pt idx="446">0.32500000000000001</cx:pt>
          <cx:pt idx="447">0.375</cx:pt>
          <cx:pt idx="448">0.375</cx:pt>
          <cx:pt idx="449">0.375</cx:pt>
          <cx:pt idx="450">-3.75</cx:pt>
          <cx:pt idx="451">0.375</cx:pt>
          <cx:pt idx="452">0.375</cx:pt>
          <cx:pt idx="453">0.375</cx:pt>
          <cx:pt idx="454">-0.25</cx:pt>
          <cx:pt idx="455">-2.75</cx:pt>
          <cx:pt idx="456">0.375</cx:pt>
          <cx:pt idx="457">0.375</cx:pt>
          <cx:pt idx="458">0.375</cx:pt>
          <cx:pt idx="459">0.375</cx:pt>
          <cx:pt idx="460">-4.585</cx:pt>
          <cx:pt idx="461">1.1299999999999999</cx:pt>
          <cx:pt idx="462">0.375</cx:pt>
          <cx:pt idx="463">-1.75</cx:pt>
          <cx:pt idx="464">-2.625</cx:pt>
          <cx:pt idx="465">-3.4399999999999999</cx:pt>
          <cx:pt idx="466">0.375</cx:pt>
          <cx:pt idx="467">-1.625</cx:pt>
          <cx:pt idx="468">0.375</cx:pt>
          <cx:pt idx="469">-2</cx:pt>
          <cx:pt idx="470">0.375</cx:pt>
          <cx:pt idx="471">1</cx:pt>
          <cx:pt idx="472">0.375</cx:pt>
          <cx:pt idx="473">-1.625</cx:pt>
          <cx:pt idx="474">0.25</cx:pt>
          <cx:pt idx="475">0.25</cx:pt>
          <cx:pt idx="476">-1.875</cx:pt>
          <cx:pt idx="477">-2.625</cx:pt>
          <cx:pt idx="478">-1.625</cx:pt>
          <cx:pt idx="479">-0.25</cx:pt>
          <cx:pt idx="480">0</cx:pt>
          <cx:pt idx="481">-0.125</cx:pt>
          <cx:pt idx="482">-2.125</cx:pt>
          <cx:pt idx="483">-2.625</cx:pt>
          <cx:pt idx="484">-0.25</cx:pt>
          <cx:pt idx="485">-2.75</cx:pt>
          <cx:pt idx="486">0.375</cx:pt>
          <cx:pt idx="487">-0.25</cx:pt>
          <cx:pt idx="488">0</cx:pt>
          <cx:pt idx="489">0.375</cx:pt>
          <cx:pt idx="490">0</cx:pt>
          <cx:pt idx="491">-0.25</cx:pt>
          <cx:pt idx="492">-1.625</cx:pt>
          <cx:pt idx="493">-1.8700000000000001</cx:pt>
          <cx:pt idx="494">1.25</cx:pt>
          <cx:pt idx="495">0.375</cx:pt>
          <cx:pt idx="496">-2.5</cx:pt>
          <cx:pt idx="497">0.375</cx:pt>
          <cx:pt idx="498">0.375</cx:pt>
          <cx:pt idx="499">-2.625</cx:pt>
          <cx:pt idx="500">0</cx:pt>
          <cx:pt idx="501">0.375</cx:pt>
          <cx:pt idx="502">-7.875</cx:pt>
          <cx:pt idx="503">-2.5</cx:pt>
          <cx:pt idx="504">0.375</cx:pt>
          <cx:pt idx="505">-0.25</cx:pt>
          <cx:pt idx="506">0.375</cx:pt>
          <cx:pt idx="507">-1.625</cx:pt>
          <cx:pt idx="508">-0.125</cx:pt>
          <cx:pt idx="509">0.375</cx:pt>
          <cx:pt idx="510">0</cx:pt>
          <cx:pt idx="511">0.375</cx:pt>
          <cx:pt idx="512">-1.625</cx:pt>
          <cx:pt idx="513">0.875</cx:pt>
          <cx:pt idx="514">0</cx:pt>
          <cx:pt idx="515">0.375</cx:pt>
          <cx:pt idx="516">-0.25</cx:pt>
          <cx:pt idx="517">0</cx:pt>
          <cx:pt idx="518">-2.625</cx:pt>
          <cx:pt idx="519">0.375</cx:pt>
          <cx:pt idx="520">0.375</cx:pt>
          <cx:pt idx="521">0.375</cx:pt>
          <cx:pt idx="522">-0.25</cx:pt>
          <cx:pt idx="523">-2</cx:pt>
          <cx:pt idx="524">0.375</cx:pt>
          <cx:pt idx="525">-3.75</cx:pt>
          <cx:pt idx="526">-0.875</cx:pt>
          <cx:pt idx="527">-1.25</cx:pt>
          <cx:pt idx="528">0</cx:pt>
          <cx:pt idx="529">-2.75</cx:pt>
          <cx:pt idx="530">0</cx:pt>
          <cx:pt idx="531">0.375</cx:pt>
          <cx:pt idx="532">-1.625</cx:pt>
          <cx:pt idx="533">0.375</cx:pt>
          <cx:pt idx="534">-0.25</cx:pt>
          <cx:pt idx="535">0</cx:pt>
          <cx:pt idx="536">-1.875</cx:pt>
          <cx:pt idx="537">-0.375</cx:pt>
          <cx:pt idx="538">0.375</cx:pt>
          <cx:pt idx="539">-1.625</cx:pt>
          <cx:pt idx="540">-0.25</cx:pt>
          <cx:pt idx="541">-0.25</cx:pt>
          <cx:pt idx="542">0.375</cx:pt>
          <cx:pt idx="543">0.875</cx:pt>
          <cx:pt idx="544">0.375</cx:pt>
          <cx:pt idx="545">0.375</cx:pt>
          <cx:pt idx="546">-2.125</cx:pt>
          <cx:pt idx="547">0.375</cx:pt>
          <cx:pt idx="548">0.375</cx:pt>
          <cx:pt idx="549">0.375</cx:pt>
          <cx:pt idx="550">-0.25</cx:pt>
          <cx:pt idx="551">-0.25</cx:pt>
          <cx:pt idx="552">0</cx:pt>
          <cx:pt idx="553">-0.25</cx:pt>
          <cx:pt idx="554">-0.125</cx:pt>
          <cx:pt idx="555">1.375</cx:pt>
          <cx:pt idx="556">1.5</cx:pt>
          <cx:pt idx="557">0.375</cx:pt>
          <cx:pt idx="558">0.375</cx:pt>
          <cx:pt idx="559">-1.5</cx:pt>
          <cx:pt idx="560">1</cx:pt>
          <cx:pt idx="561">0.375</cx:pt>
          <cx:pt idx="562">-0.375</cx:pt>
          <cx:pt idx="563">0.375</cx:pt>
          <cx:pt idx="564">0.375</cx:pt>
          <cx:pt idx="565">-0.25</cx:pt>
          <cx:pt idx="566">0.375</cx:pt>
          <cx:pt idx="567">-0.375</cx:pt>
          <cx:pt idx="568">0.375</cx:pt>
          <cx:pt idx="569">0.375</cx:pt>
          <cx:pt idx="570">-0.25</cx:pt>
          <cx:pt idx="571">0.375</cx:pt>
          <cx:pt idx="572">0.375</cx:pt>
          <cx:pt idx="573">0.375</cx:pt>
          <cx:pt idx="574">0.375</cx:pt>
          <cx:pt idx="575">0.375</cx:pt>
          <cx:pt idx="576">-4.25</cx:pt>
          <cx:pt idx="577">-0.875</cx:pt>
          <cx:pt idx="578">-9.25</cx:pt>
          <cx:pt idx="579">0.375</cx:pt>
          <cx:pt idx="580">-1.375</cx:pt>
          <cx:pt idx="581">0.375</cx:pt>
          <cx:pt idx="582">-5</cx:pt>
          <cx:pt idx="583">-0.625</cx:pt>
          <cx:pt idx="584">0.375</cx:pt>
          <cx:pt idx="585">0.375</cx:pt>
          <cx:pt idx="586">-1.625</cx:pt>
          <cx:pt idx="587">0.375</cx:pt>
          <cx:pt idx="588">0.375</cx:pt>
          <cx:pt idx="589">0.375</cx:pt>
          <cx:pt idx="590">-5.5</cx:pt>
          <cx:pt idx="591">0.375</cx:pt>
          <cx:pt idx="592">0.375</cx:pt>
          <cx:pt idx="593">0.375</cx:pt>
          <cx:pt idx="594">-3.25</cx:pt>
          <cx:pt idx="595">-2.125</cx:pt>
          <cx:pt idx="596">0.375</cx:pt>
          <cx:pt idx="597">-1.45</cx:pt>
          <cx:pt idx="598">0.375</cx:pt>
          <cx:pt idx="599">0.375</cx:pt>
          <cx:pt idx="600">-1.45</cx:pt>
          <cx:pt idx="601">0.375</cx:pt>
          <cx:pt idx="602">-2.875</cx:pt>
          <cx:pt idx="603">-1.375</cx:pt>
          <cx:pt idx="604">0.375</cx:pt>
          <cx:pt idx="605">-0.875</cx:pt>
          <cx:pt idx="606">-0.125</cx:pt>
          <cx:pt idx="607">0.375</cx:pt>
          <cx:pt idx="608">0.375</cx:pt>
          <cx:pt idx="609">0.125</cx:pt>
          <cx:pt idx="610">-0.875</cx:pt>
          <cx:pt idx="611">0.375</cx:pt>
          <cx:pt idx="612">-0.875</cx:pt>
          <cx:pt idx="613">0.375</cx:pt>
          <cx:pt idx="614">-0.375</cx:pt>
          <cx:pt idx="615">0.375</cx:pt>
          <cx:pt idx="616">-0.25</cx:pt>
          <cx:pt idx="617">0.375</cx:pt>
          <cx:pt idx="618">0.375</cx:pt>
          <cx:pt idx="619">-1.5</cx:pt>
          <cx:pt idx="620">0.375</cx:pt>
          <cx:pt idx="621">0.375</cx:pt>
          <cx:pt idx="622">0.375</cx:pt>
          <cx:pt idx="623">0.375</cx:pt>
          <cx:pt idx="624">-5.5</cx:pt>
          <cx:pt idx="625">0.375</cx:pt>
          <cx:pt idx="626">-1.875</cx:pt>
          <cx:pt idx="627">-1.25</cx:pt>
          <cx:pt idx="628">0.375</cx:pt>
          <cx:pt idx="629">0.375</cx:pt>
          <cx:pt idx="630">-5</cx:pt>
          <cx:pt idx="631">0.375</cx:pt>
          <cx:pt idx="632">0.375</cx:pt>
          <cx:pt idx="633">-1.5</cx:pt>
          <cx:pt idx="634">0.375</cx:pt>
          <cx:pt idx="635">0</cx:pt>
          <cx:pt idx="636">-1.5</cx:pt>
          <cx:pt idx="637">0.75</cx:pt>
          <cx:pt idx="638">0.375</cx:pt>
          <cx:pt idx="639">-1.125</cx:pt>
          <cx:pt idx="640">0.375</cx:pt>
          <cx:pt idx="641">0.625</cx:pt>
          <cx:pt idx="642">-2.125</cx:pt>
          <cx:pt idx="643">0.25</cx:pt>
          <cx:pt idx="644">0.375</cx:pt>
          <cx:pt idx="645">-0.125</cx:pt>
          <cx:pt idx="646">-2</cx:pt>
          <cx:pt idx="647">0.375</cx:pt>
          <cx:pt idx="648">0.75</cx:pt>
          <cx:pt idx="649">0.375</cx:pt>
          <cx:pt idx="650">-2.125</cx:pt>
          <cx:pt idx="651">0.375</cx:pt>
          <cx:pt idx="652">2.375</cx:pt>
          <cx:pt idx="653">0.375</cx:pt>
          <cx:pt idx="654">0.375</cx:pt>
          <cx:pt idx="655">1</cx:pt>
          <cx:pt idx="656">0.375</cx:pt>
          <cx:pt idx="657">0.375</cx:pt>
          <cx:pt idx="658">0.375</cx:pt>
          <cx:pt idx="659">-0.25</cx:pt>
          <cx:pt idx="660">0.375</cx:pt>
          <cx:pt idx="661">-2</cx:pt>
          <cx:pt idx="662">-7</cx:pt>
          <cx:pt idx="663">-3.25</cx:pt>
          <cx:pt idx="664">-5.25</cx:pt>
          <cx:pt idx="665">0.375</cx:pt>
          <cx:pt idx="666">-0.375</cx:pt>
          <cx:pt idx="667">-1.375</cx:pt>
          <cx:pt idx="668">0.375</cx:pt>
          <cx:pt idx="669">0.375</cx:pt>
          <cx:pt idx="670">0.375</cx:pt>
          <cx:pt idx="671">0.375</cx:pt>
          <cx:pt idx="672">0.375</cx:pt>
          <cx:pt idx="673">-6</cx:pt>
          <cx:pt idx="674">-1.75</cx:pt>
          <cx:pt idx="675">0.375</cx:pt>
          <cx:pt idx="676">-2.75</cx:pt>
          <cx:pt idx="677">-1.45</cx:pt>
          <cx:pt idx="678">1.5</cx:pt>
          <cx:pt idx="679">-1.5</cx:pt>
          <cx:pt idx="680">0.375</cx:pt>
          <cx:pt idx="681">0.5</cx:pt>
          <cx:pt idx="682">-0.125</cx:pt>
          <cx:pt idx="683">-0.125</cx:pt>
          <cx:pt idx="684">0.375</cx:pt>
          <cx:pt idx="685">0.375</cx:pt>
          <cx:pt idx="686">0.375</cx:pt>
          <cx:pt idx="687">0.375</cx:pt>
          <cx:pt idx="688">-1.5</cx:pt>
          <cx:pt idx="689">0.375</cx:pt>
          <cx:pt idx="690">-1.5</cx:pt>
          <cx:pt idx="691">0.375</cx:pt>
          <cx:pt idx="692">0.375</cx:pt>
          <cx:pt idx="693">-1.45</cx:pt>
          <cx:pt idx="694">0.25</cx:pt>
          <cx:pt idx="695">0.25</cx:pt>
          <cx:pt idx="696">0.375</cx:pt>
          <cx:pt idx="697">-0.17499999999999999</cx:pt>
          <cx:pt idx="698">0.375</cx:pt>
          <cx:pt idx="699">0.375</cx:pt>
          <cx:pt idx="700">0.375</cx:pt>
          <cx:pt idx="701">0.375</cx:pt>
          <cx:pt idx="702">-2.125</cx:pt>
          <cx:pt idx="703">-0.375</cx:pt>
          <cx:pt idx="704">-0.375</cx:pt>
          <cx:pt idx="705">-0.375</cx:pt>
          <cx:pt idx="706">-1.25</cx:pt>
          <cx:pt idx="707">0</cx:pt>
          <cx:pt idx="708">0.25</cx:pt>
          <cx:pt idx="709">0.25</cx:pt>
          <cx:pt idx="710">-1.5</cx:pt>
          <cx:pt idx="711">0.25</cx:pt>
          <cx:pt idx="712">-0.25</cx:pt>
          <cx:pt idx="713">-1.375</cx:pt>
          <cx:pt idx="714">-0.125</cx:pt>
          <cx:pt idx="715">0</cx:pt>
          <cx:pt idx="716">0</cx:pt>
          <cx:pt idx="717">-0.25</cx:pt>
          <cx:pt idx="718">-0.875</cx:pt>
          <cx:pt idx="719">-3.25</cx:pt>
          <cx:pt idx="720">-0.125</cx:pt>
          <cx:pt idx="721">0.375</cx:pt>
          <cx:pt idx="722">-0.375</cx:pt>
          <cx:pt idx="723">-0.375</cx:pt>
          <cx:pt idx="724">-1.625</cx:pt>
          <cx:pt idx="725">-0.125</cx:pt>
          <cx:pt idx="726">-0.125</cx:pt>
          <cx:pt idx="727">-0.125</cx:pt>
          <cx:pt idx="728">0.125</cx:pt>
          <cx:pt idx="729">-0.25</cx:pt>
          <cx:pt idx="730">-0.5</cx:pt>
          <cx:pt idx="731">-0.25</cx:pt>
          <cx:pt idx="732">-0.125</cx:pt>
          <cx:pt idx="733">-0.375</cx:pt>
          <cx:pt idx="734">-0.25</cx:pt>
          <cx:pt idx="735">-1.875</cx:pt>
          <cx:pt idx="736">-3.5</cx:pt>
          <cx:pt idx="737">-0.25</cx:pt>
          <cx:pt idx="738">0.25</cx:pt>
          <cx:pt idx="739">0.125</cx:pt>
          <cx:pt idx="740">-0.25</cx:pt>
          <cx:pt idx="741">0</cx:pt>
          <cx:pt idx="742">-0.25</cx:pt>
          <cx:pt idx="743">-4</cx:pt>
          <cx:pt idx="744">-0.25</cx:pt>
          <cx:pt idx="745">0</cx:pt>
          <cx:pt idx="746">-0.375</cx:pt>
          <cx:pt idx="747">0.125</cx:pt>
          <cx:pt idx="748">-0.25</cx:pt>
          <cx:pt idx="749">-2.5</cx:pt>
          <cx:pt idx="750">-1.375</cx:pt>
          <cx:pt idx="751">-0.25</cx:pt>
          <cx:pt idx="752">0.25</cx:pt>
          <cx:pt idx="753">-0.25</cx:pt>
          <cx:pt idx="754">-0.375</cx:pt>
          <cx:pt idx="755">0.125</cx:pt>
          <cx:pt idx="756">-0.25</cx:pt>
          <cx:pt idx="757">-0.125</cx:pt>
          <cx:pt idx="758">-0.375</cx:pt>
          <cx:pt idx="759">-0.375</cx:pt>
          <cx:pt idx="760">-0.25</cx:pt>
          <cx:pt idx="761">-1.625</cx:pt>
          <cx:pt idx="762">-0.25</cx:pt>
          <cx:pt idx="763">-0.375</cx:pt>
          <cx:pt idx="764">-0.125</cx:pt>
          <cx:pt idx="765">0.25</cx:pt>
          <cx:pt idx="766">-0.375</cx:pt>
          <cx:pt idx="767">-1</cx:pt>
          <cx:pt idx="768">0.375</cx:pt>
          <cx:pt idx="769">0</cx:pt>
          <cx:pt idx="770">-7.375</cx:pt>
          <cx:pt idx="771">-0.375</cx:pt>
          <cx:pt idx="772">-1.375</cx:pt>
          <cx:pt idx="773">-0.375</cx:pt>
          <cx:pt idx="774">-0.25</cx:pt>
          <cx:pt idx="775">-1.875</cx:pt>
          <cx:pt idx="776">-0.125</cx:pt>
          <cx:pt idx="777">0.125</cx:pt>
          <cx:pt idx="778">-0.25</cx:pt>
          <cx:pt idx="815">0.625</cx:pt>
          <cx:pt idx="816">-1.25</cx:pt>
          <cx:pt idx="817">0.625</cx:pt>
          <cx:pt idx="818">-0.375</cx:pt>
          <cx:pt idx="819">0.625</cx:pt>
          <cx:pt idx="820">0.375</cx:pt>
          <cx:pt idx="821">0.625</cx:pt>
          <cx:pt idx="822">-2.25</cx:pt>
          <cx:pt idx="823">0.625</cx:pt>
          <cx:pt idx="824">-3.375</cx:pt>
          <cx:pt idx="825">0.625</cx:pt>
          <cx:pt idx="826">0.625</cx:pt>
          <cx:pt idx="827">-5.25</cx:pt>
          <cx:pt idx="828">-1.25</cx:pt>
          <cx:pt idx="829">-2.25</cx:pt>
          <cx:pt idx="830">-5.75</cx:pt>
          <cx:pt idx="831">0</cx:pt>
          <cx:pt idx="832">0.5</cx:pt>
          <cx:pt idx="833">-1.75</cx:pt>
          <cx:pt idx="834">-0.375</cx:pt>
          <cx:pt idx="835">-0.25</cx:pt>
          <cx:pt idx="836">-2.625</cx:pt>
          <cx:pt idx="837">-5.375</cx:pt>
          <cx:pt idx="838">0.625</cx:pt>
          <cx:pt idx="839">-4.5</cx:pt>
          <cx:pt idx="840">-2.25</cx:pt>
          <cx:pt idx="841">-6</cx:pt>
          <cx:pt idx="842">0.625</cx:pt>
          <cx:pt idx="843">0.625</cx:pt>
          <cx:pt idx="844">0.625</cx:pt>
          <cx:pt idx="845">0.625</cx:pt>
          <cx:pt idx="846">0.625</cx:pt>
          <cx:pt idx="847">-3.75</cx:pt>
          <cx:pt idx="848">-6.375</cx:pt>
          <cx:pt idx="849">-4.875</cx:pt>
          <cx:pt idx="850">-6.875</cx:pt>
          <cx:pt idx="851">-1.875</cx:pt>
          <cx:pt idx="852">-4.625</cx:pt>
          <cx:pt idx="853">1.25</cx:pt>
          <cx:pt idx="854">-1.25</cx:pt>
          <cx:pt idx="855">-2</cx:pt>
          <cx:pt idx="856">-1.75</cx:pt>
          <cx:pt idx="857">-8.25</cx:pt>
          <cx:pt idx="858">0.625</cx:pt>
          <cx:pt idx="859">0.625</cx:pt>
          <cx:pt idx="860">-3.5</cx:pt>
          <cx:pt idx="861">-1.375</cx:pt>
          <cx:pt idx="862">-0.25</cx:pt>
          <cx:pt idx="863">-4.5</cx:pt>
          <cx:pt idx="864">-2.375</cx:pt>
          <cx:pt idx="865">0.625</cx:pt>
          <cx:pt idx="866">0.125</cx:pt>
          <cx:pt idx="867">0.625</cx:pt>
          <cx:pt idx="868">0.625</cx:pt>
          <cx:pt idx="869">0.125</cx:pt>
          <cx:pt idx="870">-0.375</cx:pt>
          <cx:pt idx="871">0.625</cx:pt>
          <cx:pt idx="872">-1.875</cx:pt>
          <cx:pt idx="873">0.125</cx:pt>
          <cx:pt idx="874">-1.75</cx:pt>
          <cx:pt idx="875">-1.25</cx:pt>
          <cx:pt idx="876">0.625</cx:pt>
          <cx:pt idx="877">0.625</cx:pt>
          <cx:pt idx="878">-2.125</cx:pt>
          <cx:pt idx="879">0.625</cx:pt>
          <cx:pt idx="880">-0.25</cx:pt>
          <cx:pt idx="881">0.625</cx:pt>
          <cx:pt idx="882">-0.375</cx:pt>
          <cx:pt idx="883">-0.375</cx:pt>
          <cx:pt idx="884">0.625</cx:pt>
          <cx:pt idx="885">-2</cx:pt>
          <cx:pt idx="886">0.625</cx:pt>
          <cx:pt idx="887">-1.625</cx:pt>
          <cx:pt idx="888">0.625</cx:pt>
          <cx:pt idx="889">-0.375</cx:pt>
          <cx:pt idx="890">-1.75</cx:pt>
          <cx:pt idx="891">1.375</cx:pt>
          <cx:pt idx="892">0.625</cx:pt>
          <cx:pt idx="893">-2.5</cx:pt>
          <cx:pt idx="894">0.625</cx:pt>
          <cx:pt idx="895">0.625</cx:pt>
          <cx:pt idx="896">0.625</cx:pt>
          <cx:pt idx="897">-0.375</cx:pt>
          <cx:pt idx="898">0.625</cx:pt>
          <cx:pt idx="899">-7.875</cx:pt>
          <cx:pt idx="900">0.625</cx:pt>
          <cx:pt idx="901">-2.5</cx:pt>
          <cx:pt idx="902">0.25</cx:pt>
          <cx:pt idx="903">0.625</cx:pt>
          <cx:pt idx="904">0.625</cx:pt>
          <cx:pt idx="905">0.625</cx:pt>
          <cx:pt idx="906">-0.125</cx:pt>
          <cx:pt idx="907">0.625</cx:pt>
          <cx:pt idx="908">0.375</cx:pt>
          <cx:pt idx="909">-0.375</cx:pt>
          <cx:pt idx="910">0.625</cx:pt>
          <cx:pt idx="911">-6.125</cx:pt>
          <cx:pt idx="912">0.75</cx:pt>
          <cx:pt idx="913">-2.125</cx:pt>
          <cx:pt idx="914">-3.5</cx:pt>
          <cx:pt idx="915">-1.125</cx:pt>
          <cx:pt idx="916">0.625</cx:pt>
          <cx:pt idx="917">0.625</cx:pt>
          <cx:pt idx="918">-2.5</cx:pt>
          <cx:pt idx="919">0.625</cx:pt>
          <cx:pt idx="920">0.75</cx:pt>
          <cx:pt idx="921">-1.625</cx:pt>
          <cx:pt idx="922">-1.875</cx:pt>
          <cx:pt idx="923">-0.125</cx:pt>
          <cx:pt idx="924">0.625</cx:pt>
          <cx:pt idx="925">-1.875</cx:pt>
          <cx:pt idx="926">-1.75</cx:pt>
          <cx:pt idx="927">-0.375</cx:pt>
          <cx:pt idx="928">-0.25</cx:pt>
          <cx:pt idx="929">-4</cx:pt>
          <cx:pt idx="930">-3.25</cx:pt>
          <cx:pt idx="931">0.75</cx:pt>
          <cx:pt idx="932">1.5</cx:pt>
          <cx:pt idx="933">-2.75</cx:pt>
          <cx:pt idx="934">-0.375</cx:pt>
          <cx:pt idx="935">0.25</cx:pt>
          <cx:pt idx="936">0.25</cx:pt>
          <cx:pt idx="937">-0.375</cx:pt>
          <cx:pt idx="938">-6.625</cx:pt>
          <cx:pt idx="939">0.375</cx:pt>
          <cx:pt idx="940">-1.75</cx:pt>
          <cx:pt idx="941">-0.375</cx:pt>
          <cx:pt idx="942">0.625</cx:pt>
          <cx:pt idx="943">-2</cx:pt>
          <cx:pt idx="944">0.25</cx:pt>
          <cx:pt idx="945">-2.875</cx:pt>
          <cx:pt idx="946">-0.375</cx:pt>
          <cx:pt idx="947">-3.75</cx:pt>
          <cx:pt idx="948">-8.875</cx:pt>
          <cx:pt idx="949">0.25</cx:pt>
          <cx:pt idx="950">-0.125</cx:pt>
          <cx:pt idx="951">-0.375</cx:pt>
          <cx:pt idx="952">0.375</cx:pt>
          <cx:pt idx="953">0.25</cx:pt>
          <cx:pt idx="954">0.375</cx:pt>
          <cx:pt idx="955">-1.5</cx:pt>
          <cx:pt idx="956">0</cx:pt>
          <cx:pt idx="957">0.25</cx:pt>
          <cx:pt idx="958">0.375</cx:pt>
          <cx:pt idx="959">-1.625</cx:pt>
          <cx:pt idx="960">0.375</cx:pt>
          <cx:pt idx="961">-0.375</cx:pt>
          <cx:pt idx="962">-5.125</cx:pt>
          <cx:pt idx="963">-0.875</cx:pt>
          <cx:pt idx="964">-2</cx:pt>
          <cx:pt idx="965">-0.375</cx:pt>
          <cx:pt idx="966">-4.375</cx:pt>
          <cx:pt idx="967">-0.375</cx:pt>
          <cx:pt idx="968">-0.375</cx:pt>
          <cx:pt idx="969">-0.25</cx:pt>
          <cx:pt idx="970">-1.5</cx:pt>
          <cx:pt idx="971">-1.625</cx:pt>
          <cx:pt idx="972">-0.375</cx:pt>
          <cx:pt idx="973">0.375</cx:pt>
          <cx:pt idx="974">0.25</cx:pt>
          <cx:pt idx="975">-0.625</cx:pt>
          <cx:pt idx="976">0.25</cx:pt>
          <cx:pt idx="977">-4.75</cx:pt>
          <cx:pt idx="978">-0.375</cx:pt>
          <cx:pt idx="979">0.375</cx:pt>
          <cx:pt idx="980">0.25</cx:pt>
          <cx:pt idx="981">-1.6299999999999999</cx:pt>
          <cx:pt idx="982">-0.375</cx:pt>
          <cx:pt idx="983">-1.625</cx:pt>
          <cx:pt idx="984">-0.375</cx:pt>
          <cx:pt idx="985">-2.125</cx:pt>
          <cx:pt idx="986">0.25</cx:pt>
          <cx:pt idx="987">-4.75</cx:pt>
          <cx:pt idx="988">-0.625</cx:pt>
          <cx:pt idx="989">-1.125</cx:pt>
          <cx:pt idx="990">-2.125</cx:pt>
          <cx:pt idx="991">0.375</cx:pt>
          <cx:pt idx="992">0.25</cx:pt>
          <cx:pt idx="993">-1.625</cx:pt>
          <cx:pt idx="994">-0.375</cx:pt>
          <cx:pt idx="995">0.25</cx:pt>
          <cx:pt idx="996">-4.75</cx:pt>
          <cx:pt idx="997">-5.125</cx:pt>
          <cx:pt idx="998">-0.375</cx:pt>
          <cx:pt idx="999">-5.75</cx:pt>
          <cx:pt idx="1000">-1.625</cx:pt>
          <cx:pt idx="1001">-0.375</cx:pt>
          <cx:pt idx="1002">-0.375</cx:pt>
          <cx:pt idx="1003">0.25</cx:pt>
          <cx:pt idx="1004">0.375</cx:pt>
          <cx:pt idx="1005">-1.25</cx:pt>
          <cx:pt idx="1006">-2</cx:pt>
          <cx:pt idx="1007">0</cx:pt>
          <cx:pt idx="1008">-0.375</cx:pt>
          <cx:pt idx="1009">-1.75</cx:pt>
          <cx:pt idx="1010">-2.375</cx:pt>
          <cx:pt idx="1011">-2</cx:pt>
          <cx:pt idx="1012">-1.625</cx:pt>
          <cx:pt idx="1013">-2.125</cx:pt>
          <cx:pt idx="1014">0.375</cx:pt>
          <cx:pt idx="1015">-0.375</cx:pt>
          <cx:pt idx="1016">0.25</cx:pt>
          <cx:pt idx="1017">-5.125</cx:pt>
          <cx:pt idx="1018">0.25</cx:pt>
          <cx:pt idx="1019">0.25</cx:pt>
          <cx:pt idx="1020">-1.625</cx:pt>
          <cx:pt idx="1021">-2.625</cx:pt>
          <cx:pt idx="1022">0.375</cx:pt>
          <cx:pt idx="1023">-1.25</cx:pt>
          <cx:pt idx="1024">-1.625</cx:pt>
          <cx:pt idx="1025">-1.625</cx:pt>
          <cx:pt idx="1026">0</cx:pt>
          <cx:pt idx="1027">-1.625</cx:pt>
          <cx:pt idx="1028">0.375</cx:pt>
          <cx:pt idx="1029">-3.75</cx:pt>
          <cx:pt idx="1030">-2.875</cx:pt>
          <cx:pt idx="1031">-2</cx:pt>
          <cx:pt idx="1032">-1.25</cx:pt>
          <cx:pt idx="1033">-1.625</cx:pt>
          <cx:pt idx="1034">0.25</cx:pt>
          <cx:pt idx="1035">-1.625</cx:pt>
          <cx:pt idx="1036">0.375</cx:pt>
          <cx:pt idx="1037">0.375</cx:pt>
          <cx:pt idx="1038">-1.75</cx:pt>
          <cx:pt idx="1039">0.25</cx:pt>
          <cx:pt idx="1040">0.25</cx:pt>
          <cx:pt idx="1041">0.375</cx:pt>
          <cx:pt idx="1042">0.25</cx:pt>
          <cx:pt idx="1043">-2.625</cx:pt>
          <cx:pt idx="1044">-1.625</cx:pt>
          <cx:pt idx="1045">0.25</cx:pt>
          <cx:pt idx="1046">0.25</cx:pt>
          <cx:pt idx="1047">1.5</cx:pt>
          <cx:pt idx="1048">0.25</cx:pt>
          <cx:pt idx="1049">0.25</cx:pt>
          <cx:pt idx="1050">-2</cx:pt>
          <cx:pt idx="1051">-4.625</cx:pt>
          <cx:pt idx="1052">0.375</cx:pt>
          <cx:pt idx="1053">-1.625</cx:pt>
          <cx:pt idx="1054">-0.375</cx:pt>
          <cx:pt idx="1055">-0.375</cx:pt>
          <cx:pt idx="1056">-1.75</cx:pt>
          <cx:pt idx="1057">0.25</cx:pt>
          <cx:pt idx="1058">-1.25</cx:pt>
          <cx:pt idx="1059">0.25</cx:pt>
          <cx:pt idx="1060">-2</cx:pt>
          <cx:pt idx="1061">0.25</cx:pt>
          <cx:pt idx="1062">1</cx:pt>
          <cx:pt idx="1063">-0.375</cx:pt>
          <cx:pt idx="1064">-0.375</cx:pt>
          <cx:pt idx="1065">-0.375</cx:pt>
          <cx:pt idx="1066">0.25</cx:pt>
          <cx:pt idx="1067">-0.375</cx:pt>
          <cx:pt idx="1068">-2.375</cx:pt>
          <cx:pt idx="1069">0.25</cx:pt>
          <cx:pt idx="1070">-1.75</cx:pt>
          <cx:pt idx="1071">1.125</cx:pt>
          <cx:pt idx="1072">-1.25</cx:pt>
          <cx:pt idx="1073">-0.375</cx:pt>
          <cx:pt idx="1074">-2</cx:pt>
          <cx:pt idx="1075">-0.5</cx:pt>
          <cx:pt idx="1076">-7.375</cx:pt>
          <cx:pt idx="1077">-1.375</cx:pt>
          <cx:pt idx="1078">-6.875</cx:pt>
          <cx:pt idx="1079">-0.375</cx:pt>
          <cx:pt idx="1080">1</cx:pt>
          <cx:pt idx="1081">-1.25</cx:pt>
          <cx:pt idx="1082">0.25</cx:pt>
          <cx:pt idx="1083">0.375</cx:pt>
          <cx:pt idx="1084">0.25</cx:pt>
          <cx:pt idx="1085">-2</cx:pt>
          <cx:pt idx="1086">0.375</cx:pt>
          <cx:pt idx="1087">-7.875</cx:pt>
          <cx:pt idx="1088">-0.625</cx:pt>
          <cx:pt idx="1089">0.25</cx:pt>
          <cx:pt idx="1090">-0.625</cx:pt>
          <cx:pt idx="1091">-0.375</cx:pt>
          <cx:pt idx="1092">0.25</cx:pt>
          <cx:pt idx="1093">-0.375</cx:pt>
          <cx:pt idx="1094">-3.75</cx:pt>
          <cx:pt idx="1095">-9.5</cx:pt>
          <cx:pt idx="1096">-0.375</cx:pt>
          <cx:pt idx="1097">-2.625</cx:pt>
          <cx:pt idx="1098">-0.375</cx:pt>
          <cx:pt idx="1099">0.125</cx:pt>
          <cx:pt idx="1100">-0.5</cx:pt>
          <cx:pt idx="1101">0.5</cx:pt>
          <cx:pt idx="1102">-0.375</cx:pt>
          <cx:pt idx="1103">-7.125</cx:pt>
          <cx:pt idx="1104">1</cx:pt>
          <cx:pt idx="1105">-0.25</cx:pt>
          <cx:pt idx="1106">-1.25</cx:pt>
          <cx:pt idx="1107">-3.875</cx:pt>
          <cx:pt idx="1108">-1.25</cx:pt>
          <cx:pt idx="1109">-0.75</cx:pt>
          <cx:pt idx="1110">1.25</cx:pt>
          <cx:pt idx="1111">-0.375</cx:pt>
          <cx:pt idx="1112">-0.375</cx:pt>
          <cx:pt idx="1113">-4.375</cx:pt>
          <cx:pt idx="1114">-0.5</cx:pt>
          <cx:pt idx="1115">0.25</cx:pt>
          <cx:pt idx="1116">0</cx:pt>
          <cx:pt idx="1117">0</cx:pt>
          <cx:pt idx="1118">0</cx:pt>
          <cx:pt idx="1119">-0.25</cx:pt>
          <cx:pt idx="1120">0.25</cx:pt>
          <cx:pt idx="1121">0</cx:pt>
          <cx:pt idx="1122">-0.375</cx:pt>
          <cx:pt idx="1123">0</cx:pt>
          <cx:pt idx="1124">-1.75</cx:pt>
          <cx:pt idx="1125">0.25</cx:pt>
          <cx:pt idx="1126">-5.625</cx:pt>
          <cx:pt idx="1127">-0.875</cx:pt>
          <cx:pt idx="1128">-0.25</cx:pt>
          <cx:pt idx="1129">-1</cx:pt>
          <cx:pt idx="1130">-0.375</cx:pt>
          <cx:pt idx="1131">-0.125</cx:pt>
          <cx:pt idx="1132">-0.125</cx:pt>
          <cx:pt idx="1133">-0.125</cx:pt>
          <cx:pt idx="1134">-0.125</cx:pt>
          <cx:pt idx="1135">-0.125</cx:pt>
          <cx:pt idx="1136">-0.34999999999999998</cx:pt>
          <cx:pt idx="1137">-0.125</cx:pt>
          <cx:pt idx="1138">-1.875</cx:pt>
          <cx:pt idx="1139">-1.5</cx:pt>
          <cx:pt idx="1140">-0.25</cx:pt>
          <cx:pt idx="1141">0.25</cx:pt>
          <cx:pt idx="1142">0</cx:pt>
          <cx:pt idx="1143">-3.5</cx:pt>
          <cx:pt idx="1144">-0.75</cx:pt>
          <cx:pt idx="1145">-0.25</cx:pt>
          <cx:pt idx="1146">-7.375</cx:pt>
          <cx:pt idx="1147">-2.125</cx:pt>
          <cx:pt idx="1148">-4.625</cx:pt>
          <cx:pt idx="1149">-1</cx:pt>
          <cx:pt idx="1150">-0.125</cx:pt>
          <cx:pt idx="1151">-0.5</cx:pt>
          <cx:pt idx="1152">-0.375</cx:pt>
          <cx:pt idx="1153">-0.125</cx:pt>
          <cx:pt idx="1154">-1.875</cx:pt>
        </cx:lvl>
      </cx:numDim>
    </cx:data>
  </cx:chartData>
  <cx:chart>
    <cx:plotArea>
      <cx:plotAreaRegion>
        <cx:series layoutId="boxWhisker" uniqueId="{FC70B1C4-6B6D-4DD4-A78B-7B8A1ABD698D}">
          <cx:tx>
            <cx:txData>
              <cx:f>'SER (4)'!$B$1</cx:f>
              <cx:v>общеобразовательные</cx:v>
            </cx:txData>
          </cx:tx>
          <cx:dataId val="0"/>
          <cx:layoutPr>
            <cx:visibility meanLine="1" meanMarker="1" nonoutliers="0" outliers="0"/>
            <cx:statistics quartileMethod="exclusive"/>
          </cx:layoutPr>
        </cx:series>
        <cx:series layoutId="boxWhisker" uniqueId="{17DDD2C2-9F41-451A-95F7-D731A994AEF6}">
          <cx:tx>
            <cx:txData>
              <cx:f>'SER (4)'!$C$1</cx:f>
              <cx:v>гимназические</cx:v>
            </cx:txData>
          </cx:tx>
          <cx:dataId val="1"/>
          <cx:layoutPr>
            <cx:visibility meanLine="1" meanMarker="1" nonoutliers="0" outliers="0"/>
            <cx:statistics quartileMethod="exclusive"/>
          </cx:layoutPr>
        </cx:series>
      </cx:plotAreaRegion>
      <cx:axis id="0">
        <cx:catScaling gapWidth="0.74000001"/>
        <cx:tickLabels/>
        <cx:txPr>
          <a:bodyPr spcFirstLastPara="1" vertOverflow="ellipsis" horzOverflow="overflow" wrap="square" lIns="0" tIns="0" rIns="0" bIns="0" anchor="ctr" anchorCtr="1"/>
          <a:lstStyle/>
          <a:p>
            <a:pPr algn="ctr" rtl="0">
              <a:defRPr sz="1000">
                <a:solidFill>
                  <a:sysClr val="windowText" lastClr="000000"/>
                </a:solidFill>
              </a:defRPr>
            </a:pPr>
            <a:endParaRPr lang="ru-RU" sz="1000" b="0" i="0" u="none" strike="noStrike" baseline="0">
              <a:solidFill>
                <a:sysClr val="windowText" lastClr="000000"/>
              </a:solidFill>
              <a:latin typeface="Calibri" panose="020F0502020204030204"/>
            </a:endParaRPr>
          </a:p>
        </cx:txPr>
      </cx:axis>
      <cx:axis id="1">
        <cx:valScaling max="3" min="-6"/>
        <cx:title>
          <cx:tx>
            <cx:txData>
              <cx:v>Диоптрии</cx:v>
            </cx:txData>
          </cx:tx>
          <cx:txPr>
            <a:bodyPr spcFirstLastPara="1" vertOverflow="ellipsis" horzOverflow="overflow" wrap="square" lIns="0" tIns="0" rIns="0" bIns="0" anchor="ctr" anchorCtr="1"/>
            <a:lstStyle/>
            <a:p>
              <a:pPr algn="ctr" rtl="0">
                <a:defRPr sz="1000">
                  <a:solidFill>
                    <a:sysClr val="windowText" lastClr="000000"/>
                  </a:solidFill>
                </a:defRPr>
              </a:pPr>
              <a:r>
                <a:rPr lang="ru-RU" sz="1000" b="0" i="0" u="none" strike="noStrike" baseline="0">
                  <a:solidFill>
                    <a:sysClr val="windowText" lastClr="000000"/>
                  </a:solidFill>
                  <a:latin typeface="Calibri" panose="020F0502020204030204"/>
                </a:rPr>
                <a:t>Диоптрии</a:t>
              </a:r>
            </a:p>
          </cx:txPr>
        </cx:title>
        <cx:majorGridlines/>
        <cx:tickLabels/>
        <cx:txPr>
          <a:bodyPr spcFirstLastPara="1" vertOverflow="ellipsis" horzOverflow="overflow" wrap="square" lIns="0" tIns="0" rIns="0" bIns="0" anchor="ctr" anchorCtr="1"/>
          <a:lstStyle/>
          <a:p>
            <a:pPr algn="ctr" rtl="0">
              <a:defRPr sz="1000">
                <a:solidFill>
                  <a:sysClr val="windowText" lastClr="000000"/>
                </a:solidFill>
              </a:defRPr>
            </a:pPr>
            <a:endParaRPr lang="ru-RU" sz="1000" b="0" i="0" u="none" strike="noStrike" baseline="0">
              <a:solidFill>
                <a:sysClr val="windowText" lastClr="000000"/>
              </a:solidFill>
              <a:latin typeface="Calibri" panose="020F0502020204030204"/>
            </a:endParaRPr>
          </a:p>
        </cx:txPr>
      </cx:axis>
    </cx:plotArea>
    <cx:legend pos="b" align="ctr" overlay="0">
      <cx:txPr>
        <a:bodyPr spcFirstLastPara="1" vertOverflow="ellipsis" horzOverflow="overflow" wrap="square" lIns="0" tIns="0" rIns="0" bIns="0" anchor="ctr" anchorCtr="1"/>
        <a:lstStyle/>
        <a:p>
          <a:pPr algn="ctr" rtl="0">
            <a:defRPr sz="1000">
              <a:solidFill>
                <a:sysClr val="windowText" lastClr="000000"/>
              </a:solidFill>
            </a:defRPr>
          </a:pPr>
          <a:endParaRPr lang="ru-RU" sz="1000" b="0" i="0" u="none" strike="noStrike" baseline="0">
            <a:solidFill>
              <a:sysClr val="windowText" lastClr="000000"/>
            </a:solidFill>
            <a:latin typeface="Calibri" panose="020F0502020204030204"/>
          </a:endParaRPr>
        </a:p>
      </cx:txPr>
    </cx:legend>
  </cx:chart>
</cx:chartSpac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52A243-13AD-479C-9F2B-1278EA39CEDF}" type="doc">
      <dgm:prSet loTypeId="urn:microsoft.com/office/officeart/2005/8/layout/hList1" loCatId="list" qsTypeId="urn:microsoft.com/office/officeart/2005/8/quickstyle/simple3" qsCatId="simple" csTypeId="urn:microsoft.com/office/officeart/2005/8/colors/accent0_2" csCatId="mainScheme" phldr="1"/>
      <dgm:spPr/>
      <dgm:t>
        <a:bodyPr/>
        <a:lstStyle/>
        <a:p>
          <a:endParaRPr lang="ru-RU"/>
        </a:p>
      </dgm:t>
    </dgm:pt>
    <dgm:pt modelId="{2E347DDA-C4F1-4577-90C6-D4F09CAAD17B}">
      <dgm:prSet phldrT="[Текст]"/>
      <dgm:spPr/>
      <dgm:t>
        <a:bodyPr/>
        <a:lstStyle/>
        <a:p>
          <a:pPr algn="ctr"/>
          <a:r>
            <a:rPr lang="ru-RU" b="1">
              <a:solidFill>
                <a:sysClr val="windowText" lastClr="000000"/>
              </a:solidFill>
            </a:rPr>
            <a:t>1 этап (1276 детей)</a:t>
          </a:r>
          <a:endParaRPr lang="ru-RU">
            <a:solidFill>
              <a:sysClr val="windowText" lastClr="000000"/>
            </a:solidFill>
          </a:endParaRPr>
        </a:p>
      </dgm:t>
    </dgm:pt>
    <dgm:pt modelId="{916C31BA-11D2-47D1-A953-DEEE139469A4}" type="parTrans" cxnId="{31435D41-2339-45AB-BC62-EDAD08373B3A}">
      <dgm:prSet/>
      <dgm:spPr/>
      <dgm:t>
        <a:bodyPr/>
        <a:lstStyle/>
        <a:p>
          <a:pPr algn="ctr"/>
          <a:endParaRPr lang="ru-RU"/>
        </a:p>
      </dgm:t>
    </dgm:pt>
    <dgm:pt modelId="{DA7BDBFB-CD08-49B0-8344-0C384F8972FC}" type="sibTrans" cxnId="{31435D41-2339-45AB-BC62-EDAD08373B3A}">
      <dgm:prSet/>
      <dgm:spPr/>
      <dgm:t>
        <a:bodyPr/>
        <a:lstStyle/>
        <a:p>
          <a:pPr algn="ctr"/>
          <a:endParaRPr lang="ru-RU"/>
        </a:p>
      </dgm:t>
    </dgm:pt>
    <dgm:pt modelId="{79F399B0-CC2D-4E33-AF71-BD55DB74103E}">
      <dgm:prSet phldrT="[Текст]"/>
      <dgm:spPr/>
      <dgm:t>
        <a:bodyPr/>
        <a:lstStyle/>
        <a:p>
          <a:pPr algn="ctr">
            <a:lnSpc>
              <a:spcPct val="100000"/>
            </a:lnSpc>
            <a:spcBef>
              <a:spcPts val="600"/>
            </a:spcBef>
            <a:spcAft>
              <a:spcPts val="600"/>
            </a:spcAft>
          </a:pPr>
          <a:r>
            <a:rPr lang="ru-RU">
              <a:solidFill>
                <a:sysClr val="windowText" lastClr="000000"/>
              </a:solidFill>
            </a:rPr>
            <a:t>стандартный выездной медосмотр в школах</a:t>
          </a:r>
        </a:p>
      </dgm:t>
    </dgm:pt>
    <dgm:pt modelId="{E920DE97-63F5-4257-8DFA-DF612D750B78}" type="parTrans" cxnId="{1AFA50AD-A75B-4A13-89C4-488A0BBF1D3D}">
      <dgm:prSet/>
      <dgm:spPr/>
      <dgm:t>
        <a:bodyPr/>
        <a:lstStyle/>
        <a:p>
          <a:pPr algn="ctr"/>
          <a:endParaRPr lang="ru-RU"/>
        </a:p>
      </dgm:t>
    </dgm:pt>
    <dgm:pt modelId="{F6F51EF2-F6D7-4E86-B033-D9B513D76A5E}" type="sibTrans" cxnId="{1AFA50AD-A75B-4A13-89C4-488A0BBF1D3D}">
      <dgm:prSet/>
      <dgm:spPr/>
      <dgm:t>
        <a:bodyPr/>
        <a:lstStyle/>
        <a:p>
          <a:pPr algn="ctr"/>
          <a:endParaRPr lang="ru-RU"/>
        </a:p>
      </dgm:t>
    </dgm:pt>
    <dgm:pt modelId="{8F5286AD-7B1E-452B-8BB9-6927E1D97EDD}">
      <dgm:prSet phldrT="[Текст]"/>
      <dgm:spPr/>
      <dgm:t>
        <a:bodyPr/>
        <a:lstStyle/>
        <a:p>
          <a:pPr algn="ctr"/>
          <a:r>
            <a:rPr lang="ru-RU" b="1">
              <a:solidFill>
                <a:sysClr val="windowText" lastClr="000000"/>
              </a:solidFill>
            </a:rPr>
            <a:t>2 этап (1276 детей)</a:t>
          </a:r>
          <a:endParaRPr lang="ru-RU">
            <a:solidFill>
              <a:sysClr val="windowText" lastClr="000000"/>
            </a:solidFill>
          </a:endParaRPr>
        </a:p>
      </dgm:t>
    </dgm:pt>
    <dgm:pt modelId="{6B3D5AB5-37FF-4662-84FF-6C6AEB7115E3}" type="parTrans" cxnId="{E5E000AE-92A4-432C-8E21-3300D3955622}">
      <dgm:prSet/>
      <dgm:spPr/>
      <dgm:t>
        <a:bodyPr/>
        <a:lstStyle/>
        <a:p>
          <a:pPr algn="ctr"/>
          <a:endParaRPr lang="ru-RU"/>
        </a:p>
      </dgm:t>
    </dgm:pt>
    <dgm:pt modelId="{282C36FD-4C81-44F4-96BD-D0DDC035AB54}" type="sibTrans" cxnId="{E5E000AE-92A4-432C-8E21-3300D3955622}">
      <dgm:prSet/>
      <dgm:spPr/>
      <dgm:t>
        <a:bodyPr/>
        <a:lstStyle/>
        <a:p>
          <a:pPr algn="ctr"/>
          <a:endParaRPr lang="ru-RU"/>
        </a:p>
      </dgm:t>
    </dgm:pt>
    <dgm:pt modelId="{37323D68-2574-48DB-A93D-415C9A301E06}">
      <dgm:prSet phldrT="[Текст]"/>
      <dgm:spPr/>
      <dgm:t>
        <a:bodyPr/>
        <a:lstStyle/>
        <a:p>
          <a:pPr algn="ctr">
            <a:lnSpc>
              <a:spcPct val="100000"/>
            </a:lnSpc>
            <a:spcBef>
              <a:spcPts val="600"/>
            </a:spcBef>
            <a:spcAft>
              <a:spcPts val="600"/>
            </a:spcAft>
          </a:pPr>
          <a:r>
            <a:rPr lang="ru-RU">
              <a:solidFill>
                <a:sysClr val="windowText" lastClr="000000"/>
              </a:solidFill>
            </a:rPr>
            <a:t>дистантный скрининг в интерактивном режиме.</a:t>
          </a:r>
        </a:p>
      </dgm:t>
    </dgm:pt>
    <dgm:pt modelId="{A1B2B7CC-1999-44C3-B643-AE74127B3A6E}" type="parTrans" cxnId="{FA485C6E-6678-4F64-B283-D62C1C995129}">
      <dgm:prSet/>
      <dgm:spPr/>
      <dgm:t>
        <a:bodyPr/>
        <a:lstStyle/>
        <a:p>
          <a:pPr algn="ctr"/>
          <a:endParaRPr lang="ru-RU"/>
        </a:p>
      </dgm:t>
    </dgm:pt>
    <dgm:pt modelId="{41AD381A-09DE-4CE5-9483-004341C96C63}" type="sibTrans" cxnId="{FA485C6E-6678-4F64-B283-D62C1C995129}">
      <dgm:prSet/>
      <dgm:spPr/>
      <dgm:t>
        <a:bodyPr/>
        <a:lstStyle/>
        <a:p>
          <a:pPr algn="ctr"/>
          <a:endParaRPr lang="ru-RU"/>
        </a:p>
      </dgm:t>
    </dgm:pt>
    <dgm:pt modelId="{0E93CEC9-E36C-40A0-8704-4CE2740598A7}">
      <dgm:prSet phldrT="[Текст]"/>
      <dgm:spPr/>
      <dgm:t>
        <a:bodyPr/>
        <a:lstStyle/>
        <a:p>
          <a:pPr algn="ctr"/>
          <a:r>
            <a:rPr lang="ru-RU" b="1">
              <a:solidFill>
                <a:sysClr val="windowText" lastClr="000000"/>
              </a:solidFill>
            </a:rPr>
            <a:t>3 этап (440 детей)</a:t>
          </a:r>
          <a:endParaRPr lang="ru-RU">
            <a:solidFill>
              <a:sysClr val="windowText" lastClr="000000"/>
            </a:solidFill>
          </a:endParaRPr>
        </a:p>
      </dgm:t>
    </dgm:pt>
    <dgm:pt modelId="{715AD887-C6A0-4B04-B12B-02208BA9A1E9}" type="parTrans" cxnId="{DB7E4BA7-1989-4BD9-9550-FB51CAA164FE}">
      <dgm:prSet/>
      <dgm:spPr/>
      <dgm:t>
        <a:bodyPr/>
        <a:lstStyle/>
        <a:p>
          <a:pPr algn="ctr"/>
          <a:endParaRPr lang="ru-RU"/>
        </a:p>
      </dgm:t>
    </dgm:pt>
    <dgm:pt modelId="{4C33291B-AEB1-478B-9ABB-819271689705}" type="sibTrans" cxnId="{DB7E4BA7-1989-4BD9-9550-FB51CAA164FE}">
      <dgm:prSet/>
      <dgm:spPr/>
      <dgm:t>
        <a:bodyPr/>
        <a:lstStyle/>
        <a:p>
          <a:pPr algn="ctr"/>
          <a:endParaRPr lang="ru-RU"/>
        </a:p>
      </dgm:t>
    </dgm:pt>
    <dgm:pt modelId="{98F048D0-C4AA-4B98-8FAA-9374A4B74823}">
      <dgm:prSet phldrT="[Текст]"/>
      <dgm:spPr/>
      <dgm:t>
        <a:bodyPr/>
        <a:lstStyle/>
        <a:p>
          <a:pPr marL="115200" indent="-115200" algn="ctr">
            <a:lnSpc>
              <a:spcPct val="100000"/>
            </a:lnSpc>
            <a:spcBef>
              <a:spcPts val="600"/>
            </a:spcBef>
            <a:spcAft>
              <a:spcPts val="600"/>
            </a:spcAft>
          </a:pPr>
          <a:r>
            <a:rPr lang="ru-RU">
              <a:solidFill>
                <a:sysClr val="windowText" lastClr="000000"/>
              </a:solidFill>
            </a:rPr>
            <a:t>расширенное офтальмологическое обследование.</a:t>
          </a:r>
        </a:p>
      </dgm:t>
    </dgm:pt>
    <dgm:pt modelId="{E168EB14-73EC-43DF-85AE-1AFE5DD366CA}" type="parTrans" cxnId="{5C48C79F-F8B0-4250-B2BB-697BEDF8883B}">
      <dgm:prSet/>
      <dgm:spPr/>
      <dgm:t>
        <a:bodyPr/>
        <a:lstStyle/>
        <a:p>
          <a:pPr algn="ctr"/>
          <a:endParaRPr lang="ru-RU"/>
        </a:p>
      </dgm:t>
    </dgm:pt>
    <dgm:pt modelId="{C2160A3B-B6C4-4D84-9E4C-57BCCD95FF0B}" type="sibTrans" cxnId="{5C48C79F-F8B0-4250-B2BB-697BEDF8883B}">
      <dgm:prSet/>
      <dgm:spPr/>
      <dgm:t>
        <a:bodyPr/>
        <a:lstStyle/>
        <a:p>
          <a:pPr algn="ctr"/>
          <a:endParaRPr lang="ru-RU"/>
        </a:p>
      </dgm:t>
    </dgm:pt>
    <dgm:pt modelId="{16F6CCDB-4BD8-4F4B-A887-7A26E9835B4B}">
      <dgm:prSet/>
      <dgm:spPr/>
      <dgm:t>
        <a:bodyPr/>
        <a:lstStyle/>
        <a:p>
          <a:pPr algn="ctr">
            <a:lnSpc>
              <a:spcPct val="100000"/>
            </a:lnSpc>
            <a:spcBef>
              <a:spcPts val="600"/>
            </a:spcBef>
            <a:spcAft>
              <a:spcPts val="600"/>
            </a:spcAft>
          </a:pPr>
          <a:r>
            <a:rPr lang="ru-RU">
              <a:solidFill>
                <a:sysClr val="windowText" lastClr="000000"/>
              </a:solidFill>
            </a:rPr>
            <a:t>проводился офтальмологической бригадой КазНИИ ГБ </a:t>
          </a:r>
        </a:p>
      </dgm:t>
    </dgm:pt>
    <dgm:pt modelId="{6C7E20B8-8987-476F-B56D-45A35A0E0371}" type="parTrans" cxnId="{E11F7A38-F171-456B-B85E-1679E93B29A3}">
      <dgm:prSet/>
      <dgm:spPr/>
      <dgm:t>
        <a:bodyPr/>
        <a:lstStyle/>
        <a:p>
          <a:pPr algn="ctr"/>
          <a:endParaRPr lang="ru-RU"/>
        </a:p>
      </dgm:t>
    </dgm:pt>
    <dgm:pt modelId="{693BEC07-CFA1-4B7C-9305-DE64AD709013}" type="sibTrans" cxnId="{E11F7A38-F171-456B-B85E-1679E93B29A3}">
      <dgm:prSet/>
      <dgm:spPr/>
      <dgm:t>
        <a:bodyPr/>
        <a:lstStyle/>
        <a:p>
          <a:pPr algn="ctr"/>
          <a:endParaRPr lang="ru-RU"/>
        </a:p>
      </dgm:t>
    </dgm:pt>
    <dgm:pt modelId="{49529E2E-6929-499A-B10D-3D9E1CD89C04}">
      <dgm:prSet/>
      <dgm:spPr/>
      <dgm:t>
        <a:bodyPr/>
        <a:lstStyle/>
        <a:p>
          <a:pPr algn="ctr">
            <a:lnSpc>
              <a:spcPct val="100000"/>
            </a:lnSpc>
            <a:spcBef>
              <a:spcPts val="600"/>
            </a:spcBef>
            <a:spcAft>
              <a:spcPts val="600"/>
            </a:spcAft>
          </a:pPr>
          <a:r>
            <a:rPr lang="ru-RU">
              <a:solidFill>
                <a:sysClr val="windowText" lastClr="000000"/>
              </a:solidFill>
            </a:rPr>
            <a:t>включал обследование всех школьников, для выявления детей с нарушениями рефракции</a:t>
          </a:r>
        </a:p>
      </dgm:t>
    </dgm:pt>
    <dgm:pt modelId="{269EF665-0BF0-48D2-91A6-C9970E028F96}" type="parTrans" cxnId="{2C070163-8BF6-4F67-B263-2234B3A282BF}">
      <dgm:prSet/>
      <dgm:spPr/>
      <dgm:t>
        <a:bodyPr/>
        <a:lstStyle/>
        <a:p>
          <a:pPr algn="ctr"/>
          <a:endParaRPr lang="ru-RU"/>
        </a:p>
      </dgm:t>
    </dgm:pt>
    <dgm:pt modelId="{6D13E533-7506-4C24-8F31-71A03830F35B}" type="sibTrans" cxnId="{2C070163-8BF6-4F67-B263-2234B3A282BF}">
      <dgm:prSet/>
      <dgm:spPr/>
      <dgm:t>
        <a:bodyPr/>
        <a:lstStyle/>
        <a:p>
          <a:pPr algn="ctr"/>
          <a:endParaRPr lang="ru-RU"/>
        </a:p>
      </dgm:t>
    </dgm:pt>
    <dgm:pt modelId="{889FDFBF-0110-4DE2-9145-434C09F0366D}">
      <dgm:prSet/>
      <dgm:spPr/>
      <dgm:t>
        <a:bodyPr/>
        <a:lstStyle/>
        <a:p>
          <a:pPr algn="ctr">
            <a:lnSpc>
              <a:spcPct val="100000"/>
            </a:lnSpc>
            <a:spcBef>
              <a:spcPts val="600"/>
            </a:spcBef>
            <a:spcAft>
              <a:spcPts val="600"/>
            </a:spcAft>
          </a:pPr>
          <a:r>
            <a:rPr lang="ru-RU">
              <a:solidFill>
                <a:sysClr val="windowText" lastClr="000000"/>
              </a:solidFill>
            </a:rPr>
            <a:t>проводился в компьютерных классах школ обученными педагогами</a:t>
          </a:r>
        </a:p>
      </dgm:t>
    </dgm:pt>
    <dgm:pt modelId="{6FBBA879-BA81-44C9-9610-1BDEB0CD4072}" type="parTrans" cxnId="{30D16FB0-162B-4BFB-B27A-17E91C158909}">
      <dgm:prSet/>
      <dgm:spPr/>
      <dgm:t>
        <a:bodyPr/>
        <a:lstStyle/>
        <a:p>
          <a:pPr algn="ctr"/>
          <a:endParaRPr lang="ru-RU"/>
        </a:p>
      </dgm:t>
    </dgm:pt>
    <dgm:pt modelId="{2AE5AC00-9D94-429C-8241-C9CC1FE02FC0}" type="sibTrans" cxnId="{30D16FB0-162B-4BFB-B27A-17E91C158909}">
      <dgm:prSet/>
      <dgm:spPr/>
      <dgm:t>
        <a:bodyPr/>
        <a:lstStyle/>
        <a:p>
          <a:pPr algn="ctr"/>
          <a:endParaRPr lang="ru-RU"/>
        </a:p>
      </dgm:t>
    </dgm:pt>
    <dgm:pt modelId="{95B81A96-078B-4DFC-B537-EC1258518154}">
      <dgm:prSet/>
      <dgm:spPr/>
      <dgm:t>
        <a:bodyPr/>
        <a:lstStyle/>
        <a:p>
          <a:pPr algn="ctr">
            <a:lnSpc>
              <a:spcPct val="100000"/>
            </a:lnSpc>
            <a:spcBef>
              <a:spcPts val="600"/>
            </a:spcBef>
            <a:spcAft>
              <a:spcPts val="600"/>
            </a:spcAft>
          </a:pPr>
          <a:r>
            <a:rPr lang="ru-RU">
              <a:solidFill>
                <a:sysClr val="windowText" lastClr="000000"/>
              </a:solidFill>
            </a:rPr>
            <a:t>включал обследование всех школьников </a:t>
          </a:r>
        </a:p>
      </dgm:t>
    </dgm:pt>
    <dgm:pt modelId="{6AE205C7-4ECE-4286-96DE-A642CCD9B2D4}" type="parTrans" cxnId="{A4CA6475-9A61-414A-A37D-C8A8347F01C3}">
      <dgm:prSet/>
      <dgm:spPr/>
      <dgm:t>
        <a:bodyPr/>
        <a:lstStyle/>
        <a:p>
          <a:pPr algn="ctr"/>
          <a:endParaRPr lang="ru-RU"/>
        </a:p>
      </dgm:t>
    </dgm:pt>
    <dgm:pt modelId="{C6DACCBF-43FE-46AA-83F1-5AFF70EB2831}" type="sibTrans" cxnId="{A4CA6475-9A61-414A-A37D-C8A8347F01C3}">
      <dgm:prSet/>
      <dgm:spPr/>
      <dgm:t>
        <a:bodyPr/>
        <a:lstStyle/>
        <a:p>
          <a:pPr algn="ctr"/>
          <a:endParaRPr lang="ru-RU"/>
        </a:p>
      </dgm:t>
    </dgm:pt>
    <dgm:pt modelId="{CE466A23-5B62-4C67-A861-E7C73AA867BD}">
      <dgm:prSet/>
      <dgm:spPr/>
      <dgm:t>
        <a:bodyPr/>
        <a:lstStyle/>
        <a:p>
          <a:pPr marL="115200" indent="-115200" algn="ctr">
            <a:lnSpc>
              <a:spcPct val="100000"/>
            </a:lnSpc>
            <a:spcBef>
              <a:spcPts val="600"/>
            </a:spcBef>
            <a:spcAft>
              <a:spcPts val="600"/>
            </a:spcAft>
          </a:pPr>
          <a:r>
            <a:rPr lang="ru-RU">
              <a:solidFill>
                <a:sysClr val="windowText" lastClr="000000"/>
              </a:solidFill>
            </a:rPr>
            <a:t>проводился офтальмологами на базе КазНИИ ГБ</a:t>
          </a:r>
        </a:p>
      </dgm:t>
    </dgm:pt>
    <dgm:pt modelId="{81E4899E-8C42-421A-9CE1-3BFECD607FB4}" type="parTrans" cxnId="{D6BF0FD9-72AE-4719-BDFD-97C8CF230134}">
      <dgm:prSet/>
      <dgm:spPr/>
      <dgm:t>
        <a:bodyPr/>
        <a:lstStyle/>
        <a:p>
          <a:pPr algn="ctr"/>
          <a:endParaRPr lang="ru-RU"/>
        </a:p>
      </dgm:t>
    </dgm:pt>
    <dgm:pt modelId="{E7B757A0-1A64-4CE9-A0F5-BE174780C516}" type="sibTrans" cxnId="{D6BF0FD9-72AE-4719-BDFD-97C8CF230134}">
      <dgm:prSet/>
      <dgm:spPr/>
      <dgm:t>
        <a:bodyPr/>
        <a:lstStyle/>
        <a:p>
          <a:pPr algn="ctr"/>
          <a:endParaRPr lang="ru-RU"/>
        </a:p>
      </dgm:t>
    </dgm:pt>
    <dgm:pt modelId="{BD6C128E-2290-4DE1-8F48-8764E0A8BF16}">
      <dgm:prSet/>
      <dgm:spPr/>
      <dgm:t>
        <a:bodyPr/>
        <a:lstStyle/>
        <a:p>
          <a:pPr marL="115200" indent="-115200" algn="ctr">
            <a:lnSpc>
              <a:spcPct val="100000"/>
            </a:lnSpc>
            <a:spcBef>
              <a:spcPts val="600"/>
            </a:spcBef>
            <a:spcAft>
              <a:spcPts val="600"/>
            </a:spcAft>
          </a:pPr>
          <a:r>
            <a:rPr lang="ru-RU">
              <a:solidFill>
                <a:sysClr val="windowText" lastClr="000000"/>
              </a:solidFill>
            </a:rPr>
            <a:t>включал школьников с выявленными нарушениями зрения </a:t>
          </a:r>
        </a:p>
      </dgm:t>
    </dgm:pt>
    <dgm:pt modelId="{515326E4-E79F-4684-9652-4AF0C0417A8D}" type="parTrans" cxnId="{5C62B6BC-BB60-4D02-B2E0-6F5A329D160A}">
      <dgm:prSet/>
      <dgm:spPr/>
      <dgm:t>
        <a:bodyPr/>
        <a:lstStyle/>
        <a:p>
          <a:pPr algn="ctr"/>
          <a:endParaRPr lang="ru-RU"/>
        </a:p>
      </dgm:t>
    </dgm:pt>
    <dgm:pt modelId="{94030ED4-05C5-4D0E-A3E9-01AEC8C5F94C}" type="sibTrans" cxnId="{5C62B6BC-BB60-4D02-B2E0-6F5A329D160A}">
      <dgm:prSet/>
      <dgm:spPr/>
      <dgm:t>
        <a:bodyPr/>
        <a:lstStyle/>
        <a:p>
          <a:pPr algn="ctr"/>
          <a:endParaRPr lang="ru-RU"/>
        </a:p>
      </dgm:t>
    </dgm:pt>
    <dgm:pt modelId="{EB603A55-ACBD-43F1-B973-3FCB9F1E0B1E}" type="pres">
      <dgm:prSet presAssocID="{4E52A243-13AD-479C-9F2B-1278EA39CEDF}" presName="Name0" presStyleCnt="0">
        <dgm:presLayoutVars>
          <dgm:dir/>
          <dgm:animLvl val="lvl"/>
          <dgm:resizeHandles val="exact"/>
        </dgm:presLayoutVars>
      </dgm:prSet>
      <dgm:spPr/>
      <dgm:t>
        <a:bodyPr/>
        <a:lstStyle/>
        <a:p>
          <a:endParaRPr lang="ru-RU"/>
        </a:p>
      </dgm:t>
    </dgm:pt>
    <dgm:pt modelId="{D1ED3E62-623F-4A5E-8F05-E4CFA5EDE852}" type="pres">
      <dgm:prSet presAssocID="{2E347DDA-C4F1-4577-90C6-D4F09CAAD17B}" presName="composite" presStyleCnt="0"/>
      <dgm:spPr/>
    </dgm:pt>
    <dgm:pt modelId="{6FB99E21-42D7-4A39-BD8D-1C54232FB56C}" type="pres">
      <dgm:prSet presAssocID="{2E347DDA-C4F1-4577-90C6-D4F09CAAD17B}" presName="parTx" presStyleLbl="alignNode1" presStyleIdx="0" presStyleCnt="3">
        <dgm:presLayoutVars>
          <dgm:chMax val="0"/>
          <dgm:chPref val="0"/>
          <dgm:bulletEnabled val="1"/>
        </dgm:presLayoutVars>
      </dgm:prSet>
      <dgm:spPr/>
      <dgm:t>
        <a:bodyPr/>
        <a:lstStyle/>
        <a:p>
          <a:endParaRPr lang="ru-RU"/>
        </a:p>
      </dgm:t>
    </dgm:pt>
    <dgm:pt modelId="{ED9C6DFF-F189-41C4-B124-3CDB8A80B9C7}" type="pres">
      <dgm:prSet presAssocID="{2E347DDA-C4F1-4577-90C6-D4F09CAAD17B}" presName="desTx" presStyleLbl="alignAccFollowNode1" presStyleIdx="0" presStyleCnt="3">
        <dgm:presLayoutVars>
          <dgm:bulletEnabled val="1"/>
        </dgm:presLayoutVars>
      </dgm:prSet>
      <dgm:spPr/>
      <dgm:t>
        <a:bodyPr/>
        <a:lstStyle/>
        <a:p>
          <a:endParaRPr lang="ru-RU"/>
        </a:p>
      </dgm:t>
    </dgm:pt>
    <dgm:pt modelId="{357606F6-24C2-42C9-8D20-F410D397C2F5}" type="pres">
      <dgm:prSet presAssocID="{DA7BDBFB-CD08-49B0-8344-0C384F8972FC}" presName="space" presStyleCnt="0"/>
      <dgm:spPr/>
    </dgm:pt>
    <dgm:pt modelId="{B67B6769-6F0F-497B-B58D-6B4D61BE72AD}" type="pres">
      <dgm:prSet presAssocID="{8F5286AD-7B1E-452B-8BB9-6927E1D97EDD}" presName="composite" presStyleCnt="0"/>
      <dgm:spPr/>
    </dgm:pt>
    <dgm:pt modelId="{B50A8E8A-62BD-42BE-8E68-2BB1591F1B62}" type="pres">
      <dgm:prSet presAssocID="{8F5286AD-7B1E-452B-8BB9-6927E1D97EDD}" presName="parTx" presStyleLbl="alignNode1" presStyleIdx="1" presStyleCnt="3">
        <dgm:presLayoutVars>
          <dgm:chMax val="0"/>
          <dgm:chPref val="0"/>
          <dgm:bulletEnabled val="1"/>
        </dgm:presLayoutVars>
      </dgm:prSet>
      <dgm:spPr/>
      <dgm:t>
        <a:bodyPr/>
        <a:lstStyle/>
        <a:p>
          <a:endParaRPr lang="ru-RU"/>
        </a:p>
      </dgm:t>
    </dgm:pt>
    <dgm:pt modelId="{10B8648C-4255-46EA-92FA-A1A4F2AF37E8}" type="pres">
      <dgm:prSet presAssocID="{8F5286AD-7B1E-452B-8BB9-6927E1D97EDD}" presName="desTx" presStyleLbl="alignAccFollowNode1" presStyleIdx="1" presStyleCnt="3">
        <dgm:presLayoutVars>
          <dgm:bulletEnabled val="1"/>
        </dgm:presLayoutVars>
      </dgm:prSet>
      <dgm:spPr/>
      <dgm:t>
        <a:bodyPr/>
        <a:lstStyle/>
        <a:p>
          <a:endParaRPr lang="ru-RU"/>
        </a:p>
      </dgm:t>
    </dgm:pt>
    <dgm:pt modelId="{209475AA-4E0A-4E5E-88FB-89277BDAD9E1}" type="pres">
      <dgm:prSet presAssocID="{282C36FD-4C81-44F4-96BD-D0DDC035AB54}" presName="space" presStyleCnt="0"/>
      <dgm:spPr/>
    </dgm:pt>
    <dgm:pt modelId="{D3B8F23F-135C-404A-8D41-325DA95547AD}" type="pres">
      <dgm:prSet presAssocID="{0E93CEC9-E36C-40A0-8704-4CE2740598A7}" presName="composite" presStyleCnt="0"/>
      <dgm:spPr/>
    </dgm:pt>
    <dgm:pt modelId="{C02371DA-F416-49F4-95D3-2DCBA005917C}" type="pres">
      <dgm:prSet presAssocID="{0E93CEC9-E36C-40A0-8704-4CE2740598A7}" presName="parTx" presStyleLbl="alignNode1" presStyleIdx="2" presStyleCnt="3">
        <dgm:presLayoutVars>
          <dgm:chMax val="0"/>
          <dgm:chPref val="0"/>
          <dgm:bulletEnabled val="1"/>
        </dgm:presLayoutVars>
      </dgm:prSet>
      <dgm:spPr/>
      <dgm:t>
        <a:bodyPr/>
        <a:lstStyle/>
        <a:p>
          <a:endParaRPr lang="ru-RU"/>
        </a:p>
      </dgm:t>
    </dgm:pt>
    <dgm:pt modelId="{881F0D59-99A2-4D5F-9D1B-35C5784FF0A1}" type="pres">
      <dgm:prSet presAssocID="{0E93CEC9-E36C-40A0-8704-4CE2740598A7}" presName="desTx" presStyleLbl="alignAccFollowNode1" presStyleIdx="2" presStyleCnt="3">
        <dgm:presLayoutVars>
          <dgm:bulletEnabled val="1"/>
        </dgm:presLayoutVars>
      </dgm:prSet>
      <dgm:spPr/>
      <dgm:t>
        <a:bodyPr/>
        <a:lstStyle/>
        <a:p>
          <a:endParaRPr lang="ru-RU"/>
        </a:p>
      </dgm:t>
    </dgm:pt>
  </dgm:ptLst>
  <dgm:cxnLst>
    <dgm:cxn modelId="{5C48C79F-F8B0-4250-B2BB-697BEDF8883B}" srcId="{0E93CEC9-E36C-40A0-8704-4CE2740598A7}" destId="{98F048D0-C4AA-4B98-8FAA-9374A4B74823}" srcOrd="0" destOrd="0" parTransId="{E168EB14-73EC-43DF-85AE-1AFE5DD366CA}" sibTransId="{C2160A3B-B6C4-4D84-9E4C-57BCCD95FF0B}"/>
    <dgm:cxn modelId="{B3861C07-28E4-424C-8B9E-AC2119D6F9AE}" type="presOf" srcId="{889FDFBF-0110-4DE2-9145-434C09F0366D}" destId="{10B8648C-4255-46EA-92FA-A1A4F2AF37E8}" srcOrd="0" destOrd="1" presId="urn:microsoft.com/office/officeart/2005/8/layout/hList1"/>
    <dgm:cxn modelId="{B0314797-81D8-4D53-9E42-9C55583026D6}" type="presOf" srcId="{16F6CCDB-4BD8-4F4B-A887-7A26E9835B4B}" destId="{ED9C6DFF-F189-41C4-B124-3CDB8A80B9C7}" srcOrd="0" destOrd="1" presId="urn:microsoft.com/office/officeart/2005/8/layout/hList1"/>
    <dgm:cxn modelId="{1DD0ABAD-215D-46ED-82E1-15A9FB902C40}" type="presOf" srcId="{2E347DDA-C4F1-4577-90C6-D4F09CAAD17B}" destId="{6FB99E21-42D7-4A39-BD8D-1C54232FB56C}" srcOrd="0" destOrd="0" presId="urn:microsoft.com/office/officeart/2005/8/layout/hList1"/>
    <dgm:cxn modelId="{E5E000AE-92A4-432C-8E21-3300D3955622}" srcId="{4E52A243-13AD-479C-9F2B-1278EA39CEDF}" destId="{8F5286AD-7B1E-452B-8BB9-6927E1D97EDD}" srcOrd="1" destOrd="0" parTransId="{6B3D5AB5-37FF-4662-84FF-6C6AEB7115E3}" sibTransId="{282C36FD-4C81-44F4-96BD-D0DDC035AB54}"/>
    <dgm:cxn modelId="{D6BF0FD9-72AE-4719-BDFD-97C8CF230134}" srcId="{0E93CEC9-E36C-40A0-8704-4CE2740598A7}" destId="{CE466A23-5B62-4C67-A861-E7C73AA867BD}" srcOrd="1" destOrd="0" parTransId="{81E4899E-8C42-421A-9CE1-3BFECD607FB4}" sibTransId="{E7B757A0-1A64-4CE9-A0F5-BE174780C516}"/>
    <dgm:cxn modelId="{31435D41-2339-45AB-BC62-EDAD08373B3A}" srcId="{4E52A243-13AD-479C-9F2B-1278EA39CEDF}" destId="{2E347DDA-C4F1-4577-90C6-D4F09CAAD17B}" srcOrd="0" destOrd="0" parTransId="{916C31BA-11D2-47D1-A953-DEEE139469A4}" sibTransId="{DA7BDBFB-CD08-49B0-8344-0C384F8972FC}"/>
    <dgm:cxn modelId="{A4CA6475-9A61-414A-A37D-C8A8347F01C3}" srcId="{8F5286AD-7B1E-452B-8BB9-6927E1D97EDD}" destId="{95B81A96-078B-4DFC-B537-EC1258518154}" srcOrd="2" destOrd="0" parTransId="{6AE205C7-4ECE-4286-96DE-A642CCD9B2D4}" sibTransId="{C6DACCBF-43FE-46AA-83F1-5AFF70EB2831}"/>
    <dgm:cxn modelId="{DB7E4BA7-1989-4BD9-9550-FB51CAA164FE}" srcId="{4E52A243-13AD-479C-9F2B-1278EA39CEDF}" destId="{0E93CEC9-E36C-40A0-8704-4CE2740598A7}" srcOrd="2" destOrd="0" parTransId="{715AD887-C6A0-4B04-B12B-02208BA9A1E9}" sibTransId="{4C33291B-AEB1-478B-9ABB-819271689705}"/>
    <dgm:cxn modelId="{56AE34C6-6CE6-44DB-8EF7-1E6E1EE41590}" type="presOf" srcId="{49529E2E-6929-499A-B10D-3D9E1CD89C04}" destId="{ED9C6DFF-F189-41C4-B124-3CDB8A80B9C7}" srcOrd="0" destOrd="2" presId="urn:microsoft.com/office/officeart/2005/8/layout/hList1"/>
    <dgm:cxn modelId="{30D16FB0-162B-4BFB-B27A-17E91C158909}" srcId="{8F5286AD-7B1E-452B-8BB9-6927E1D97EDD}" destId="{889FDFBF-0110-4DE2-9145-434C09F0366D}" srcOrd="1" destOrd="0" parTransId="{6FBBA879-BA81-44C9-9610-1BDEB0CD4072}" sibTransId="{2AE5AC00-9D94-429C-8241-C9CC1FE02FC0}"/>
    <dgm:cxn modelId="{FA485C6E-6678-4F64-B283-D62C1C995129}" srcId="{8F5286AD-7B1E-452B-8BB9-6927E1D97EDD}" destId="{37323D68-2574-48DB-A93D-415C9A301E06}" srcOrd="0" destOrd="0" parTransId="{A1B2B7CC-1999-44C3-B643-AE74127B3A6E}" sibTransId="{41AD381A-09DE-4CE5-9483-004341C96C63}"/>
    <dgm:cxn modelId="{9F5A2E4E-BE6C-4741-9470-4C9CCC59C5BC}" type="presOf" srcId="{4E52A243-13AD-479C-9F2B-1278EA39CEDF}" destId="{EB603A55-ACBD-43F1-B973-3FCB9F1E0B1E}" srcOrd="0" destOrd="0" presId="urn:microsoft.com/office/officeart/2005/8/layout/hList1"/>
    <dgm:cxn modelId="{77E02DFD-4AEC-4BC6-9A31-5995B7E6C5EF}" type="presOf" srcId="{BD6C128E-2290-4DE1-8F48-8764E0A8BF16}" destId="{881F0D59-99A2-4D5F-9D1B-35C5784FF0A1}" srcOrd="0" destOrd="2" presId="urn:microsoft.com/office/officeart/2005/8/layout/hList1"/>
    <dgm:cxn modelId="{8F8D1989-2532-41E6-BE79-B79D0C37FCAA}" type="presOf" srcId="{CE466A23-5B62-4C67-A861-E7C73AA867BD}" destId="{881F0D59-99A2-4D5F-9D1B-35C5784FF0A1}" srcOrd="0" destOrd="1" presId="urn:microsoft.com/office/officeart/2005/8/layout/hList1"/>
    <dgm:cxn modelId="{72390FDF-4952-48D3-9830-C36D1DAC0852}" type="presOf" srcId="{98F048D0-C4AA-4B98-8FAA-9374A4B74823}" destId="{881F0D59-99A2-4D5F-9D1B-35C5784FF0A1}" srcOrd="0" destOrd="0" presId="urn:microsoft.com/office/officeart/2005/8/layout/hList1"/>
    <dgm:cxn modelId="{F1ED6687-976C-4580-8BA3-817CF1E7F5FA}" type="presOf" srcId="{79F399B0-CC2D-4E33-AF71-BD55DB74103E}" destId="{ED9C6DFF-F189-41C4-B124-3CDB8A80B9C7}" srcOrd="0" destOrd="0" presId="urn:microsoft.com/office/officeart/2005/8/layout/hList1"/>
    <dgm:cxn modelId="{4B40FAB7-E592-4224-A536-2A123324E3F4}" type="presOf" srcId="{8F5286AD-7B1E-452B-8BB9-6927E1D97EDD}" destId="{B50A8E8A-62BD-42BE-8E68-2BB1591F1B62}" srcOrd="0" destOrd="0" presId="urn:microsoft.com/office/officeart/2005/8/layout/hList1"/>
    <dgm:cxn modelId="{E11F7A38-F171-456B-B85E-1679E93B29A3}" srcId="{2E347DDA-C4F1-4577-90C6-D4F09CAAD17B}" destId="{16F6CCDB-4BD8-4F4B-A887-7A26E9835B4B}" srcOrd="1" destOrd="0" parTransId="{6C7E20B8-8987-476F-B56D-45A35A0E0371}" sibTransId="{693BEC07-CFA1-4B7C-9305-DE64AD709013}"/>
    <dgm:cxn modelId="{8218AB18-8525-4545-8CE3-46B3B287902B}" type="presOf" srcId="{0E93CEC9-E36C-40A0-8704-4CE2740598A7}" destId="{C02371DA-F416-49F4-95D3-2DCBA005917C}" srcOrd="0" destOrd="0" presId="urn:microsoft.com/office/officeart/2005/8/layout/hList1"/>
    <dgm:cxn modelId="{2C070163-8BF6-4F67-B263-2234B3A282BF}" srcId="{2E347DDA-C4F1-4577-90C6-D4F09CAAD17B}" destId="{49529E2E-6929-499A-B10D-3D9E1CD89C04}" srcOrd="2" destOrd="0" parTransId="{269EF665-0BF0-48D2-91A6-C9970E028F96}" sibTransId="{6D13E533-7506-4C24-8F31-71A03830F35B}"/>
    <dgm:cxn modelId="{670FA7B7-ACA8-4DF9-830D-27FB9CE4EEFA}" type="presOf" srcId="{95B81A96-078B-4DFC-B537-EC1258518154}" destId="{10B8648C-4255-46EA-92FA-A1A4F2AF37E8}" srcOrd="0" destOrd="2" presId="urn:microsoft.com/office/officeart/2005/8/layout/hList1"/>
    <dgm:cxn modelId="{1AFA50AD-A75B-4A13-89C4-488A0BBF1D3D}" srcId="{2E347DDA-C4F1-4577-90C6-D4F09CAAD17B}" destId="{79F399B0-CC2D-4E33-AF71-BD55DB74103E}" srcOrd="0" destOrd="0" parTransId="{E920DE97-63F5-4257-8DFA-DF612D750B78}" sibTransId="{F6F51EF2-F6D7-4E86-B033-D9B513D76A5E}"/>
    <dgm:cxn modelId="{45BCF3EC-7364-4489-B4C2-57024FC36808}" type="presOf" srcId="{37323D68-2574-48DB-A93D-415C9A301E06}" destId="{10B8648C-4255-46EA-92FA-A1A4F2AF37E8}" srcOrd="0" destOrd="0" presId="urn:microsoft.com/office/officeart/2005/8/layout/hList1"/>
    <dgm:cxn modelId="{5C62B6BC-BB60-4D02-B2E0-6F5A329D160A}" srcId="{0E93CEC9-E36C-40A0-8704-4CE2740598A7}" destId="{BD6C128E-2290-4DE1-8F48-8764E0A8BF16}" srcOrd="2" destOrd="0" parTransId="{515326E4-E79F-4684-9652-4AF0C0417A8D}" sibTransId="{94030ED4-05C5-4D0E-A3E9-01AEC8C5F94C}"/>
    <dgm:cxn modelId="{0A2CFA3E-CEAA-4D8B-AA42-A43092B39B67}" type="presParOf" srcId="{EB603A55-ACBD-43F1-B973-3FCB9F1E0B1E}" destId="{D1ED3E62-623F-4A5E-8F05-E4CFA5EDE852}" srcOrd="0" destOrd="0" presId="urn:microsoft.com/office/officeart/2005/8/layout/hList1"/>
    <dgm:cxn modelId="{1611CCFE-2E8B-46F6-8A05-B0FAACF62915}" type="presParOf" srcId="{D1ED3E62-623F-4A5E-8F05-E4CFA5EDE852}" destId="{6FB99E21-42D7-4A39-BD8D-1C54232FB56C}" srcOrd="0" destOrd="0" presId="urn:microsoft.com/office/officeart/2005/8/layout/hList1"/>
    <dgm:cxn modelId="{877EEA41-037B-4DA1-A15E-3224EF986BF0}" type="presParOf" srcId="{D1ED3E62-623F-4A5E-8F05-E4CFA5EDE852}" destId="{ED9C6DFF-F189-41C4-B124-3CDB8A80B9C7}" srcOrd="1" destOrd="0" presId="urn:microsoft.com/office/officeart/2005/8/layout/hList1"/>
    <dgm:cxn modelId="{3478172A-7C7F-4525-91AC-8135FEB5DF95}" type="presParOf" srcId="{EB603A55-ACBD-43F1-B973-3FCB9F1E0B1E}" destId="{357606F6-24C2-42C9-8D20-F410D397C2F5}" srcOrd="1" destOrd="0" presId="urn:microsoft.com/office/officeart/2005/8/layout/hList1"/>
    <dgm:cxn modelId="{7636BC60-0FD0-4FEA-B320-7508B684C709}" type="presParOf" srcId="{EB603A55-ACBD-43F1-B973-3FCB9F1E0B1E}" destId="{B67B6769-6F0F-497B-B58D-6B4D61BE72AD}" srcOrd="2" destOrd="0" presId="urn:microsoft.com/office/officeart/2005/8/layout/hList1"/>
    <dgm:cxn modelId="{7B957BCE-DEC5-4EDC-98A1-DBC92DF7B39B}" type="presParOf" srcId="{B67B6769-6F0F-497B-B58D-6B4D61BE72AD}" destId="{B50A8E8A-62BD-42BE-8E68-2BB1591F1B62}" srcOrd="0" destOrd="0" presId="urn:microsoft.com/office/officeart/2005/8/layout/hList1"/>
    <dgm:cxn modelId="{979D0F97-5D96-4DD3-BCEA-54658E3547B3}" type="presParOf" srcId="{B67B6769-6F0F-497B-B58D-6B4D61BE72AD}" destId="{10B8648C-4255-46EA-92FA-A1A4F2AF37E8}" srcOrd="1" destOrd="0" presId="urn:microsoft.com/office/officeart/2005/8/layout/hList1"/>
    <dgm:cxn modelId="{283AA4BF-CD35-42E4-B3AE-43D4739CE8C7}" type="presParOf" srcId="{EB603A55-ACBD-43F1-B973-3FCB9F1E0B1E}" destId="{209475AA-4E0A-4E5E-88FB-89277BDAD9E1}" srcOrd="3" destOrd="0" presId="urn:microsoft.com/office/officeart/2005/8/layout/hList1"/>
    <dgm:cxn modelId="{C8E76EC7-D2BC-4B2F-A1E9-56E0A0D6288D}" type="presParOf" srcId="{EB603A55-ACBD-43F1-B973-3FCB9F1E0B1E}" destId="{D3B8F23F-135C-404A-8D41-325DA95547AD}" srcOrd="4" destOrd="0" presId="urn:microsoft.com/office/officeart/2005/8/layout/hList1"/>
    <dgm:cxn modelId="{60C82A63-A2B5-4DFA-909D-4CE6B3AB809C}" type="presParOf" srcId="{D3B8F23F-135C-404A-8D41-325DA95547AD}" destId="{C02371DA-F416-49F4-95D3-2DCBA005917C}" srcOrd="0" destOrd="0" presId="urn:microsoft.com/office/officeart/2005/8/layout/hList1"/>
    <dgm:cxn modelId="{816CE6F5-9578-4F67-8B57-F154C25A7390}" type="presParOf" srcId="{D3B8F23F-135C-404A-8D41-325DA95547AD}" destId="{881F0D59-99A2-4D5F-9D1B-35C5784FF0A1}"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99E21-42D7-4A39-BD8D-1C54232FB56C}">
      <dsp:nvSpPr>
        <dsp:cNvPr id="0" name=""/>
        <dsp:cNvSpPr/>
      </dsp:nvSpPr>
      <dsp:spPr>
        <a:xfrm>
          <a:off x="1714" y="142740"/>
          <a:ext cx="1671637" cy="34560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1 этап (1276 детей)</a:t>
          </a:r>
          <a:endParaRPr lang="ru-RU" sz="1200" kern="1200">
            <a:solidFill>
              <a:sysClr val="windowText" lastClr="000000"/>
            </a:solidFill>
          </a:endParaRPr>
        </a:p>
      </dsp:txBody>
      <dsp:txXfrm>
        <a:off x="1714" y="142740"/>
        <a:ext cx="1671637" cy="345600"/>
      </dsp:txXfrm>
    </dsp:sp>
    <dsp:sp modelId="{ED9C6DFF-F189-41C4-B124-3CDB8A80B9C7}">
      <dsp:nvSpPr>
        <dsp:cNvPr id="0" name=""/>
        <dsp:cNvSpPr/>
      </dsp:nvSpPr>
      <dsp:spPr>
        <a:xfrm>
          <a:off x="1714" y="488340"/>
          <a:ext cx="1671637" cy="2569319"/>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100000"/>
            </a:lnSpc>
            <a:spcBef>
              <a:spcPct val="0"/>
            </a:spcBef>
            <a:spcAft>
              <a:spcPts val="600"/>
            </a:spcAft>
            <a:buChar char="••"/>
          </a:pPr>
          <a:r>
            <a:rPr lang="ru-RU" sz="1200" kern="1200">
              <a:solidFill>
                <a:sysClr val="windowText" lastClr="000000"/>
              </a:solidFill>
            </a:rPr>
            <a:t>стандартный выездной медосмотр в школах</a:t>
          </a:r>
        </a:p>
        <a:p>
          <a:pPr marL="114300" lvl="1" indent="-114300" algn="ctr" defTabSz="533400">
            <a:lnSpc>
              <a:spcPct val="100000"/>
            </a:lnSpc>
            <a:spcBef>
              <a:spcPct val="0"/>
            </a:spcBef>
            <a:spcAft>
              <a:spcPts val="600"/>
            </a:spcAft>
            <a:buChar char="••"/>
          </a:pPr>
          <a:r>
            <a:rPr lang="ru-RU" sz="1200" kern="1200">
              <a:solidFill>
                <a:sysClr val="windowText" lastClr="000000"/>
              </a:solidFill>
            </a:rPr>
            <a:t>проводился офтальмологической бригадой КазНИИ ГБ </a:t>
          </a:r>
        </a:p>
        <a:p>
          <a:pPr marL="114300" lvl="1" indent="-114300" algn="ctr" defTabSz="533400">
            <a:lnSpc>
              <a:spcPct val="100000"/>
            </a:lnSpc>
            <a:spcBef>
              <a:spcPct val="0"/>
            </a:spcBef>
            <a:spcAft>
              <a:spcPts val="600"/>
            </a:spcAft>
            <a:buChar char="••"/>
          </a:pPr>
          <a:r>
            <a:rPr lang="ru-RU" sz="1200" kern="1200">
              <a:solidFill>
                <a:sysClr val="windowText" lastClr="000000"/>
              </a:solidFill>
            </a:rPr>
            <a:t>включал обследование всех школьников, для выявления детей с нарушениями рефракции</a:t>
          </a:r>
        </a:p>
      </dsp:txBody>
      <dsp:txXfrm>
        <a:off x="1714" y="488340"/>
        <a:ext cx="1671637" cy="2569319"/>
      </dsp:txXfrm>
    </dsp:sp>
    <dsp:sp modelId="{B50A8E8A-62BD-42BE-8E68-2BB1591F1B62}">
      <dsp:nvSpPr>
        <dsp:cNvPr id="0" name=""/>
        <dsp:cNvSpPr/>
      </dsp:nvSpPr>
      <dsp:spPr>
        <a:xfrm>
          <a:off x="1907381" y="142740"/>
          <a:ext cx="1671637" cy="34560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2 этап (1276 детей)</a:t>
          </a:r>
          <a:endParaRPr lang="ru-RU" sz="1200" kern="1200">
            <a:solidFill>
              <a:sysClr val="windowText" lastClr="000000"/>
            </a:solidFill>
          </a:endParaRPr>
        </a:p>
      </dsp:txBody>
      <dsp:txXfrm>
        <a:off x="1907381" y="142740"/>
        <a:ext cx="1671637" cy="345600"/>
      </dsp:txXfrm>
    </dsp:sp>
    <dsp:sp modelId="{10B8648C-4255-46EA-92FA-A1A4F2AF37E8}">
      <dsp:nvSpPr>
        <dsp:cNvPr id="0" name=""/>
        <dsp:cNvSpPr/>
      </dsp:nvSpPr>
      <dsp:spPr>
        <a:xfrm>
          <a:off x="1907381" y="488340"/>
          <a:ext cx="1671637" cy="2569319"/>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100000"/>
            </a:lnSpc>
            <a:spcBef>
              <a:spcPct val="0"/>
            </a:spcBef>
            <a:spcAft>
              <a:spcPts val="600"/>
            </a:spcAft>
            <a:buChar char="••"/>
          </a:pPr>
          <a:r>
            <a:rPr lang="ru-RU" sz="1200" kern="1200">
              <a:solidFill>
                <a:sysClr val="windowText" lastClr="000000"/>
              </a:solidFill>
            </a:rPr>
            <a:t>дистантный скрининг в интерактивном режиме.</a:t>
          </a:r>
        </a:p>
        <a:p>
          <a:pPr marL="114300" lvl="1" indent="-114300" algn="ctr" defTabSz="533400">
            <a:lnSpc>
              <a:spcPct val="100000"/>
            </a:lnSpc>
            <a:spcBef>
              <a:spcPct val="0"/>
            </a:spcBef>
            <a:spcAft>
              <a:spcPts val="600"/>
            </a:spcAft>
            <a:buChar char="••"/>
          </a:pPr>
          <a:r>
            <a:rPr lang="ru-RU" sz="1200" kern="1200">
              <a:solidFill>
                <a:sysClr val="windowText" lastClr="000000"/>
              </a:solidFill>
            </a:rPr>
            <a:t>проводился в компьютерных классах школ обученными педагогами</a:t>
          </a:r>
        </a:p>
        <a:p>
          <a:pPr marL="114300" lvl="1" indent="-114300" algn="ctr" defTabSz="533400">
            <a:lnSpc>
              <a:spcPct val="100000"/>
            </a:lnSpc>
            <a:spcBef>
              <a:spcPct val="0"/>
            </a:spcBef>
            <a:spcAft>
              <a:spcPts val="600"/>
            </a:spcAft>
            <a:buChar char="••"/>
          </a:pPr>
          <a:r>
            <a:rPr lang="ru-RU" sz="1200" kern="1200">
              <a:solidFill>
                <a:sysClr val="windowText" lastClr="000000"/>
              </a:solidFill>
            </a:rPr>
            <a:t>включал обследование всех школьников </a:t>
          </a:r>
        </a:p>
      </dsp:txBody>
      <dsp:txXfrm>
        <a:off x="1907381" y="488340"/>
        <a:ext cx="1671637" cy="2569319"/>
      </dsp:txXfrm>
    </dsp:sp>
    <dsp:sp modelId="{C02371DA-F416-49F4-95D3-2DCBA005917C}">
      <dsp:nvSpPr>
        <dsp:cNvPr id="0" name=""/>
        <dsp:cNvSpPr/>
      </dsp:nvSpPr>
      <dsp:spPr>
        <a:xfrm>
          <a:off x="3813048" y="142740"/>
          <a:ext cx="1671637" cy="34560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dk2">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3 этап (440 детей)</a:t>
          </a:r>
          <a:endParaRPr lang="ru-RU" sz="1200" kern="1200">
            <a:solidFill>
              <a:sysClr val="windowText" lastClr="000000"/>
            </a:solidFill>
          </a:endParaRPr>
        </a:p>
      </dsp:txBody>
      <dsp:txXfrm>
        <a:off x="3813048" y="142740"/>
        <a:ext cx="1671637" cy="345600"/>
      </dsp:txXfrm>
    </dsp:sp>
    <dsp:sp modelId="{881F0D59-99A2-4D5F-9D1B-35C5784FF0A1}">
      <dsp:nvSpPr>
        <dsp:cNvPr id="0" name=""/>
        <dsp:cNvSpPr/>
      </dsp:nvSpPr>
      <dsp:spPr>
        <a:xfrm>
          <a:off x="3813048" y="488340"/>
          <a:ext cx="1671637" cy="2569319"/>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5200" lvl="1" indent="-115200" algn="ctr" defTabSz="533400">
            <a:lnSpc>
              <a:spcPct val="100000"/>
            </a:lnSpc>
            <a:spcBef>
              <a:spcPct val="0"/>
            </a:spcBef>
            <a:spcAft>
              <a:spcPts val="600"/>
            </a:spcAft>
            <a:buChar char="••"/>
          </a:pPr>
          <a:r>
            <a:rPr lang="ru-RU" sz="1200" kern="1200">
              <a:solidFill>
                <a:sysClr val="windowText" lastClr="000000"/>
              </a:solidFill>
            </a:rPr>
            <a:t>расширенное офтальмологическое обследование.</a:t>
          </a:r>
        </a:p>
        <a:p>
          <a:pPr marL="115200" lvl="1" indent="-115200" algn="ctr" defTabSz="533400">
            <a:lnSpc>
              <a:spcPct val="100000"/>
            </a:lnSpc>
            <a:spcBef>
              <a:spcPct val="0"/>
            </a:spcBef>
            <a:spcAft>
              <a:spcPts val="600"/>
            </a:spcAft>
            <a:buChar char="••"/>
          </a:pPr>
          <a:r>
            <a:rPr lang="ru-RU" sz="1200" kern="1200">
              <a:solidFill>
                <a:sysClr val="windowText" lastClr="000000"/>
              </a:solidFill>
            </a:rPr>
            <a:t>проводился офтальмологами на базе КазНИИ ГБ</a:t>
          </a:r>
        </a:p>
        <a:p>
          <a:pPr marL="115200" lvl="1" indent="-115200" algn="ctr" defTabSz="533400">
            <a:lnSpc>
              <a:spcPct val="100000"/>
            </a:lnSpc>
            <a:spcBef>
              <a:spcPct val="0"/>
            </a:spcBef>
            <a:spcAft>
              <a:spcPts val="600"/>
            </a:spcAft>
            <a:buChar char="••"/>
          </a:pPr>
          <a:r>
            <a:rPr lang="ru-RU" sz="1200" kern="1200">
              <a:solidFill>
                <a:sysClr val="windowText" lastClr="000000"/>
              </a:solidFill>
            </a:rPr>
            <a:t>включал школьников с выявленными нарушениями зрения </a:t>
          </a:r>
        </a:p>
      </dsp:txBody>
      <dsp:txXfrm>
        <a:off x="3813048" y="488340"/>
        <a:ext cx="1671637" cy="256931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6E48B-5B7F-4052-9673-59117367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112</Pages>
  <Words>132425</Words>
  <Characters>754824</Characters>
  <Application>Microsoft Office Word</Application>
  <DocSecurity>0</DocSecurity>
  <Lines>6290</Lines>
  <Paragraphs>1770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Учетная запись Майкрософт</cp:lastModifiedBy>
  <cp:revision>7</cp:revision>
  <cp:lastPrinted>2019-11-26T10:49:00Z</cp:lastPrinted>
  <dcterms:created xsi:type="dcterms:W3CDTF">2025-06-04T10:07:00Z</dcterms:created>
  <dcterms:modified xsi:type="dcterms:W3CDTF">2025-06-04T10:38:00Z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id="cdiTkYog"/&gt;&lt;style id="http://www.zotero.org/styles/GOST-R-7.0.5-2008%20numeric%20chronological%20descending" locale="ru-RU" hasBibliography="1" bibliographyStyleHasBeenSet="0"/&gt;&lt;prefs&gt;&lt;pref name=</vt:lpwstr>
  </property>
  <property fmtid="{D5CDD505-2E9C-101B-9397-08002B2CF9AE}" pid="3" name="ZOTERO_PREF_2">
    <vt:lpwstr>"fieldType" value="Field"/&gt;&lt;pref name="automaticJournalAbbreviations" value="true"/&gt;&lt;pref name="dontAskDelayCitationUpdates" value="true"/&gt;&lt;pref name="delayCitationUpdates" value="true"/&gt;&lt;/prefs&gt;&lt;/data&gt;</vt:lpwstr>
  </property>
</Properties>
</file>